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7bcd" w14:paraId="4f87bcd" w:rsidRDefault="007027E2" w:rsidP="007027E2" w:rsidR="007027E2">
      <w:pPr>
        <w:pStyle w:val="Tijeloteksta3"/>
        <w:jc w:val="center"/>
        <w15:collapsed w:val="false"/>
        <w:rPr>
          <w:rFonts w:hAnsi="Bookman Old Style" w:ascii="Bookman Old Style"/>
          <w:b/>
          <w:i/>
          <w:sz w:val="22"/>
          <w:lang w:val="hr-HR"/>
        </w:rPr>
      </w:pPr>
      <w:bookmarkStart w:name="_GoBack" w:id="0"/>
      <w:bookmarkEnd w:id="0"/>
      <w:r>
        <w:rPr>
          <w:rFonts w:hAnsi="Bookman Old Style" w:ascii="Bookman Old Style"/>
          <w:b/>
          <w:i/>
          <w:sz w:val="22"/>
          <w:lang w:val="hr-HR"/>
        </w:rPr>
        <w:t xml:space="preserve">STONČICA  d.o.o. u stečaju  </w:t>
      </w:r>
    </w:p>
    <w:p w:rsidRDefault="007027E2" w:rsidP="007027E2" w:rsidR="007027E2">
      <w:pPr>
        <w:pStyle w:val="Tijeloteksta3"/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Zagreb, Pile 1, OIB:02885927195</w:t>
      </w:r>
    </w:p>
    <w:p w:rsidRDefault="007027E2" w:rsidP="007027E2" w:rsidR="007027E2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žiro-račun: HR5223900011100606040</w:t>
      </w:r>
    </w:p>
    <w:p w:rsidRDefault="007027E2" w:rsidP="007027E2" w:rsidR="007027E2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Stečajna upraviteljica: Davorka Huljev, Zagreb, Miramarska 13d</w:t>
      </w:r>
    </w:p>
    <w:p w:rsidRDefault="007027E2" w:rsidP="007027E2" w:rsidR="007027E2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tel: 615-2555, fax: 615-2444</w:t>
      </w:r>
    </w:p>
    <w:p w:rsidRDefault="008B1B3E" w:rsidP="008B1B3E" w:rsidR="008B1B3E" w:rsidRPr="00FE111B">
      <w:pPr>
        <w:rPr>
          <w:rFonts w:hAnsi="Bookman Old Style" w:ascii="Bookman Old Style"/>
          <w:b/>
          <w:lang w:val="hr-HR"/>
        </w:rPr>
      </w:pPr>
      <w:r w:rsidRPr="00F13448">
        <w:rPr>
          <w:rFonts w:hAnsi="Bookman Old Style" w:ascii="Bookman Old Style"/>
          <w:b/>
          <w:lang w:val="hr-HR"/>
        </w:rPr>
        <w:t>___________________________________________________________________________</w:t>
      </w:r>
    </w:p>
    <w:p w:rsidRDefault="00D01083" w:rsidR="00D01083">
      <w:pPr>
        <w:rPr>
          <w:rFonts w:hAnsi="Bookman Old Style" w:ascii="Bookman Old Style"/>
          <w:b/>
          <w:lang w:val="hr-HR"/>
        </w:rPr>
      </w:pPr>
    </w:p>
    <w:p w:rsidRDefault="005F4905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allowincell="f" o:spid="_x0000_s1026" id="Rectangle 2" style="position:absolute;margin-left:238.05pt;margin-top:2.4pt;width:235pt;height:11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AD2A5E">
                  <w:pPr>
                    <w:jc w:val="center"/>
                    <w:rPr>
                      <w:b/>
                      <w:lang w:val="hr-HR"/>
                    </w:rPr>
                  </w:pPr>
                  <w:r>
                    <w:rPr>
                      <w:b/>
                      <w:lang w:val="hr-HR"/>
                    </w:rPr>
                    <w:t>TRGOVAČKI SUD ZAGREB</w:t>
                  </w: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  <w:r>
                    <w:rPr>
                      <w:b/>
                      <w:lang w:val="hr-HR"/>
                    </w:rPr>
                    <w:t>STEČAJNI SUDAC</w:t>
                  </w: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DD4BB4" w:rsidRPr="00DD4BB4">
                  <w:pPr>
                    <w:jc w:val="center"/>
                    <w:rPr>
                      <w:b/>
                      <w:lang w:val="hr-HR"/>
                    </w:rPr>
                  </w:pPr>
                  <w:r w:rsidRPr="00DD4BB4">
                    <w:rPr>
                      <w:b/>
                    </w:rPr>
                    <w:t>St</w:t>
                  </w:r>
                  <w:r w:rsidRPr="00BC1619">
                    <w:rPr>
                      <w:b/>
                      <w:lang w:val="hr-HR"/>
                    </w:rPr>
                    <w:t>-</w:t>
                  </w:r>
                  <w:r w:rsidR="007027E2">
                    <w:rPr>
                      <w:b/>
                      <w:lang w:val="hr-HR"/>
                    </w:rPr>
                    <w:t>649/12</w:t>
                  </w:r>
                </w:p>
              </w:txbxContent>
            </v:textbox>
          </v:rect>
        </w:pic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Naš znak: </w:t>
      </w:r>
      <w:r w:rsidR="00BC1619">
        <w:rPr>
          <w:rFonts w:hAnsi="Bookman Old Style" w:ascii="Bookman Old Style"/>
          <w:b/>
          <w:lang w:val="hr-HR"/>
        </w:rPr>
        <w:t xml:space="preserve">     /NL</w:t>
      </w:r>
      <w:r w:rsidR="00477EF5">
        <w:rPr>
          <w:rFonts w:hAnsi="Bookman Old Style" w:ascii="Bookman Old Style"/>
          <w:b/>
          <w:lang w:val="hr-HR"/>
        </w:rPr>
        <w:t>/201</w:t>
      </w:r>
      <w:r w:rsidR="007027E2">
        <w:rPr>
          <w:rFonts w:hAnsi="Bookman Old Style" w:ascii="Bookman Old Style"/>
          <w:b/>
          <w:lang w:val="hr-HR"/>
        </w:rPr>
        <w:t>9</w:t>
      </w:r>
      <w:r>
        <w:rPr>
          <w:rFonts w:hAnsi="Bookman Old Style" w:ascii="Bookman Old Style"/>
          <w:b/>
          <w:lang w:val="hr-HR"/>
        </w:rPr>
        <w:t xml:space="preserve"> </w:t>
      </w:r>
      <w:r w:rsidR="00184DF8">
        <w:rPr>
          <w:rFonts w:hAnsi="Bookman Old Style" w:ascii="Bookman Old Style"/>
          <w:b/>
          <w:lang w:val="hr-HR"/>
        </w:rPr>
        <w:t xml:space="preserve"> </w:t>
      </w:r>
      <w:r w:rsidR="00FE12FC">
        <w:rPr>
          <w:rFonts w:hAnsi="Bookman Old Style" w:ascii="Bookman Old Style"/>
          <w:b/>
          <w:lang w:val="hr-HR"/>
        </w:rPr>
        <w:t xml:space="preserve">       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Vaš znak: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pStyle w:val="Tijeloteksta2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Datum: </w:t>
      </w:r>
      <w:r w:rsidR="00785DF3">
        <w:rPr>
          <w:rFonts w:hAnsi="Bookman Old Style" w:ascii="Bookman Old Style"/>
          <w:lang w:val="hr-HR"/>
        </w:rPr>
        <w:t>0</w:t>
      </w:r>
      <w:r w:rsidR="00242D9D">
        <w:rPr>
          <w:rFonts w:hAnsi="Bookman Old Style" w:ascii="Bookman Old Style"/>
          <w:lang w:val="hr-HR"/>
        </w:rPr>
        <w:t>7</w:t>
      </w:r>
      <w:r w:rsidR="00785DF3">
        <w:rPr>
          <w:rFonts w:hAnsi="Bookman Old Style" w:ascii="Bookman Old Style"/>
          <w:lang w:val="hr-HR"/>
        </w:rPr>
        <w:t>.03</w:t>
      </w:r>
      <w:r w:rsidR="008B1B3E">
        <w:rPr>
          <w:rFonts w:hAnsi="Bookman Old Style" w:ascii="Bookman Old Style"/>
          <w:lang w:val="hr-HR"/>
        </w:rPr>
        <w:t>.201</w:t>
      </w:r>
      <w:r w:rsidR="00A97570">
        <w:rPr>
          <w:rFonts w:hAnsi="Bookman Old Style" w:ascii="Bookman Old Style"/>
          <w:lang w:val="hr-HR"/>
        </w:rPr>
        <w:t>9</w:t>
      </w:r>
      <w:r>
        <w:rPr>
          <w:rFonts w:hAnsi="Bookman Old Style" w:ascii="Bookman Old Style"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F33B97" w:rsidR="00F33B97">
      <w:pPr>
        <w:rPr>
          <w:rFonts w:hAnsi="Bookman Old Style" w:ascii="Bookman Old Style"/>
          <w:b/>
          <w:lang w:val="hr-HR"/>
        </w:rPr>
      </w:pPr>
    </w:p>
    <w:p w:rsidRDefault="00205E0D" w:rsidR="00205E0D">
      <w:pPr>
        <w:rPr>
          <w:rFonts w:hAnsi="Bookman Old Style" w:ascii="Bookman Old Style"/>
          <w:b/>
          <w:lang w:val="hr-HR"/>
        </w:rPr>
      </w:pPr>
    </w:p>
    <w:p w:rsidRDefault="00567A32" w:rsidP="001363F4" w:rsidR="00640B8E">
      <w:pPr>
        <w:pStyle w:val="Zaglavlje"/>
        <w:tabs>
          <w:tab w:pos="4153" w:val="clear"/>
          <w:tab w:pos="8306" w:val="clear"/>
        </w:tabs>
        <w:ind w:left="720"/>
        <w:jc w:val="both"/>
        <w:rPr>
          <w:rFonts w:hAnsi="Bookman Old Style" w:ascii="Bookman Old Style"/>
          <w:b/>
          <w:szCs w:val="24"/>
          <w:lang w:val="hr-HR"/>
        </w:rPr>
      </w:pPr>
      <w:r w:rsidRPr="00567A32">
        <w:rPr>
          <w:rFonts w:hAnsi="Bookman Old Style" w:ascii="Bookman Old Style"/>
          <w:b/>
          <w:szCs w:val="24"/>
          <w:lang w:val="hr-HR"/>
        </w:rPr>
        <w:t>Predmet:</w:t>
      </w:r>
      <w:r w:rsidR="001363F4">
        <w:rPr>
          <w:rFonts w:hAnsi="Bookman Old Style" w:ascii="Bookman Old Style"/>
          <w:b/>
          <w:szCs w:val="24"/>
          <w:lang w:val="hr-HR"/>
        </w:rPr>
        <w:t xml:space="preserve"> </w:t>
      </w:r>
    </w:p>
    <w:p w:rsidRDefault="00BC1619" w:rsidP="00640B8E" w:rsidR="006476A9">
      <w:pPr>
        <w:pStyle w:val="Zaglavlje"/>
        <w:numPr>
          <w:ilvl w:val="0"/>
          <w:numId w:val="41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Izvješće stečajne upraviteljice o okončanju završne diobe </w:t>
      </w:r>
    </w:p>
    <w:p w:rsidRDefault="00640B8E" w:rsidP="00640B8E" w:rsidR="00640B8E">
      <w:pPr>
        <w:pStyle w:val="Zaglavlje"/>
        <w:numPr>
          <w:ilvl w:val="0"/>
          <w:numId w:val="41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Prijedlog za donošenje Rješenja o zaključenju stečajnog postupka sukladno </w:t>
      </w:r>
      <w:r w:rsidR="00F14132">
        <w:rPr>
          <w:rFonts w:hAnsi="Bookman Old Style" w:ascii="Bookman Old Style"/>
          <w:b/>
          <w:szCs w:val="24"/>
          <w:lang w:val="hr-HR"/>
        </w:rPr>
        <w:t xml:space="preserve">čl. </w:t>
      </w:r>
      <w:r w:rsidR="007027E2">
        <w:rPr>
          <w:rFonts w:hAnsi="Bookman Old Style" w:ascii="Bookman Old Style"/>
          <w:b/>
          <w:szCs w:val="24"/>
          <w:lang w:val="hr-HR"/>
        </w:rPr>
        <w:t>28</w:t>
      </w:r>
      <w:r w:rsidR="00F14132">
        <w:rPr>
          <w:rFonts w:hAnsi="Bookman Old Style" w:ascii="Bookman Old Style"/>
          <w:b/>
          <w:szCs w:val="24"/>
          <w:lang w:val="hr-HR"/>
        </w:rPr>
        <w:t>6</w:t>
      </w:r>
      <w:r w:rsidR="007027E2">
        <w:rPr>
          <w:rFonts w:hAnsi="Bookman Old Style" w:ascii="Bookman Old Style"/>
          <w:b/>
          <w:szCs w:val="24"/>
          <w:lang w:val="hr-HR"/>
        </w:rPr>
        <w:t>.</w:t>
      </w:r>
      <w:r w:rsidR="00F14132">
        <w:rPr>
          <w:rFonts w:hAnsi="Bookman Old Style" w:ascii="Bookman Old Style"/>
          <w:b/>
          <w:szCs w:val="24"/>
          <w:lang w:val="hr-HR"/>
        </w:rPr>
        <w:t xml:space="preserve"> Stečajnog zakona</w:t>
      </w:r>
    </w:p>
    <w:p w:rsidRDefault="00B74E59" w:rsidP="00B74E59" w:rsidR="00B74E59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0E39DF" w:rsidP="00DD4BB4" w:rsidR="000E39DF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0E39DF" w:rsidP="007027E2" w:rsidR="000E39DF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Sa danom </w:t>
      </w:r>
      <w:r w:rsidR="007027E2">
        <w:rPr>
          <w:rFonts w:hAnsi="Bookman Old Style" w:ascii="Bookman Old Style"/>
          <w:szCs w:val="24"/>
          <w:lang w:val="hr-HR"/>
        </w:rPr>
        <w:t>14.02.2019</w:t>
      </w:r>
      <w:r>
        <w:rPr>
          <w:rFonts w:hAnsi="Bookman Old Style" w:ascii="Bookman Old Style"/>
          <w:szCs w:val="24"/>
          <w:lang w:val="hr-HR"/>
        </w:rPr>
        <w:t>. godine u cijelosti su prove</w:t>
      </w:r>
      <w:r w:rsidR="00B74E59">
        <w:rPr>
          <w:rFonts w:hAnsi="Bookman Old Style" w:ascii="Bookman Old Style"/>
          <w:szCs w:val="24"/>
          <w:lang w:val="hr-HR"/>
        </w:rPr>
        <w:t>dene radnje sukladno odredbama S</w:t>
      </w:r>
      <w:r>
        <w:rPr>
          <w:rFonts w:hAnsi="Bookman Old Style" w:ascii="Bookman Old Style"/>
          <w:szCs w:val="24"/>
          <w:lang w:val="hr-HR"/>
        </w:rPr>
        <w:t xml:space="preserve">tečajnog zakona, te </w:t>
      </w:r>
      <w:r w:rsidR="007027E2">
        <w:rPr>
          <w:rFonts w:hAnsi="Bookman Old Style" w:ascii="Bookman Old Style"/>
          <w:szCs w:val="24"/>
          <w:lang w:val="hr-HR"/>
        </w:rPr>
        <w:t>Rješenjem</w:t>
      </w:r>
      <w:r>
        <w:rPr>
          <w:rFonts w:hAnsi="Bookman Old Style" w:ascii="Bookman Old Style"/>
          <w:szCs w:val="24"/>
          <w:lang w:val="hr-HR"/>
        </w:rPr>
        <w:t xml:space="preserve">  </w:t>
      </w:r>
      <w:r w:rsidR="00E705D9">
        <w:rPr>
          <w:rFonts w:hAnsi="Bookman Old Style" w:ascii="Bookman Old Style"/>
          <w:szCs w:val="24"/>
          <w:lang w:val="hr-HR"/>
        </w:rPr>
        <w:t>T</w:t>
      </w:r>
      <w:r>
        <w:rPr>
          <w:rFonts w:hAnsi="Bookman Old Style" w:ascii="Bookman Old Style"/>
          <w:szCs w:val="24"/>
          <w:lang w:val="hr-HR"/>
        </w:rPr>
        <w:t xml:space="preserve">rgovačkog suda u Zagrebu  </w:t>
      </w:r>
      <w:r w:rsidR="007027E2">
        <w:rPr>
          <w:rFonts w:hAnsi="Bookman Old Style" w:ascii="Bookman Old Style"/>
          <w:szCs w:val="24"/>
          <w:lang w:val="hr-HR"/>
        </w:rPr>
        <w:t>broj</w:t>
      </w:r>
      <w:r>
        <w:rPr>
          <w:rFonts w:hAnsi="Bookman Old Style" w:ascii="Bookman Old Style"/>
          <w:szCs w:val="24"/>
          <w:lang w:val="hr-HR"/>
        </w:rPr>
        <w:t xml:space="preserve"> St-</w:t>
      </w:r>
      <w:r w:rsidR="007027E2">
        <w:rPr>
          <w:rFonts w:hAnsi="Bookman Old Style" w:ascii="Bookman Old Style"/>
          <w:szCs w:val="24"/>
          <w:lang w:val="hr-HR"/>
        </w:rPr>
        <w:t>649/12 od 02.01.2019. godine o davanju suglasnosti na završnu diobu.</w:t>
      </w:r>
    </w:p>
    <w:p w:rsidRDefault="00BE1AD3" w:rsidP="007027E2" w:rsidR="00BE1AD3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BE1AD3" w:rsidP="00BE1AD3" w:rsidR="00BE1AD3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Utvrđena je ukupna stečajna masa u iznosu od   19.</w:t>
      </w:r>
      <w:r w:rsidR="001F3B8E">
        <w:rPr>
          <w:rFonts w:hAnsi="Bookman Old Style" w:ascii="Bookman Old Style"/>
          <w:szCs w:val="24"/>
          <w:lang w:val="hr-HR"/>
        </w:rPr>
        <w:t>960.630,73</w:t>
      </w:r>
      <w:r>
        <w:rPr>
          <w:rFonts w:hAnsi="Bookman Old Style" w:ascii="Bookman Old Style"/>
          <w:szCs w:val="24"/>
          <w:lang w:val="hr-HR"/>
        </w:rPr>
        <w:t xml:space="preserve">                 kuna, ukupno su  utvrđene tražbine vjerovnika I. i  II. isplatnog reda u iznosu do    77.557.125,93  kuna. Vjerovnici I. isplatnog reda u iznosu od 88.192,64 kuna i Vjerovnici II. isplatnog reda 77.468.933,29 kuna.</w:t>
      </w:r>
    </w:p>
    <w:p w:rsidRDefault="00BE1AD3" w:rsidP="00BE1AD3" w:rsidR="00BE1AD3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BE1AD3" w:rsidP="00BE1AD3" w:rsidR="00BE1AD3">
      <w:pPr>
        <w:numPr>
          <w:ilvl w:val="0"/>
          <w:numId w:val="43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Iz unovčenih sredstava  djelomično su  namireni razlučni vjerovnici u ukupnom iznosu od 14.423.262,46 kuna od čega:</w:t>
      </w:r>
    </w:p>
    <w:p w:rsidRDefault="00BE1AD3" w:rsidP="00BE1AD3" w:rsidR="00BE1AD3">
      <w:pPr>
        <w:jc w:val="both"/>
        <w:rPr>
          <w:rFonts w:hAnsi="Bookman Old Style" w:ascii="Bookman Old Style"/>
          <w:bCs/>
        </w:rPr>
      </w:pPr>
    </w:p>
    <w:p w:rsidRDefault="00BE1AD3" w:rsidP="00BE1AD3" w:rsidR="00BE1AD3">
      <w:pPr>
        <w:numPr>
          <w:ilvl w:val="0"/>
          <w:numId w:val="42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PRIVREDNA BANKA ZAGREB d.d., Zagreb, Račkoga 6, OIB:         u iznosu od 1.534.625,00 kuna</w:t>
      </w:r>
    </w:p>
    <w:p w:rsidRDefault="00BE1AD3" w:rsidP="00BE1AD3" w:rsidR="00BE1AD3">
      <w:pPr>
        <w:numPr>
          <w:ilvl w:val="0"/>
          <w:numId w:val="42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ERSTE CARD CLUB d.d. Zagreb, Praška 5, OIB:85941596441 u iznosu od 2.013.660,73 kuna</w:t>
      </w:r>
    </w:p>
    <w:p w:rsidRDefault="00BE1AD3" w:rsidP="00BE1AD3" w:rsidR="00BE1AD3">
      <w:pPr>
        <w:numPr>
          <w:ilvl w:val="0"/>
          <w:numId w:val="42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KREDITNA BANKA ZAGREB d.d., Zagreb, Ulica grada Vukovara 74, OIB:70663193635 u iznosu od 2.013.660,73 kuna</w:t>
      </w:r>
    </w:p>
    <w:p w:rsidRDefault="00BE1AD3" w:rsidP="00BE1AD3" w:rsidR="00BE1AD3">
      <w:pPr>
        <w:numPr>
          <w:ilvl w:val="0"/>
          <w:numId w:val="42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HRVATSKA POŠTANSKA BANKA d.d., Zagreb, Jurišićeva 4, OIB:87939104217 u iznosu od 9.524.175,49 kuna</w:t>
      </w:r>
    </w:p>
    <w:p w:rsidRDefault="00BE1AD3" w:rsidP="00BE1AD3" w:rsidR="00BE1AD3">
      <w:pPr>
        <w:numPr>
          <w:ilvl w:val="0"/>
          <w:numId w:val="42"/>
        </w:numPr>
        <w:jc w:val="both"/>
        <w:rPr>
          <w:rFonts w:hAnsi="Bookman Old Style" w:ascii="Bookman Old Style"/>
          <w:bCs/>
        </w:rPr>
      </w:pPr>
      <w:r>
        <w:rPr>
          <w:rFonts w:hAnsi="Bookman Old Style" w:ascii="Bookman Old Style"/>
          <w:bCs/>
        </w:rPr>
        <w:t>REPUBLIKA HRVATSKA, MINISTARSTVO FINANCIJA, OIB:18683136487 u iznosu od 158.135,37 kuna</w:t>
      </w:r>
    </w:p>
    <w:p w:rsidRDefault="00BE1AD3" w:rsidP="00BE1AD3" w:rsidR="00BE1AD3">
      <w:pPr>
        <w:ind w:left="720"/>
        <w:jc w:val="both"/>
        <w:rPr>
          <w:rFonts w:hAnsi="Bookman Old Style" w:ascii="Bookman Old Style"/>
          <w:bCs/>
        </w:rPr>
      </w:pPr>
    </w:p>
    <w:p w:rsidRDefault="00BE1AD3" w:rsidP="00BE1AD3" w:rsidR="00BE1AD3" w:rsidRPr="00CD0766">
      <w:pPr>
        <w:numPr>
          <w:ilvl w:val="0"/>
          <w:numId w:val="43"/>
        </w:numPr>
        <w:jc w:val="both"/>
        <w:rPr>
          <w:rFonts w:hAnsi="Bookman Old Style" w:ascii="Bookman Old Style"/>
          <w:bCs/>
        </w:rPr>
      </w:pPr>
      <w:r w:rsidRPr="00B95926">
        <w:rPr>
          <w:rFonts w:hAnsi="Bookman Old Style" w:ascii="Bookman Old Style"/>
          <w:b/>
          <w:bCs/>
        </w:rPr>
        <w:t>Vjerovnici I. isplatnog reda</w:t>
      </w:r>
      <w:r>
        <w:rPr>
          <w:rFonts w:hAnsi="Bookman Old Style" w:ascii="Bookman Old Style"/>
          <w:bCs/>
        </w:rPr>
        <w:t xml:space="preserve"> namireni su u 100% iznosu priznatih tražbina od 88.192,64 kuna.</w:t>
      </w:r>
    </w:p>
    <w:p w:rsidRDefault="00BE1AD3" w:rsidP="00BE1AD3" w:rsidR="00BE1AD3">
      <w:pPr>
        <w:ind w:left="720"/>
        <w:jc w:val="both"/>
        <w:rPr>
          <w:rFonts w:hAnsi="Bookman Old Style" w:ascii="Bookman Old Style"/>
          <w:bCs/>
        </w:rPr>
      </w:pPr>
    </w:p>
    <w:p w:rsidRDefault="00BE1AD3" w:rsidP="00BA449E" w:rsidR="003639F1" w:rsidRPr="003639F1">
      <w:pPr>
        <w:pStyle w:val="Zaglavlje"/>
        <w:numPr>
          <w:ilvl w:val="0"/>
          <w:numId w:val="43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 w:rsidRPr="00B95926">
        <w:rPr>
          <w:rFonts w:hAnsi="Bookman Old Style" w:ascii="Bookman Old Style"/>
          <w:b/>
          <w:bCs/>
        </w:rPr>
        <w:lastRenderedPageBreak/>
        <w:t>Vjerovnici II. Isplatnog reda</w:t>
      </w:r>
      <w:r w:rsidR="00242D9D">
        <w:rPr>
          <w:rFonts w:hAnsi="Bookman Old Style" w:ascii="Bookman Old Style"/>
          <w:b/>
          <w:bCs/>
        </w:rPr>
        <w:t>:</w:t>
      </w:r>
      <w:r w:rsidR="00BA449E">
        <w:rPr>
          <w:rFonts w:hAnsi="Bookman Old Style" w:ascii="Bookman Old Style"/>
          <w:bCs/>
        </w:rPr>
        <w:t xml:space="preserve"> Završnom diobom vjerovnici II. Isplatnog reda namireni su sa 2,3106 % od ukupno priznatih potraživanja</w:t>
      </w:r>
      <w:r>
        <w:rPr>
          <w:rFonts w:hAnsi="Bookman Old Style" w:ascii="Bookman Old Style"/>
          <w:bCs/>
        </w:rPr>
        <w:t xml:space="preserve"> u iznosu od 77.468.933,29 kuna.  </w:t>
      </w:r>
      <w:r w:rsidR="000C7AC8">
        <w:rPr>
          <w:rFonts w:hAnsi="Bookman Old Style" w:ascii="Bookman Old Style"/>
          <w:bCs/>
        </w:rPr>
        <w:t xml:space="preserve">Kao </w:t>
      </w:r>
      <w:r>
        <w:rPr>
          <w:rFonts w:hAnsi="Bookman Old Style" w:ascii="Bookman Old Style"/>
          <w:bCs/>
        </w:rPr>
        <w:t xml:space="preserve">razlučni vjerovnici (koji su ujedno i vjerovnici II. Isplatnog reda) </w:t>
      </w:r>
      <w:r w:rsidR="000C7AC8">
        <w:rPr>
          <w:rFonts w:hAnsi="Bookman Old Style" w:ascii="Bookman Old Style"/>
          <w:bCs/>
        </w:rPr>
        <w:t>u</w:t>
      </w:r>
      <w:r>
        <w:rPr>
          <w:rFonts w:hAnsi="Bookman Old Style" w:ascii="Bookman Old Style"/>
          <w:bCs/>
        </w:rPr>
        <w:t xml:space="preserve">  iznos</w:t>
      </w:r>
      <w:r w:rsidR="000C7AC8">
        <w:rPr>
          <w:rFonts w:hAnsi="Bookman Old Style" w:ascii="Bookman Old Style"/>
          <w:bCs/>
        </w:rPr>
        <w:t>u</w:t>
      </w:r>
      <w:r>
        <w:rPr>
          <w:rFonts w:hAnsi="Bookman Old Style" w:ascii="Bookman Old Style"/>
          <w:bCs/>
        </w:rPr>
        <w:t xml:space="preserve"> od </w:t>
      </w:r>
      <w:r w:rsidR="000C7AC8">
        <w:rPr>
          <w:rFonts w:hAnsi="Bookman Old Style" w:ascii="Bookman Old Style"/>
          <w:bCs/>
        </w:rPr>
        <w:t>14.423.262,46</w:t>
      </w:r>
      <w:r>
        <w:rPr>
          <w:rFonts w:hAnsi="Bookman Old Style" w:ascii="Bookman Old Style"/>
          <w:bCs/>
        </w:rPr>
        <w:t xml:space="preserve"> kuna iz  prodaje nekretnina  na kojima su imali zasnovano razlučno pravo,  te nakon provedbe I. i II. djelomične diobe u ukupnom iznosu od 1.000.000,00 kuna</w:t>
      </w:r>
      <w:r w:rsidR="000C7AC8">
        <w:rPr>
          <w:rFonts w:hAnsi="Bookman Old Style" w:ascii="Bookman Old Style"/>
          <w:bCs/>
        </w:rPr>
        <w:t xml:space="preserve"> i završne diobe u iznosu od  790.000,00 kuna ostaje ukupno nepodmirene priznate tražbine II. Isplatnog reda u iznosu od  64.461.998,43 kuna.</w:t>
      </w:r>
      <w:r w:rsidR="00BA449E">
        <w:rPr>
          <w:rFonts w:hAnsi="Bookman Old Style" w:ascii="Bookman Old Style"/>
          <w:bCs/>
        </w:rPr>
        <w:t xml:space="preserve"> </w:t>
      </w:r>
    </w:p>
    <w:p w:rsidRDefault="003639F1" w:rsidP="003639F1" w:rsidR="003639F1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BA449E" w:rsidP="00BA449E" w:rsidR="00BA449E">
      <w:pPr>
        <w:pStyle w:val="Zaglavlje"/>
        <w:numPr>
          <w:ilvl w:val="0"/>
          <w:numId w:val="43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Diobeni popis</w:t>
      </w:r>
      <w:r w:rsidR="003639F1">
        <w:rPr>
          <w:rFonts w:hAnsi="Bookman Old Style" w:ascii="Bookman Old Style"/>
          <w:szCs w:val="24"/>
          <w:lang w:val="hr-HR"/>
        </w:rPr>
        <w:t>i</w:t>
      </w:r>
      <w:r>
        <w:rPr>
          <w:rFonts w:hAnsi="Bookman Old Style" w:ascii="Bookman Old Style"/>
          <w:szCs w:val="24"/>
          <w:lang w:val="hr-HR"/>
        </w:rPr>
        <w:t xml:space="preserve"> objavljen</w:t>
      </w:r>
      <w:r w:rsidR="003639F1">
        <w:rPr>
          <w:rFonts w:hAnsi="Bookman Old Style" w:ascii="Bookman Old Style"/>
          <w:szCs w:val="24"/>
          <w:lang w:val="hr-HR"/>
        </w:rPr>
        <w:t>i su u NN i/ili</w:t>
      </w:r>
      <w:r>
        <w:rPr>
          <w:rFonts w:hAnsi="Bookman Old Style" w:ascii="Bookman Old Style"/>
          <w:szCs w:val="24"/>
          <w:lang w:val="hr-HR"/>
        </w:rPr>
        <w:t xml:space="preserve">  putem e-oglasne ploče suda. </w:t>
      </w:r>
    </w:p>
    <w:p w:rsidRDefault="00BE1AD3" w:rsidP="00BA449E" w:rsidR="00BE1AD3">
      <w:pPr>
        <w:ind w:left="720"/>
        <w:jc w:val="both"/>
        <w:rPr>
          <w:rFonts w:hAnsi="Bookman Old Style" w:ascii="Bookman Old Style"/>
          <w:bCs/>
        </w:rPr>
      </w:pPr>
    </w:p>
    <w:p w:rsidRDefault="00A9514C" w:rsidP="00242D9D" w:rsidR="00CE1C22" w:rsidRPr="00242D9D">
      <w:pPr>
        <w:pStyle w:val="Zaglavlje"/>
        <w:numPr>
          <w:ilvl w:val="0"/>
          <w:numId w:val="43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 w:rsidRPr="00242D9D">
        <w:rPr>
          <w:rFonts w:hAnsi="Bookman Old Style" w:ascii="Bookman Old Style"/>
          <w:szCs w:val="24"/>
          <w:lang w:val="hr-HR"/>
        </w:rPr>
        <w:t xml:space="preserve">Obavljene su podmire obveza </w:t>
      </w:r>
      <w:r w:rsidR="00242D9D">
        <w:rPr>
          <w:rFonts w:hAnsi="Bookman Old Style" w:ascii="Bookman Old Style"/>
          <w:szCs w:val="24"/>
          <w:lang w:val="hr-HR"/>
        </w:rPr>
        <w:t>stečajne mase u skladu članka 155. i 156.  Stečajnog zakona u ukupnom iznosu od 3.463.202,51 kuna sukladno specifikaciji u završnom računu.</w:t>
      </w:r>
    </w:p>
    <w:p w:rsidRDefault="005726B1" w:rsidP="005726B1" w:rsidR="005726B1">
      <w:pPr>
        <w:pStyle w:val="Zaglavlje"/>
        <w:tabs>
          <w:tab w:pos="4153" w:val="clear"/>
          <w:tab w:pos="8306" w:val="clear"/>
        </w:tabs>
        <w:ind w:left="720"/>
        <w:jc w:val="both"/>
        <w:rPr>
          <w:rFonts w:hAnsi="Bookman Old Style" w:ascii="Bookman Old Style"/>
          <w:szCs w:val="24"/>
          <w:lang w:val="hr-HR"/>
        </w:rPr>
      </w:pPr>
    </w:p>
    <w:p w:rsidRDefault="00525A5D" w:rsidP="00BA449E" w:rsidR="00FD2DAA">
      <w:pPr>
        <w:pStyle w:val="Zaglavlje"/>
        <w:numPr>
          <w:ilvl w:val="0"/>
          <w:numId w:val="43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Kako </w:t>
      </w:r>
      <w:r w:rsidR="00B50F8C">
        <w:rPr>
          <w:rFonts w:hAnsi="Bookman Old Style" w:ascii="Bookman Old Style"/>
          <w:szCs w:val="24"/>
          <w:lang w:val="hr-HR"/>
        </w:rPr>
        <w:t>je</w:t>
      </w:r>
      <w:r>
        <w:rPr>
          <w:rFonts w:hAnsi="Bookman Old Style" w:ascii="Bookman Old Style"/>
          <w:szCs w:val="24"/>
          <w:lang w:val="hr-HR"/>
        </w:rPr>
        <w:t xml:space="preserve"> u cijelosti </w:t>
      </w:r>
      <w:r w:rsidR="00B50F8C">
        <w:rPr>
          <w:rFonts w:hAnsi="Bookman Old Style" w:ascii="Bookman Old Style"/>
          <w:szCs w:val="24"/>
          <w:lang w:val="hr-HR"/>
        </w:rPr>
        <w:t>provedena završna dioba</w:t>
      </w:r>
      <w:r>
        <w:rPr>
          <w:rFonts w:hAnsi="Bookman Old Style" w:ascii="Bookman Old Style"/>
          <w:szCs w:val="24"/>
          <w:lang w:val="hr-HR"/>
        </w:rPr>
        <w:t xml:space="preserve"> i podmireni </w:t>
      </w:r>
      <w:r w:rsidR="00B50F8C">
        <w:rPr>
          <w:rFonts w:hAnsi="Bookman Old Style" w:ascii="Bookman Old Style"/>
          <w:szCs w:val="24"/>
          <w:lang w:val="hr-HR"/>
        </w:rPr>
        <w:t xml:space="preserve">su </w:t>
      </w:r>
      <w:r>
        <w:rPr>
          <w:rFonts w:hAnsi="Bookman Old Style" w:ascii="Bookman Old Style"/>
          <w:szCs w:val="24"/>
          <w:lang w:val="hr-HR"/>
        </w:rPr>
        <w:t xml:space="preserve">troškovi stečajnog postupka,  stečajna upraviteljica </w:t>
      </w:r>
    </w:p>
    <w:p w:rsidRDefault="00FD2DAA" w:rsidP="00FD2DAA" w:rsidR="00FD2DAA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797077" w:rsidP="00FD2DAA" w:rsidR="00FD2DAA" w:rsidRPr="00FD2DAA">
      <w:pPr>
        <w:pStyle w:val="Zaglavlje"/>
        <w:tabs>
          <w:tab w:pos="4153" w:val="clear"/>
          <w:tab w:pos="8306" w:val="clear"/>
        </w:tabs>
        <w:ind w:left="360"/>
        <w:jc w:val="center"/>
        <w:rPr>
          <w:rFonts w:hAnsi="Bookman Old Style" w:ascii="Bookman Old Style"/>
          <w:b/>
          <w:szCs w:val="24"/>
          <w:lang w:val="hr-HR"/>
        </w:rPr>
      </w:pPr>
      <w:r w:rsidRPr="00FD2DAA">
        <w:rPr>
          <w:rFonts w:hAnsi="Bookman Old Style" w:ascii="Bookman Old Style"/>
          <w:b/>
          <w:szCs w:val="24"/>
          <w:lang w:val="hr-HR"/>
        </w:rPr>
        <w:t>predlaže</w:t>
      </w:r>
    </w:p>
    <w:p w:rsidRDefault="00FD2DAA" w:rsidP="00FD2DAA" w:rsidR="00FD2DAA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</w:p>
    <w:p w:rsidRDefault="0045267F" w:rsidP="00FD2DAA" w:rsidR="00525A5D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- </w:t>
      </w:r>
      <w:r w:rsidR="00797077">
        <w:rPr>
          <w:rFonts w:hAnsi="Bookman Old Style" w:ascii="Bookman Old Style"/>
          <w:szCs w:val="24"/>
          <w:lang w:val="hr-HR"/>
        </w:rPr>
        <w:t xml:space="preserve">da sud donese </w:t>
      </w:r>
      <w:r w:rsidR="00797077" w:rsidRPr="00B50F8C">
        <w:rPr>
          <w:rFonts w:hAnsi="Bookman Old Style" w:ascii="Bookman Old Style"/>
          <w:b/>
          <w:szCs w:val="24"/>
          <w:lang w:val="hr-HR"/>
        </w:rPr>
        <w:t>Rješenje o</w:t>
      </w:r>
      <w:r w:rsidR="00EE06A5" w:rsidRPr="00B50F8C">
        <w:rPr>
          <w:rFonts w:hAnsi="Bookman Old Style" w:ascii="Bookman Old Style"/>
          <w:b/>
          <w:szCs w:val="24"/>
          <w:lang w:val="hr-HR"/>
        </w:rPr>
        <w:t xml:space="preserve"> zaključenju stečajnog postupka</w:t>
      </w:r>
      <w:r w:rsidR="00EE06A5">
        <w:rPr>
          <w:rFonts w:hAnsi="Bookman Old Style" w:ascii="Bookman Old Style"/>
          <w:szCs w:val="24"/>
          <w:lang w:val="hr-HR"/>
        </w:rPr>
        <w:t xml:space="preserve"> sukladno članku </w:t>
      </w:r>
      <w:r w:rsidR="003639F1">
        <w:rPr>
          <w:rFonts w:hAnsi="Bookman Old Style" w:ascii="Bookman Old Style"/>
          <w:szCs w:val="24"/>
          <w:lang w:val="hr-HR"/>
        </w:rPr>
        <w:t>286</w:t>
      </w:r>
      <w:r w:rsidR="00EE06A5">
        <w:rPr>
          <w:rFonts w:hAnsi="Bookman Old Style" w:ascii="Bookman Old Style"/>
          <w:szCs w:val="24"/>
          <w:lang w:val="hr-HR"/>
        </w:rPr>
        <w:t>. Stečajnog zakona.</w:t>
      </w:r>
    </w:p>
    <w:p w:rsidRDefault="00EE06A5" w:rsidP="00EE06A5" w:rsidR="00EE06A5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797077" w:rsidP="00797077" w:rsidR="00797077">
      <w:pPr>
        <w:pStyle w:val="Zaglavlje"/>
        <w:tabs>
          <w:tab w:pos="4153" w:val="clear"/>
          <w:tab w:pos="8306" w:val="clear"/>
        </w:tabs>
        <w:ind w:left="57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S</w:t>
      </w:r>
      <w:r w:rsidR="00F64634">
        <w:rPr>
          <w:rFonts w:hAnsi="Bookman Old Style" w:ascii="Bookman Old Style"/>
          <w:szCs w:val="24"/>
          <w:lang w:val="hr-HR"/>
        </w:rPr>
        <w:t>t</w:t>
      </w:r>
      <w:r>
        <w:rPr>
          <w:rFonts w:hAnsi="Bookman Old Style" w:ascii="Bookman Old Style"/>
          <w:szCs w:val="24"/>
          <w:lang w:val="hr-HR"/>
        </w:rPr>
        <w:t>ečajna upraviteljica</w:t>
      </w:r>
    </w:p>
    <w:p w:rsidRDefault="00797077" w:rsidP="00EB706D" w:rsidR="00DD4BB4">
      <w:pPr>
        <w:pStyle w:val="Zaglavlje"/>
        <w:tabs>
          <w:tab w:pos="4153" w:val="clear"/>
          <w:tab w:pos="8306" w:val="clear"/>
        </w:tabs>
        <w:ind w:left="6480"/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Davorka Huljev</w:t>
      </w:r>
    </w:p>
    <w:sectPr w:rsidR="00DD4BB4">
      <w:pgSz w:h="16834" w:w="11896"/>
      <w:pgMar w:gutter="0" w:footer="720" w:header="720" w:left="1440" w:bottom="1440" w:right="1440" w:top="851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24325"/>
    <w:multiLevelType w:val="hybridMultilevel"/>
    <w:tmpl w:val="831AF05C"/>
    <w:lvl w:tplc="933282D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05AB2325"/>
    <w:multiLevelType w:val="hybridMultilevel"/>
    <w:tmpl w:val="06FAF3D6"/>
    <w:lvl w:tplc="400EBA30" w:ilvl="0">
      <w:start w:val="1"/>
      <w:numFmt w:val="decimal"/>
      <w:lvlText w:val="%1."/>
      <w:lvlJc w:val="left"/>
      <w:pPr>
        <w:tabs>
          <w:tab w:pos="2160" w:val="num"/>
        </w:tabs>
        <w:ind w:hanging="360" w:left="2160"/>
      </w:pPr>
    </w:lvl>
    <w:lvl w:tentative="true" w:tplc="41000334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62E8F24E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5AFA8EE8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FB7A1818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91E68A84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4C28E786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8A7EA67E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C21EA3FA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tplc="EB662AD4" w:ilvl="0">
      <w:start w:val="1"/>
      <w:numFmt w:val="decimal"/>
      <w:lvlText w:val="%1."/>
      <w:lvlJc w:val="left"/>
      <w:pPr>
        <w:tabs>
          <w:tab w:pos="1520" w:val="num"/>
        </w:tabs>
        <w:ind w:hanging="360" w:left="1520"/>
      </w:pPr>
    </w:lvl>
    <w:lvl w:tentative="true" w:tplc="7438EB00" w:ilvl="1">
      <w:start w:val="1"/>
      <w:numFmt w:val="lowerLetter"/>
      <w:lvlText w:val="%2."/>
      <w:lvlJc w:val="left"/>
      <w:pPr>
        <w:tabs>
          <w:tab w:pos="2240" w:val="num"/>
        </w:tabs>
        <w:ind w:hanging="360" w:left="2240"/>
      </w:pPr>
    </w:lvl>
    <w:lvl w:tentative="true" w:tplc="EE82B730" w:ilvl="2">
      <w:start w:val="1"/>
      <w:numFmt w:val="lowerRoman"/>
      <w:lvlText w:val="%3."/>
      <w:lvlJc w:val="right"/>
      <w:pPr>
        <w:tabs>
          <w:tab w:pos="2960" w:val="num"/>
        </w:tabs>
        <w:ind w:hanging="180" w:left="2960"/>
      </w:pPr>
    </w:lvl>
    <w:lvl w:tentative="true" w:tplc="22B61E78" w:ilvl="3">
      <w:start w:val="1"/>
      <w:numFmt w:val="decimal"/>
      <w:lvlText w:val="%4."/>
      <w:lvlJc w:val="left"/>
      <w:pPr>
        <w:tabs>
          <w:tab w:pos="3680" w:val="num"/>
        </w:tabs>
        <w:ind w:hanging="360" w:left="3680"/>
      </w:pPr>
    </w:lvl>
    <w:lvl w:tentative="true" w:tplc="374EF64E" w:ilvl="4">
      <w:start w:val="1"/>
      <w:numFmt w:val="lowerLetter"/>
      <w:lvlText w:val="%5."/>
      <w:lvlJc w:val="left"/>
      <w:pPr>
        <w:tabs>
          <w:tab w:pos="4400" w:val="num"/>
        </w:tabs>
        <w:ind w:hanging="360" w:left="4400"/>
      </w:pPr>
    </w:lvl>
    <w:lvl w:tentative="true" w:tplc="A594C1BA" w:ilvl="5">
      <w:start w:val="1"/>
      <w:numFmt w:val="lowerRoman"/>
      <w:lvlText w:val="%6."/>
      <w:lvlJc w:val="right"/>
      <w:pPr>
        <w:tabs>
          <w:tab w:pos="5120" w:val="num"/>
        </w:tabs>
        <w:ind w:hanging="180" w:left="5120"/>
      </w:pPr>
    </w:lvl>
    <w:lvl w:tentative="true" w:tplc="9D30B942" w:ilvl="6">
      <w:start w:val="1"/>
      <w:numFmt w:val="decimal"/>
      <w:lvlText w:val="%7."/>
      <w:lvlJc w:val="left"/>
      <w:pPr>
        <w:tabs>
          <w:tab w:pos="5840" w:val="num"/>
        </w:tabs>
        <w:ind w:hanging="360" w:left="5840"/>
      </w:pPr>
    </w:lvl>
    <w:lvl w:tentative="true" w:tplc="A5E6190A" w:ilvl="7">
      <w:start w:val="1"/>
      <w:numFmt w:val="lowerLetter"/>
      <w:lvlText w:val="%8."/>
      <w:lvlJc w:val="left"/>
      <w:pPr>
        <w:tabs>
          <w:tab w:pos="6560" w:val="num"/>
        </w:tabs>
        <w:ind w:hanging="360" w:left="6560"/>
      </w:pPr>
    </w:lvl>
    <w:lvl w:tentative="true" w:tplc="175C7AEE" w:ilvl="8">
      <w:start w:val="1"/>
      <w:numFmt w:val="lowerRoman"/>
      <w:lvlText w:val="%9."/>
      <w:lvlJc w:val="right"/>
      <w:pPr>
        <w:tabs>
          <w:tab w:pos="7280" w:val="num"/>
        </w:tabs>
        <w:ind w:hanging="180" w:left="7280"/>
      </w:pPr>
    </w:lvl>
  </w:abstractNum>
  <w:abstractNum w:abstractNumId="9">
    <w:nsid w:val="12F62E44"/>
    <w:multiLevelType w:val="hybridMultilevel"/>
    <w:tmpl w:val="461AD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31952A0"/>
    <w:multiLevelType w:val="hybridMultilevel"/>
    <w:tmpl w:val="CF72E678"/>
    <w:lvl w:tplc="6B5E87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8F33E7"/>
    <w:multiLevelType w:val="hybridMultilevel"/>
    <w:tmpl w:val="ABC04EAE"/>
    <w:lvl w:tplc="A91C41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70E1EEF"/>
    <w:multiLevelType w:val="hybridMultilevel"/>
    <w:tmpl w:val="FDDC8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7F07F00"/>
    <w:multiLevelType w:val="hybridMultilevel"/>
    <w:tmpl w:val="5F0473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B9A0C80"/>
    <w:multiLevelType w:val="hybridMultilevel"/>
    <w:tmpl w:val="D5CA5B66"/>
    <w:lvl w:tplc="E74A8C9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1D3129C6"/>
    <w:multiLevelType w:val="hybridMultilevel"/>
    <w:tmpl w:val="93C8C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23791BDA"/>
    <w:multiLevelType w:val="hybridMultilevel"/>
    <w:tmpl w:val="82F2FE7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28FB4E73"/>
    <w:multiLevelType w:val="hybridMultilevel"/>
    <w:tmpl w:val="CD4C8E90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9">
    <w:nsid w:val="2D2B025D"/>
    <w:multiLevelType w:val="hybridMultilevel"/>
    <w:tmpl w:val="8EBE8D1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37E17029"/>
    <w:multiLevelType w:val="hybridMultilevel"/>
    <w:tmpl w:val="2C34352E"/>
    <w:lvl w:tplc="041A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1">
    <w:nsid w:val="3BC81866"/>
    <w:multiLevelType w:val="hybridMultilevel"/>
    <w:tmpl w:val="680AA1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C1C4D44"/>
    <w:multiLevelType w:val="hybridMultilevel"/>
    <w:tmpl w:val="DD22FAD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3D92440A"/>
    <w:multiLevelType w:val="hybridMultilevel"/>
    <w:tmpl w:val="F3C6913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34A2FA5"/>
    <w:multiLevelType w:val="hybridMultilevel"/>
    <w:tmpl w:val="351E08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4EE1EAF"/>
    <w:multiLevelType w:val="hybridMultilevel"/>
    <w:tmpl w:val="7388A30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A3F06FD"/>
    <w:multiLevelType w:val="hybridMultilevel"/>
    <w:tmpl w:val="AA0ACFC2"/>
    <w:lvl w:tplc="94BA2BE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8">
    <w:nsid w:val="60A856EA"/>
    <w:multiLevelType w:val="hybridMultilevel"/>
    <w:tmpl w:val="49FCC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0C075E1"/>
    <w:multiLevelType w:val="hybridMultilevel"/>
    <w:tmpl w:val="0638F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2">
    <w:nsid w:val="67BA0CB4"/>
    <w:multiLevelType w:val="hybridMultilevel"/>
    <w:tmpl w:val="E7C63282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4">
    <w:nsid w:val="6E6032F6"/>
    <w:multiLevelType w:val="hybridMultilevel"/>
    <w:tmpl w:val="9E4650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13429E"/>
    <w:multiLevelType w:val="hybridMultilevel"/>
    <w:tmpl w:val="BAA01C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1C0042"/>
    <w:multiLevelType w:val="hybridMultilevel"/>
    <w:tmpl w:val="89C26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24C0F2C"/>
    <w:multiLevelType w:val="hybridMultilevel"/>
    <w:tmpl w:val="891222D8"/>
    <w:lvl w:tplc="94BA2BE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8">
    <w:nsid w:val="755E6E12"/>
    <w:multiLevelType w:val="hybridMultilevel"/>
    <w:tmpl w:val="50228DCC"/>
    <w:lvl w:tplc="41CED88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6880940"/>
    <w:multiLevelType w:val="hybridMultilevel"/>
    <w:tmpl w:val="2B303A86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40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1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42">
    <w:nsid w:val="7E350DC6"/>
    <w:multiLevelType w:val="hybridMultilevel"/>
    <w:tmpl w:val="16DC729A"/>
    <w:lvl w:tplc="94BA2BE4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33"/>
  </w:num>
  <w:num w:numId="5">
    <w:abstractNumId w:val="3"/>
  </w:num>
  <w:num w:numId="6">
    <w:abstractNumId w:val="7"/>
  </w:num>
  <w:num w:numId="7">
    <w:abstractNumId w:val="5"/>
  </w:num>
  <w:num w:numId="8">
    <w:abstractNumId w:val="40"/>
  </w:num>
  <w:num w:numId="9">
    <w:abstractNumId w:val="6"/>
  </w:num>
  <w:num w:numId="10">
    <w:abstractNumId w:val="30"/>
  </w:num>
  <w:num w:numId="11">
    <w:abstractNumId w:val="23"/>
  </w:num>
  <w:num w:numId="12">
    <w:abstractNumId w:val="31"/>
  </w:num>
  <w:num w:numId="13">
    <w:abstractNumId w:val="41"/>
  </w:num>
  <w:num w:numId="14">
    <w:abstractNumId w:val="2"/>
  </w:num>
  <w:num w:numId="15">
    <w:abstractNumId w:val="8"/>
  </w:num>
  <w:num w:numId="16">
    <w:abstractNumId w:val="18"/>
  </w:num>
  <w:num w:numId="17">
    <w:abstractNumId w:val="28"/>
  </w:num>
  <w:num w:numId="18">
    <w:abstractNumId w:val="27"/>
  </w:num>
  <w:num w:numId="19">
    <w:abstractNumId w:val="42"/>
  </w:num>
  <w:num w:numId="20">
    <w:abstractNumId w:val="37"/>
  </w:num>
  <w:num w:numId="21">
    <w:abstractNumId w:val="13"/>
  </w:num>
  <w:num w:numId="22">
    <w:abstractNumId w:val="9"/>
  </w:num>
  <w:num w:numId="23">
    <w:abstractNumId w:val="15"/>
  </w:num>
  <w:num w:numId="24">
    <w:abstractNumId w:val="39"/>
  </w:num>
  <w:num w:numId="25">
    <w:abstractNumId w:val="34"/>
  </w:num>
  <w:num w:numId="26">
    <w:abstractNumId w:val="24"/>
  </w:num>
  <w:num w:numId="27">
    <w:abstractNumId w:val="11"/>
  </w:num>
  <w:num w:numId="28">
    <w:abstractNumId w:val="20"/>
  </w:num>
  <w:num w:numId="29">
    <w:abstractNumId w:val="36"/>
  </w:num>
  <w:num w:numId="30">
    <w:abstractNumId w:val="12"/>
  </w:num>
  <w:num w:numId="31">
    <w:abstractNumId w:val="14"/>
  </w:num>
  <w:num w:numId="32">
    <w:abstractNumId w:val="38"/>
  </w:num>
  <w:num w:numId="33">
    <w:abstractNumId w:val="32"/>
  </w:num>
  <w:num w:numId="34">
    <w:abstractNumId w:val="10"/>
  </w:num>
  <w:num w:numId="35">
    <w:abstractNumId w:val="29"/>
  </w:num>
  <w:num w:numId="36">
    <w:abstractNumId w:val="19"/>
  </w:num>
  <w:num w:numId="37">
    <w:abstractNumId w:val="17"/>
  </w:num>
  <w:num w:numId="38">
    <w:abstractNumId w:val="22"/>
  </w:num>
  <w:num w:numId="39">
    <w:abstractNumId w:val="35"/>
  </w:num>
  <w:num w:numId="40">
    <w:abstractNumId w:val="21"/>
  </w:num>
  <w:num w:numId="41">
    <w:abstractNumId w:val="0"/>
  </w:num>
  <w:num w:numId="42">
    <w:abstractNumId w:val="25"/>
  </w:num>
  <w:num w:numId="43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9"/>
    <w:rsid w:val="00010DAD"/>
    <w:rsid w:val="0002112D"/>
    <w:rsid w:val="0002473F"/>
    <w:rsid w:val="00027581"/>
    <w:rsid w:val="000316CC"/>
    <w:rsid w:val="00036316"/>
    <w:rsid w:val="00044735"/>
    <w:rsid w:val="00046913"/>
    <w:rsid w:val="000503E8"/>
    <w:rsid w:val="00052D74"/>
    <w:rsid w:val="00057DC4"/>
    <w:rsid w:val="00060FDD"/>
    <w:rsid w:val="0006697A"/>
    <w:rsid w:val="0007352C"/>
    <w:rsid w:val="00073F75"/>
    <w:rsid w:val="00075C40"/>
    <w:rsid w:val="000926D9"/>
    <w:rsid w:val="0009472A"/>
    <w:rsid w:val="000A4618"/>
    <w:rsid w:val="000A71DD"/>
    <w:rsid w:val="000B72CB"/>
    <w:rsid w:val="000C499A"/>
    <w:rsid w:val="000C7AC8"/>
    <w:rsid w:val="000D3B3C"/>
    <w:rsid w:val="000E0D34"/>
    <w:rsid w:val="000E39DF"/>
    <w:rsid w:val="000F3A0F"/>
    <w:rsid w:val="001000D7"/>
    <w:rsid w:val="001055C5"/>
    <w:rsid w:val="00111A86"/>
    <w:rsid w:val="00113D1D"/>
    <w:rsid w:val="00116281"/>
    <w:rsid w:val="00124722"/>
    <w:rsid w:val="001363F4"/>
    <w:rsid w:val="001375FC"/>
    <w:rsid w:val="001437DB"/>
    <w:rsid w:val="001548C3"/>
    <w:rsid w:val="00157C17"/>
    <w:rsid w:val="00163E66"/>
    <w:rsid w:val="00171D1E"/>
    <w:rsid w:val="00184DF8"/>
    <w:rsid w:val="00197AF7"/>
    <w:rsid w:val="001B175F"/>
    <w:rsid w:val="001B53A9"/>
    <w:rsid w:val="001C3DDC"/>
    <w:rsid w:val="001D0A74"/>
    <w:rsid w:val="001E1F66"/>
    <w:rsid w:val="001E5468"/>
    <w:rsid w:val="001F3B8E"/>
    <w:rsid w:val="001F43FB"/>
    <w:rsid w:val="002032F7"/>
    <w:rsid w:val="00205E0D"/>
    <w:rsid w:val="002244A6"/>
    <w:rsid w:val="002255F5"/>
    <w:rsid w:val="00242D9D"/>
    <w:rsid w:val="00245D3C"/>
    <w:rsid w:val="00262B63"/>
    <w:rsid w:val="00263E36"/>
    <w:rsid w:val="00270C0D"/>
    <w:rsid w:val="00275339"/>
    <w:rsid w:val="0027650B"/>
    <w:rsid w:val="0028108A"/>
    <w:rsid w:val="002861C8"/>
    <w:rsid w:val="002B557C"/>
    <w:rsid w:val="002C0AA9"/>
    <w:rsid w:val="002C261F"/>
    <w:rsid w:val="002D49F3"/>
    <w:rsid w:val="002E1C1B"/>
    <w:rsid w:val="002F1F14"/>
    <w:rsid w:val="002F4FC5"/>
    <w:rsid w:val="002F5E39"/>
    <w:rsid w:val="002F7C98"/>
    <w:rsid w:val="00300BCB"/>
    <w:rsid w:val="00334D23"/>
    <w:rsid w:val="0034456C"/>
    <w:rsid w:val="00345464"/>
    <w:rsid w:val="003534EF"/>
    <w:rsid w:val="00356866"/>
    <w:rsid w:val="00361638"/>
    <w:rsid w:val="00361F7E"/>
    <w:rsid w:val="003639F1"/>
    <w:rsid w:val="00365ACA"/>
    <w:rsid w:val="00372EF0"/>
    <w:rsid w:val="00374670"/>
    <w:rsid w:val="003810F7"/>
    <w:rsid w:val="00382015"/>
    <w:rsid w:val="003828AB"/>
    <w:rsid w:val="00383FB8"/>
    <w:rsid w:val="003922B1"/>
    <w:rsid w:val="00392328"/>
    <w:rsid w:val="00393011"/>
    <w:rsid w:val="003931DE"/>
    <w:rsid w:val="00395A0C"/>
    <w:rsid w:val="003A4B90"/>
    <w:rsid w:val="003A4D52"/>
    <w:rsid w:val="003A4EED"/>
    <w:rsid w:val="003B09CE"/>
    <w:rsid w:val="003C19B6"/>
    <w:rsid w:val="003C2726"/>
    <w:rsid w:val="003C73B1"/>
    <w:rsid w:val="003D1A5A"/>
    <w:rsid w:val="003E3536"/>
    <w:rsid w:val="004200D7"/>
    <w:rsid w:val="00426F34"/>
    <w:rsid w:val="0044139D"/>
    <w:rsid w:val="00447205"/>
    <w:rsid w:val="0045267F"/>
    <w:rsid w:val="004605B8"/>
    <w:rsid w:val="00464D64"/>
    <w:rsid w:val="00477EF5"/>
    <w:rsid w:val="004844F4"/>
    <w:rsid w:val="004916EF"/>
    <w:rsid w:val="004A1603"/>
    <w:rsid w:val="004B17F4"/>
    <w:rsid w:val="004C4D9C"/>
    <w:rsid w:val="004D253D"/>
    <w:rsid w:val="004F39B5"/>
    <w:rsid w:val="004F4679"/>
    <w:rsid w:val="005145DD"/>
    <w:rsid w:val="00515231"/>
    <w:rsid w:val="00516DA2"/>
    <w:rsid w:val="005203B3"/>
    <w:rsid w:val="00525685"/>
    <w:rsid w:val="00525A5D"/>
    <w:rsid w:val="0054280E"/>
    <w:rsid w:val="005443EC"/>
    <w:rsid w:val="00550A31"/>
    <w:rsid w:val="005565DA"/>
    <w:rsid w:val="00560B59"/>
    <w:rsid w:val="0056344A"/>
    <w:rsid w:val="00563DAB"/>
    <w:rsid w:val="00566140"/>
    <w:rsid w:val="00567A32"/>
    <w:rsid w:val="00570260"/>
    <w:rsid w:val="005726B1"/>
    <w:rsid w:val="00582715"/>
    <w:rsid w:val="00590629"/>
    <w:rsid w:val="00590A07"/>
    <w:rsid w:val="0059364C"/>
    <w:rsid w:val="00595EE3"/>
    <w:rsid w:val="005A6255"/>
    <w:rsid w:val="005C6C59"/>
    <w:rsid w:val="005C6D70"/>
    <w:rsid w:val="005C7709"/>
    <w:rsid w:val="005D09EC"/>
    <w:rsid w:val="005E6969"/>
    <w:rsid w:val="005F2761"/>
    <w:rsid w:val="005F4905"/>
    <w:rsid w:val="00606F92"/>
    <w:rsid w:val="0061658F"/>
    <w:rsid w:val="006257D1"/>
    <w:rsid w:val="0062642D"/>
    <w:rsid w:val="00640B8E"/>
    <w:rsid w:val="006422B8"/>
    <w:rsid w:val="006476A9"/>
    <w:rsid w:val="006547D5"/>
    <w:rsid w:val="00674F08"/>
    <w:rsid w:val="006803CE"/>
    <w:rsid w:val="00691671"/>
    <w:rsid w:val="006917B0"/>
    <w:rsid w:val="006A20F6"/>
    <w:rsid w:val="006C14E5"/>
    <w:rsid w:val="006C15E9"/>
    <w:rsid w:val="006C4586"/>
    <w:rsid w:val="006D23A1"/>
    <w:rsid w:val="006D23F5"/>
    <w:rsid w:val="006E1661"/>
    <w:rsid w:val="006F0787"/>
    <w:rsid w:val="007027E2"/>
    <w:rsid w:val="0070333A"/>
    <w:rsid w:val="007052A7"/>
    <w:rsid w:val="007125B1"/>
    <w:rsid w:val="00722AA7"/>
    <w:rsid w:val="0072625A"/>
    <w:rsid w:val="00731EC0"/>
    <w:rsid w:val="00745391"/>
    <w:rsid w:val="00755576"/>
    <w:rsid w:val="00755F43"/>
    <w:rsid w:val="00757208"/>
    <w:rsid w:val="00763872"/>
    <w:rsid w:val="007649DF"/>
    <w:rsid w:val="007764DE"/>
    <w:rsid w:val="00785DF3"/>
    <w:rsid w:val="00791B79"/>
    <w:rsid w:val="00791C41"/>
    <w:rsid w:val="00794A76"/>
    <w:rsid w:val="0079605B"/>
    <w:rsid w:val="00797077"/>
    <w:rsid w:val="00797C65"/>
    <w:rsid w:val="007A0047"/>
    <w:rsid w:val="007B0CB1"/>
    <w:rsid w:val="007B215F"/>
    <w:rsid w:val="007B2704"/>
    <w:rsid w:val="007C2D7F"/>
    <w:rsid w:val="007D18F5"/>
    <w:rsid w:val="007D75A5"/>
    <w:rsid w:val="007E030A"/>
    <w:rsid w:val="007F0A8D"/>
    <w:rsid w:val="00804A5E"/>
    <w:rsid w:val="00805FB5"/>
    <w:rsid w:val="00810244"/>
    <w:rsid w:val="008112A9"/>
    <w:rsid w:val="008150E3"/>
    <w:rsid w:val="0082412D"/>
    <w:rsid w:val="0083157A"/>
    <w:rsid w:val="00843FD6"/>
    <w:rsid w:val="0084574A"/>
    <w:rsid w:val="008504F6"/>
    <w:rsid w:val="008552F7"/>
    <w:rsid w:val="00866491"/>
    <w:rsid w:val="0087257B"/>
    <w:rsid w:val="0087447A"/>
    <w:rsid w:val="0088492E"/>
    <w:rsid w:val="0088737E"/>
    <w:rsid w:val="008904B7"/>
    <w:rsid w:val="0089383D"/>
    <w:rsid w:val="008A5B67"/>
    <w:rsid w:val="008B1B3E"/>
    <w:rsid w:val="008D153D"/>
    <w:rsid w:val="008D36AB"/>
    <w:rsid w:val="008E6C48"/>
    <w:rsid w:val="008E750B"/>
    <w:rsid w:val="008F07F6"/>
    <w:rsid w:val="008F7195"/>
    <w:rsid w:val="008F783F"/>
    <w:rsid w:val="00900AC8"/>
    <w:rsid w:val="009041F6"/>
    <w:rsid w:val="00910D77"/>
    <w:rsid w:val="009168FB"/>
    <w:rsid w:val="00917B85"/>
    <w:rsid w:val="00920B7B"/>
    <w:rsid w:val="0092649B"/>
    <w:rsid w:val="0092674E"/>
    <w:rsid w:val="00926934"/>
    <w:rsid w:val="00941F0A"/>
    <w:rsid w:val="00950D2A"/>
    <w:rsid w:val="009561B6"/>
    <w:rsid w:val="00960B8D"/>
    <w:rsid w:val="0096168C"/>
    <w:rsid w:val="00976246"/>
    <w:rsid w:val="0099465C"/>
    <w:rsid w:val="009979A6"/>
    <w:rsid w:val="009B0250"/>
    <w:rsid w:val="009B2B50"/>
    <w:rsid w:val="009B3EEC"/>
    <w:rsid w:val="009C6C51"/>
    <w:rsid w:val="009D3C3B"/>
    <w:rsid w:val="009E1958"/>
    <w:rsid w:val="009F2653"/>
    <w:rsid w:val="00A0266B"/>
    <w:rsid w:val="00A20B4C"/>
    <w:rsid w:val="00A21918"/>
    <w:rsid w:val="00A34E60"/>
    <w:rsid w:val="00A3566F"/>
    <w:rsid w:val="00A430C7"/>
    <w:rsid w:val="00A43AD2"/>
    <w:rsid w:val="00A460CF"/>
    <w:rsid w:val="00A46624"/>
    <w:rsid w:val="00A6332B"/>
    <w:rsid w:val="00A81556"/>
    <w:rsid w:val="00A9318B"/>
    <w:rsid w:val="00A948D9"/>
    <w:rsid w:val="00A94A71"/>
    <w:rsid w:val="00A9514C"/>
    <w:rsid w:val="00A953F1"/>
    <w:rsid w:val="00A97570"/>
    <w:rsid w:val="00AA1867"/>
    <w:rsid w:val="00AA5FD1"/>
    <w:rsid w:val="00AA736F"/>
    <w:rsid w:val="00AB7226"/>
    <w:rsid w:val="00AC429E"/>
    <w:rsid w:val="00AD271C"/>
    <w:rsid w:val="00AD2A5E"/>
    <w:rsid w:val="00AF6849"/>
    <w:rsid w:val="00AF7B66"/>
    <w:rsid w:val="00B00938"/>
    <w:rsid w:val="00B00EDD"/>
    <w:rsid w:val="00B026DB"/>
    <w:rsid w:val="00B06A5E"/>
    <w:rsid w:val="00B242FA"/>
    <w:rsid w:val="00B363E7"/>
    <w:rsid w:val="00B41290"/>
    <w:rsid w:val="00B44088"/>
    <w:rsid w:val="00B46678"/>
    <w:rsid w:val="00B505AE"/>
    <w:rsid w:val="00B50F8C"/>
    <w:rsid w:val="00B551B0"/>
    <w:rsid w:val="00B61798"/>
    <w:rsid w:val="00B63F67"/>
    <w:rsid w:val="00B74E59"/>
    <w:rsid w:val="00B75EEF"/>
    <w:rsid w:val="00B86004"/>
    <w:rsid w:val="00B934B8"/>
    <w:rsid w:val="00BA449E"/>
    <w:rsid w:val="00BB5D59"/>
    <w:rsid w:val="00BB65BC"/>
    <w:rsid w:val="00BC12EC"/>
    <w:rsid w:val="00BC1619"/>
    <w:rsid w:val="00BC233B"/>
    <w:rsid w:val="00BC7430"/>
    <w:rsid w:val="00BD09F8"/>
    <w:rsid w:val="00BD44EA"/>
    <w:rsid w:val="00BE0DC9"/>
    <w:rsid w:val="00BE1AD3"/>
    <w:rsid w:val="00BE30BA"/>
    <w:rsid w:val="00BE3568"/>
    <w:rsid w:val="00BE733D"/>
    <w:rsid w:val="00BF0335"/>
    <w:rsid w:val="00C00663"/>
    <w:rsid w:val="00C03992"/>
    <w:rsid w:val="00C07020"/>
    <w:rsid w:val="00C13CA1"/>
    <w:rsid w:val="00C16DA7"/>
    <w:rsid w:val="00C21C26"/>
    <w:rsid w:val="00C224EE"/>
    <w:rsid w:val="00C236AB"/>
    <w:rsid w:val="00C25A3E"/>
    <w:rsid w:val="00C25AA1"/>
    <w:rsid w:val="00C3480A"/>
    <w:rsid w:val="00C50D4C"/>
    <w:rsid w:val="00C574D1"/>
    <w:rsid w:val="00C57D04"/>
    <w:rsid w:val="00C76D8E"/>
    <w:rsid w:val="00C77CBB"/>
    <w:rsid w:val="00CA0C4A"/>
    <w:rsid w:val="00CA151D"/>
    <w:rsid w:val="00CA7881"/>
    <w:rsid w:val="00CB24BB"/>
    <w:rsid w:val="00CC7D3A"/>
    <w:rsid w:val="00CE09EE"/>
    <w:rsid w:val="00CE1C22"/>
    <w:rsid w:val="00CF5B1C"/>
    <w:rsid w:val="00D01083"/>
    <w:rsid w:val="00D11434"/>
    <w:rsid w:val="00D12103"/>
    <w:rsid w:val="00D1779A"/>
    <w:rsid w:val="00D216E9"/>
    <w:rsid w:val="00D217B5"/>
    <w:rsid w:val="00D21E53"/>
    <w:rsid w:val="00D22219"/>
    <w:rsid w:val="00D314C3"/>
    <w:rsid w:val="00D3381D"/>
    <w:rsid w:val="00D343F0"/>
    <w:rsid w:val="00D423DF"/>
    <w:rsid w:val="00D44E57"/>
    <w:rsid w:val="00D46298"/>
    <w:rsid w:val="00D5015F"/>
    <w:rsid w:val="00D531E4"/>
    <w:rsid w:val="00D62CA3"/>
    <w:rsid w:val="00D65206"/>
    <w:rsid w:val="00D7417E"/>
    <w:rsid w:val="00D7650E"/>
    <w:rsid w:val="00D7675E"/>
    <w:rsid w:val="00D87389"/>
    <w:rsid w:val="00D90290"/>
    <w:rsid w:val="00D967D5"/>
    <w:rsid w:val="00D96D8F"/>
    <w:rsid w:val="00D9755C"/>
    <w:rsid w:val="00DA3622"/>
    <w:rsid w:val="00DA55FA"/>
    <w:rsid w:val="00DC08B2"/>
    <w:rsid w:val="00DD4BB4"/>
    <w:rsid w:val="00DE0A74"/>
    <w:rsid w:val="00DE6501"/>
    <w:rsid w:val="00DE7D26"/>
    <w:rsid w:val="00DF2073"/>
    <w:rsid w:val="00DF460A"/>
    <w:rsid w:val="00DF61D8"/>
    <w:rsid w:val="00E03190"/>
    <w:rsid w:val="00E14582"/>
    <w:rsid w:val="00E242F1"/>
    <w:rsid w:val="00E362A5"/>
    <w:rsid w:val="00E3642A"/>
    <w:rsid w:val="00E40EE9"/>
    <w:rsid w:val="00E56DA3"/>
    <w:rsid w:val="00E57D2A"/>
    <w:rsid w:val="00E705D9"/>
    <w:rsid w:val="00E76E69"/>
    <w:rsid w:val="00E9055D"/>
    <w:rsid w:val="00E915BB"/>
    <w:rsid w:val="00E92231"/>
    <w:rsid w:val="00E963EC"/>
    <w:rsid w:val="00EA22B6"/>
    <w:rsid w:val="00EA4785"/>
    <w:rsid w:val="00EB6DC8"/>
    <w:rsid w:val="00EB706D"/>
    <w:rsid w:val="00EC0E5F"/>
    <w:rsid w:val="00EC201D"/>
    <w:rsid w:val="00ED29A9"/>
    <w:rsid w:val="00ED4DE6"/>
    <w:rsid w:val="00ED78F7"/>
    <w:rsid w:val="00EE06A5"/>
    <w:rsid w:val="00EE68E3"/>
    <w:rsid w:val="00EE6BB5"/>
    <w:rsid w:val="00EF325A"/>
    <w:rsid w:val="00F02CE5"/>
    <w:rsid w:val="00F06887"/>
    <w:rsid w:val="00F11729"/>
    <w:rsid w:val="00F14132"/>
    <w:rsid w:val="00F162EB"/>
    <w:rsid w:val="00F21046"/>
    <w:rsid w:val="00F3254C"/>
    <w:rsid w:val="00F33B97"/>
    <w:rsid w:val="00F35E10"/>
    <w:rsid w:val="00F362E9"/>
    <w:rsid w:val="00F441B0"/>
    <w:rsid w:val="00F44E43"/>
    <w:rsid w:val="00F44EE5"/>
    <w:rsid w:val="00F47768"/>
    <w:rsid w:val="00F5013D"/>
    <w:rsid w:val="00F559A0"/>
    <w:rsid w:val="00F64634"/>
    <w:rsid w:val="00F651A9"/>
    <w:rsid w:val="00F75AFB"/>
    <w:rsid w:val="00F773F4"/>
    <w:rsid w:val="00F808A5"/>
    <w:rsid w:val="00F83C2B"/>
    <w:rsid w:val="00F85DFD"/>
    <w:rsid w:val="00F91A59"/>
    <w:rsid w:val="00FA0168"/>
    <w:rsid w:val="00FB6735"/>
    <w:rsid w:val="00FD2DAA"/>
    <w:rsid w:val="00FE12FC"/>
    <w:rsid w:val="00FE20CC"/>
    <w:rsid w:val="00FF0188"/>
    <w:rsid w:val="00FF3B46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merigo" w:asci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hAnsi="Times New Roman" w:asci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Times New Roman" w:asci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hAnsi="Times New Roman" w:asci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hAnsi="Times New Roman" w:asci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Times New Roman" w:asci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hAnsi="Bookman Old Style" w:asci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  <w:sz w:val="22"/>
    </w:rPr>
  </w:style>
  <w:style w:styleId="Tijeloteksta2" w:type="paragraph">
    <w:name w:val="Body Text 2"/>
    <w:basedOn w:val="Normal"/>
    <w:rPr>
      <w:rFonts w:hAnsi="Times New Roman" w:ascii="Times New Roman"/>
      <w:b/>
    </w:rPr>
  </w:style>
  <w:style w:styleId="Tijeloteksta3" w:type="paragraph">
    <w:name w:val="Body Text 3"/>
    <w:basedOn w:val="Normal"/>
    <w:pPr>
      <w:jc w:val="both"/>
    </w:pPr>
    <w:rPr>
      <w:rFonts w:hAnsi="Times New Roman" w:ascii="Times New Roman"/>
    </w:rPr>
  </w:style>
  <w:style w:styleId="Naslov" w:type="paragraph">
    <w:name w:val="Title"/>
    <w:basedOn w:val="Normal"/>
    <w:qFormat/>
    <w:pPr>
      <w:jc w:val="center"/>
    </w:pPr>
    <w:rPr>
      <w:rFonts w:hAnsi="Bookman Old Style" w:asci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styleId="Reetkatablice" w:type="table">
    <w:name w:val="Table Grid"/>
    <w:basedOn w:val="Obinatablica"/>
    <w:rsid w:val="00755F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C77CB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C77CBB"/>
    <w:rPr>
      <w:rFonts w:cs="Segoe UI" w:hAnsi="Segoe UI" w:ascii="Segoe UI"/>
      <w:sz w:val="18"/>
      <w:szCs w:val="18"/>
      <w:lang w:eastAsia="en-US" w:val="en-US"/>
    </w:rPr>
  </w:style>
  <w:style w:styleId="Odlomakpopisa" w:type="paragraph">
    <w:name w:val="List Paragraph"/>
    <w:basedOn w:val="Normal"/>
    <w:uiPriority w:val="34"/>
    <w:qFormat/>
    <w:rsid w:val="003639F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4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05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05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05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05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merigo" w:hAns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ascii="Times New Roman" w:hAns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  <w:sz w:val="22"/>
    </w:rPr>
  </w:style>
  <w:style w:styleId="Tijeloteksta2" w:type="paragraph">
    <w:name w:val="Body Text 2"/>
    <w:basedOn w:val="Normal"/>
    <w:rPr>
      <w:rFonts w:ascii="Times New Roman" w:hAnsi="Times New Roman"/>
      <w:b/>
    </w:rPr>
  </w:style>
  <w:style w:styleId="Tijeloteksta3" w:type="paragraph">
    <w:name w:val="Body Text 3"/>
    <w:basedOn w:val="Normal"/>
    <w:pPr>
      <w:jc w:val="both"/>
    </w:pPr>
    <w:rPr>
      <w:rFonts w:ascii="Times New Roman" w:hAnsi="Times New Roman"/>
    </w:rPr>
  </w:style>
  <w:style w:styleId="Naslov" w:type="paragraph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styleId="Reetkatablice" w:type="table">
    <w:name w:val="Table Grid"/>
    <w:basedOn w:val="Obinatablica"/>
    <w:rsid w:val="00755F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C77CB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C77CBB"/>
    <w:rPr>
      <w:rFonts w:ascii="Segoe UI" w:cs="Segoe UI" w:hAnsi="Segoe UI"/>
      <w:sz w:val="18"/>
      <w:szCs w:val="18"/>
      <w:lang w:eastAsia="en-US" w:val="en-US"/>
    </w:rPr>
  </w:style>
  <w:style w:styleId="Odlomakpopisa" w:type="paragraph">
    <w:name w:val="List Paragraph"/>
    <w:basedOn w:val="Normal"/>
    <w:uiPriority w:val="34"/>
    <w:qFormat/>
    <w:rsid w:val="003639F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4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05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05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05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05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Partner</properties:Company>
  <properties:Pages>2</properties:Pages>
  <properties:Words>378</properties:Words>
  <properties:Characters>2322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  d  v  j  e  t  n i  k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2019-03-13T12:40:00Z</dcterms:created>
  <dc:creator>ITS SISTEM</dc:creator>
  <cp:lastModifiedBy>Valentina Delač</cp:lastModifiedBy>
  <cp:lastPrinted>2017-02-23T08:10:00Z</cp:lastPrinted>
  <dcterms:modified xmlns:xsi="http://www.w3.org/2001/XMLSchema-instance" xsi:type="dcterms:W3CDTF">2019-03-13T12:41:00Z</dcterms:modified>
  <cp:revision>3</cp:revision>
  <dc:title>O  d  v  j  e  t  n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St-649/2012-344 / Podnesak - Izvješće stečajnog upravitelja (Izvješće o okončanju steč.postupka.docx)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