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21AE" w:rsidRPr="008321AE">
        <w:trPr>
          <w:trHeight w:val="2231"/>
        </w:trPr>
        <w:tc>
          <w:tcPr>
            <w:tcW w:type="dxa" w:w="3369"/>
            <w:vAlign w:val="center"/>
          </w:tcPr>
          <w:p w:rsidRDefault="008321AE" w:rsidP="00A66C00" w:rsidR="008321AE" w:rsidRPr="008321AE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8321AE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21AE" w:rsidP="00A66C00" w:rsidR="008321AE" w:rsidRPr="008321AE">
            <w:pPr>
              <w:spacing w:before="100"/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REPUBLIKA HRVATSKA</w:t>
            </w:r>
          </w:p>
          <w:p w:rsidRDefault="008321AE" w:rsidP="00A66C00" w:rsidR="008321AE" w:rsidRPr="008321AE">
            <w:pPr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8321AE" w:rsidP="00DA5B9D" w:rsidR="008321AE" w:rsidRPr="008321AE">
            <w:pPr>
              <w:rPr>
                <w:rFonts w:hAnsi="Times New Roman" w:ascii="Times New Roman"/>
              </w:rPr>
            </w:pPr>
            <w:r w:rsidRPr="008321AE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8321AE" w:rsidP="00694A41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  <w:r w:rsidRPr="008321AE">
              <w:rPr>
                <w:rFonts w:hAnsi="Times New Roman" w:ascii="Times New Roman"/>
                <w:noProof/>
                <w:sz w:val="24"/>
              </w:rPr>
              <w:t>Poslovni broj: 11.St-</w:t>
            </w:r>
            <w:r w:rsidR="00694A41">
              <w:rPr>
                <w:rFonts w:hAnsi="Times New Roman" w:ascii="Times New Roman"/>
                <w:noProof/>
                <w:sz w:val="24"/>
              </w:rPr>
              <w:t>2036/2016</w:t>
            </w:r>
          </w:p>
        </w:tc>
      </w:tr>
    </w:tbl>
    <w:p w14:textId="67f04e2" w14:paraId="67f04e2" w:rsidRDefault="006115E6" w:rsidP="001032ED" w:rsidR="006115E6" w:rsidRPr="00B15F12">
      <w:pPr>
        <w:pStyle w:val="Naslov1"/>
        <w:spacing w:before="30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6115E6" w:rsidR="006115E6" w:rsidRPr="00B15F12">
      <w:pPr>
        <w:pStyle w:val="Naslov2"/>
        <w:spacing w:after="200" w:before="20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</w:r>
      <w:r w:rsidR="008321AE" w:rsidRPr="008321AE">
        <w:rPr>
          <w:szCs w:val="24"/>
          <w:lang w:val="hr-HR"/>
        </w:rPr>
        <w:t>Trgova</w:t>
      </w:r>
      <w:r w:rsidR="008321AE" w:rsidRPr="008321AE">
        <w:rPr>
          <w:rFonts w:hint="eastAsia"/>
          <w:szCs w:val="24"/>
          <w:lang w:val="hr-HR"/>
        </w:rPr>
        <w:t>č</w:t>
      </w:r>
      <w:r w:rsidR="008321AE" w:rsidRPr="008321AE">
        <w:rPr>
          <w:szCs w:val="24"/>
          <w:lang w:val="hr-HR"/>
        </w:rPr>
        <w:t>ki sud u Splitu, po sutkinji Ani Golub Grui</w:t>
      </w:r>
      <w:r w:rsidR="008321AE" w:rsidRPr="008321AE">
        <w:rPr>
          <w:rFonts w:hint="eastAsia"/>
          <w:szCs w:val="24"/>
          <w:lang w:val="hr-HR"/>
        </w:rPr>
        <w:t>ć</w:t>
      </w:r>
      <w:r w:rsidR="008321AE" w:rsidRPr="008321AE">
        <w:rPr>
          <w:szCs w:val="24"/>
          <w:lang w:val="hr-HR"/>
        </w:rPr>
        <w:t>, u ste</w:t>
      </w:r>
      <w:r w:rsidR="008321AE" w:rsidRPr="008321AE">
        <w:rPr>
          <w:rFonts w:hint="eastAsia"/>
          <w:szCs w:val="24"/>
          <w:lang w:val="hr-HR"/>
        </w:rPr>
        <w:t>č</w:t>
      </w:r>
      <w:r w:rsidR="008321AE" w:rsidRPr="008321AE">
        <w:rPr>
          <w:szCs w:val="24"/>
          <w:lang w:val="hr-HR"/>
        </w:rPr>
        <w:t xml:space="preserve">ajnom postupku </w:t>
      </w:r>
      <w:r w:rsidR="00694A41">
        <w:rPr>
          <w:szCs w:val="24"/>
          <w:lang w:val="hr-HR"/>
        </w:rPr>
        <w:t xml:space="preserve">nad dužnikom </w:t>
      </w:r>
      <w:r w:rsidR="00694A41" w:rsidRPr="00694A41">
        <w:rPr>
          <w:szCs w:val="24"/>
          <w:lang w:val="hr-HR"/>
        </w:rPr>
        <w:t>CIRCULUS MEUS d.o.o. u ste</w:t>
      </w:r>
      <w:r w:rsidR="00694A41" w:rsidRPr="00694A41">
        <w:rPr>
          <w:rFonts w:hint="eastAsia"/>
          <w:szCs w:val="24"/>
          <w:lang w:val="hr-HR"/>
        </w:rPr>
        <w:t>č</w:t>
      </w:r>
      <w:r w:rsidR="00694A41" w:rsidRPr="00694A41">
        <w:rPr>
          <w:szCs w:val="24"/>
          <w:lang w:val="hr-HR"/>
        </w:rPr>
        <w:t>aju, OIB: 80776366694, Okrug Gornji, Šetalište Stjepana Radi</w:t>
      </w:r>
      <w:r w:rsidR="00694A41" w:rsidRPr="00694A41">
        <w:rPr>
          <w:rFonts w:hint="eastAsia"/>
          <w:szCs w:val="24"/>
          <w:lang w:val="hr-HR"/>
        </w:rPr>
        <w:t>ć</w:t>
      </w:r>
      <w:r w:rsidR="00694A41" w:rsidRPr="00694A41">
        <w:rPr>
          <w:szCs w:val="24"/>
          <w:lang w:val="hr-HR"/>
        </w:rPr>
        <w:t>a 26</w:t>
      </w:r>
      <w:r w:rsidR="008321AE" w:rsidRPr="008321AE">
        <w:rPr>
          <w:szCs w:val="24"/>
          <w:lang w:val="hr-HR"/>
        </w:rPr>
        <w:t xml:space="preserve">, </w:t>
      </w:r>
      <w:r w:rsidR="00C343A0">
        <w:rPr>
          <w:szCs w:val="24"/>
          <w:lang w:val="hr-HR"/>
        </w:rPr>
        <w:t>6</w:t>
      </w:r>
      <w:r w:rsidR="00B82008">
        <w:rPr>
          <w:szCs w:val="24"/>
          <w:lang w:val="hr-HR"/>
        </w:rPr>
        <w:t>. srpnja</w:t>
      </w:r>
      <w:r w:rsidR="008321AE" w:rsidRPr="008321AE">
        <w:rPr>
          <w:szCs w:val="24"/>
          <w:lang w:val="hr-HR"/>
        </w:rPr>
        <w:t xml:space="preserve"> 2018.</w:t>
      </w:r>
    </w:p>
    <w:p w:rsidRDefault="006115E6" w:rsidP="001032ED" w:rsidR="006115E6" w:rsidRPr="00B15F12">
      <w:pPr>
        <w:spacing w:after="20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8321AE" w:rsidP="00261902" w:rsidR="00261902" w:rsidRPr="00261902">
      <w:pPr>
        <w:ind w:firstLine="708"/>
        <w:jc w:val="both"/>
        <w:rPr>
          <w:rFonts w:eastAsiaTheme="minorHAnsi"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261902" w:rsidRPr="00261902">
        <w:rPr>
          <w:rFonts w:eastAsiaTheme="minorHAnsi" w:hAnsi="Times New Roman" w:ascii="Times New Roman"/>
          <w:bCs/>
          <w:sz w:val="24"/>
          <w:szCs w:val="24"/>
        </w:rPr>
        <w:t>I. Obustavlja se i zaključuje stečajni postupak nad dužnikom CIRCULUS MEUS d.o.o. u ste</w:t>
      </w:r>
      <w:r w:rsidR="00261902" w:rsidRPr="00261902">
        <w:rPr>
          <w:rFonts w:eastAsiaTheme="minorHAnsi" w:hAnsi="Times New Roman" w:ascii="Times New Roman" w:hint="eastAsia"/>
          <w:bCs/>
          <w:sz w:val="24"/>
          <w:szCs w:val="24"/>
        </w:rPr>
        <w:t>č</w:t>
      </w:r>
      <w:r w:rsidR="00261902" w:rsidRPr="00261902">
        <w:rPr>
          <w:rFonts w:eastAsiaTheme="minorHAnsi" w:hAnsi="Times New Roman" w:ascii="Times New Roman"/>
          <w:bCs/>
          <w:sz w:val="24"/>
          <w:szCs w:val="24"/>
        </w:rPr>
        <w:t>aju, OIB: 80776366694, Okrug Gornji, Šetalište Stjepana Radi</w:t>
      </w:r>
      <w:r w:rsidR="00261902" w:rsidRPr="00261902">
        <w:rPr>
          <w:rFonts w:eastAsiaTheme="minorHAnsi" w:hAnsi="Times New Roman" w:ascii="Times New Roman" w:hint="eastAsia"/>
          <w:bCs/>
          <w:sz w:val="24"/>
          <w:szCs w:val="24"/>
        </w:rPr>
        <w:t>ć</w:t>
      </w:r>
      <w:r w:rsidR="00261902" w:rsidRPr="00261902">
        <w:rPr>
          <w:rFonts w:eastAsiaTheme="minorHAnsi" w:hAnsi="Times New Roman" w:ascii="Times New Roman"/>
          <w:bCs/>
          <w:sz w:val="24"/>
          <w:szCs w:val="24"/>
        </w:rPr>
        <w:t>a 26, zbog nedostatnosti stečajne mase za pokriće troškova stečajnog postupka.</w:t>
      </w:r>
    </w:p>
    <w:p w:rsidRDefault="00261902" w:rsidP="00261902" w:rsidR="00261902" w:rsidRPr="00261902">
      <w:pPr>
        <w:spacing w:before="140"/>
        <w:ind w:firstLine="709"/>
        <w:jc w:val="both"/>
        <w:rPr>
          <w:rFonts w:eastAsiaTheme="minorHAnsi" w:hAnsi="Times New Roman" w:ascii="Times New Roman"/>
          <w:bCs/>
          <w:sz w:val="24"/>
          <w:szCs w:val="24"/>
        </w:rPr>
      </w:pPr>
      <w:r w:rsidRPr="00261902">
        <w:rPr>
          <w:rFonts w:eastAsiaTheme="minorHAnsi" w:hAnsi="Times New Roman" w:ascii="Times New Roman"/>
          <w:bCs/>
          <w:sz w:val="24"/>
          <w:szCs w:val="24"/>
        </w:rPr>
        <w:t>II. Stečajni upravitelj Mark</w:t>
      </w:r>
      <w:r>
        <w:rPr>
          <w:rFonts w:eastAsiaTheme="minorHAnsi" w:hAnsi="Times New Roman" w:ascii="Times New Roman"/>
          <w:bCs/>
          <w:sz w:val="24"/>
          <w:szCs w:val="24"/>
        </w:rPr>
        <w:t>o</w:t>
      </w:r>
      <w:r w:rsidRPr="00261902">
        <w:rPr>
          <w:rFonts w:eastAsiaTheme="minorHAnsi" w:hAnsi="Times New Roman" w:ascii="Times New Roman"/>
          <w:bCs/>
          <w:sz w:val="24"/>
          <w:szCs w:val="24"/>
        </w:rPr>
        <w:t xml:space="preserve"> Lon</w:t>
      </w:r>
      <w:r>
        <w:rPr>
          <w:rFonts w:eastAsiaTheme="minorHAnsi" w:hAnsi="Times New Roman" w:ascii="Times New Roman"/>
          <w:bCs/>
          <w:sz w:val="24"/>
          <w:szCs w:val="24"/>
        </w:rPr>
        <w:t>a</w:t>
      </w:r>
      <w:r w:rsidRPr="00261902">
        <w:rPr>
          <w:rFonts w:eastAsiaTheme="minorHAnsi" w:hAnsi="Times New Roman" w:ascii="Times New Roman"/>
          <w:bCs/>
          <w:sz w:val="24"/>
          <w:szCs w:val="24"/>
        </w:rPr>
        <w:t>c iz Dubrovnika, Brdasta 12, OIB: 43471049776, ovlašten je i nakon zaključenja stečajnog postupka u ime stečajnog dužnika, a za raču</w:t>
      </w:r>
      <w:r>
        <w:rPr>
          <w:rFonts w:eastAsiaTheme="minorHAnsi" w:hAnsi="Times New Roman" w:ascii="Times New Roman"/>
          <w:bCs/>
          <w:sz w:val="24"/>
          <w:szCs w:val="24"/>
        </w:rPr>
        <w:t>n</w:t>
      </w:r>
      <w:r w:rsidRPr="00261902">
        <w:rPr>
          <w:rFonts w:eastAsiaTheme="minorHAnsi" w:hAnsi="Times New Roman" w:ascii="Times New Roman"/>
          <w:bCs/>
          <w:sz w:val="24"/>
          <w:szCs w:val="24"/>
        </w:rPr>
        <w:t xml:space="preserve"> stečajne mase, unovčiti imovinu dužnika i prikupljenim sredstvima podmiriti nastale troškove stečajnog postupka, a eventualni ostatak uplatiti u Fond za pokriće troškova stečajnog postupka te o obavljenim radnjama podnijeti izviješće stečajnom sucu.</w:t>
      </w:r>
    </w:p>
    <w:p w:rsidRDefault="00261902" w:rsidP="00261902" w:rsidR="00261902" w:rsidRPr="00261902">
      <w:pPr>
        <w:spacing w:before="140"/>
        <w:ind w:firstLine="708"/>
        <w:jc w:val="both"/>
        <w:rPr>
          <w:rFonts w:eastAsiaTheme="minorHAnsi" w:hAnsi="Times New Roman" w:ascii="Times New Roman"/>
          <w:bCs/>
          <w:sz w:val="24"/>
          <w:szCs w:val="24"/>
        </w:rPr>
      </w:pPr>
      <w:r w:rsidRPr="00261902">
        <w:rPr>
          <w:rFonts w:eastAsiaTheme="minorHAnsi" w:hAnsi="Times New Roman" w:ascii="Times New Roman"/>
          <w:bCs/>
          <w:sz w:val="24"/>
          <w:szCs w:val="24"/>
        </w:rPr>
        <w:t>III. Ovo rješenje će se objaviti na mrežnoj stranici e-Oglasna ploča sudova.</w:t>
      </w:r>
    </w:p>
    <w:p w:rsidRDefault="00261902" w:rsidP="00261902" w:rsidR="00694A41" w:rsidRPr="00112D9D">
      <w:pPr>
        <w:spacing w:before="14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261902">
        <w:rPr>
          <w:rFonts w:eastAsiaTheme="minorHAnsi" w:hAnsi="Times New Roman" w:ascii="Times New Roman"/>
          <w:bCs/>
          <w:sz w:val="24"/>
          <w:szCs w:val="24"/>
        </w:rPr>
        <w:t>IV. Registarski odjel ovog suda će nakon pravomoćnosti rješenja izvršiti brisanje stečajnog dužnika iz sudskog registra.</w:t>
      </w:r>
    </w:p>
    <w:p w:rsidRDefault="006115E6" w:rsidP="00BD5A67" w:rsidR="006115E6" w:rsidRPr="00B15F1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AE6DB0" w:rsidP="00BD5A67" w:rsidR="00AE6DB0" w:rsidRPr="00AE6DB0">
      <w:pPr>
        <w:ind w:firstLine="709"/>
        <w:jc w:val="both"/>
        <w:rPr>
          <w:rFonts w:eastAsiaTheme="minorHAnsi" w:hAnsi="Times New Roman" w:ascii="Times New Roman"/>
          <w:sz w:val="24"/>
          <w:szCs w:val="24"/>
        </w:rPr>
      </w:pPr>
      <w:r w:rsidRPr="00AE6DB0">
        <w:rPr>
          <w:rFonts w:eastAsiaTheme="minorHAnsi" w:hAnsi="Times New Roman" w:ascii="Times New Roman"/>
          <w:sz w:val="24"/>
          <w:szCs w:val="24"/>
        </w:rPr>
        <w:t>Rješenjem 11. St-2036/2016 od 2. lipnja 2017. godine otvoren je stečajni postupak nad dužnikom, trgovačkim društvom CIRCULUS MEUS d.o.o., OIB: 80776366694, Okrug Gornji, Šetalište Stjepana Radića 26. Istim rješenjem za stečajnog upravitelja imenovan je Marko Lonac iz Dubrovnika.</w:t>
      </w:r>
    </w:p>
    <w:p w:rsidRDefault="004C42B0" w:rsidP="00261902" w:rsidR="00261902">
      <w:pPr>
        <w:spacing w:before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C42B0">
        <w:rPr>
          <w:rFonts w:eastAsiaTheme="minorHAnsi" w:hAnsi="Times New Roman" w:ascii="Times New Roman"/>
          <w:sz w:val="24"/>
          <w:szCs w:val="24"/>
        </w:rPr>
        <w:tab/>
      </w:r>
      <w:r w:rsidR="00AE6DB0" w:rsidRPr="00AE6DB0">
        <w:rPr>
          <w:rFonts w:hAnsi="Times New Roman" w:ascii="Times New Roman"/>
          <w:sz w:val="24"/>
          <w:szCs w:val="24"/>
        </w:rPr>
        <w:t>Podnes</w:t>
      </w:r>
      <w:r w:rsidR="00AE6DB0">
        <w:rPr>
          <w:rFonts w:hAnsi="Times New Roman" w:ascii="Times New Roman"/>
          <w:sz w:val="24"/>
          <w:szCs w:val="24"/>
        </w:rPr>
        <w:t>kom</w:t>
      </w:r>
      <w:r w:rsidR="00AE6DB0"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 zaprimljenim kod ov</w:t>
      </w:r>
      <w:r w:rsidR="00261902">
        <w:rPr>
          <w:rFonts w:eastAsia="Times New Roman" w:hAnsi="Times New Roman" w:ascii="Times New Roman"/>
          <w:sz w:val="24"/>
          <w:szCs w:val="24"/>
          <w:lang w:eastAsia="hr-HR"/>
        </w:rPr>
        <w:t xml:space="preserve">og suda 23. ožujka 2018. (list 119-120 spisa) </w:t>
      </w:r>
      <w:r w:rsidR="00261902" w:rsidRPr="00261902">
        <w:rPr>
          <w:rFonts w:eastAsia="Times New Roman" w:hAnsi="Times New Roman" w:ascii="Times New Roman"/>
          <w:sz w:val="24"/>
          <w:szCs w:val="24"/>
          <w:lang w:eastAsia="hr-HR"/>
        </w:rPr>
        <w:t>ste</w:t>
      </w:r>
      <w:r w:rsidR="00261902" w:rsidRPr="00261902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 w:rsidR="00261902" w:rsidRPr="00261902">
        <w:rPr>
          <w:rFonts w:eastAsia="Times New Roman" w:hAnsi="Times New Roman" w:ascii="Times New Roman"/>
          <w:sz w:val="24"/>
          <w:szCs w:val="24"/>
          <w:lang w:eastAsia="hr-HR"/>
        </w:rPr>
        <w:t xml:space="preserve">ajni upravitelj </w:t>
      </w:r>
      <w:r w:rsidR="00261902">
        <w:rPr>
          <w:rFonts w:eastAsia="Times New Roman" w:hAnsi="Times New Roman" w:ascii="Times New Roman"/>
          <w:sz w:val="24"/>
          <w:szCs w:val="24"/>
          <w:lang w:eastAsia="hr-HR"/>
        </w:rPr>
        <w:t xml:space="preserve">je predložio </w:t>
      </w:r>
      <w:r w:rsidR="00261902" w:rsidRPr="00261902">
        <w:rPr>
          <w:rFonts w:eastAsia="Times New Roman" w:hAnsi="Times New Roman" w:ascii="Times New Roman"/>
          <w:sz w:val="24"/>
          <w:szCs w:val="24"/>
          <w:lang w:eastAsia="hr-HR"/>
        </w:rPr>
        <w:t>da sud sazove skupštinu vjerovnika s</w:t>
      </w:r>
      <w:r w:rsidR="00261902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261902" w:rsidRPr="00261902">
        <w:rPr>
          <w:rFonts w:eastAsia="Times New Roman" w:hAnsi="Times New Roman" w:ascii="Times New Roman"/>
          <w:sz w:val="24"/>
          <w:szCs w:val="24"/>
          <w:lang w:eastAsia="hr-HR"/>
        </w:rPr>
        <w:t xml:space="preserve"> prijedlogom da se ste</w:t>
      </w:r>
      <w:r w:rsidR="00261902" w:rsidRPr="00261902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 w:rsidR="00261902" w:rsidRPr="00261902">
        <w:rPr>
          <w:rFonts w:eastAsia="Times New Roman" w:hAnsi="Times New Roman" w:ascii="Times New Roman"/>
          <w:sz w:val="24"/>
          <w:szCs w:val="24"/>
          <w:lang w:eastAsia="hr-HR"/>
        </w:rPr>
        <w:t>ajni postupak zaklju</w:t>
      </w:r>
      <w:r w:rsidR="00261902" w:rsidRPr="00261902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 w:rsidR="00261902" w:rsidRPr="00261902">
        <w:rPr>
          <w:rFonts w:eastAsia="Times New Roman" w:hAnsi="Times New Roman" w:ascii="Times New Roman"/>
          <w:sz w:val="24"/>
          <w:szCs w:val="24"/>
          <w:lang w:eastAsia="hr-HR"/>
        </w:rPr>
        <w:t xml:space="preserve">i iz razloga što </w:t>
      </w:r>
      <w:r w:rsidR="00261902">
        <w:rPr>
          <w:rFonts w:eastAsia="Times New Roman" w:hAnsi="Times New Roman" w:ascii="Times New Roman"/>
          <w:sz w:val="24"/>
          <w:szCs w:val="24"/>
          <w:lang w:eastAsia="hr-HR"/>
        </w:rPr>
        <w:t>stečajna masa nije dostatna ni za namirenje troškova postupka.</w:t>
      </w:r>
    </w:p>
    <w:p w:rsidRDefault="00261902" w:rsidP="00261902" w:rsidR="00261902">
      <w:pPr>
        <w:spacing w:before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17. svibnja 2018. kod ovog suda zaprimljeno je završno izvješće stečajnog upravitelja (list 128-129 spisa) iz kojeg u bitnom proizlazi da imovinu koja bi ulazila u stečajnu masu stečajnog dužnika prema poslovnim knjigama čini potraživanje od vlasnika dužnika u iznosu od 320.944,78 kn, međutim, do bivšeg zastupnika po zakonu dužnika da nije moguće doći, a potraživanje od istog prema poslovnim knjigama da je upitno i zahtijeva dodatno knjigovodstveno vještačenje koje treba platiti. Obzirom da je potraživanje iskazano u poslovnim knjigama nepouzdano, utuženje i pozitivan ishod u parnici da bi bio vrlo neizvjestan. Slijedom navedenog, stečajni upravitelj je još jednom predložio da se ovaj </w:t>
      </w: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postupak obustavi i zaključi jer </w:t>
      </w:r>
      <w:r w:rsidRPr="00261902">
        <w:rPr>
          <w:rFonts w:eastAsia="Times New Roman" w:hAnsi="Times New Roman" w:ascii="Times New Roman"/>
          <w:sz w:val="24"/>
          <w:szCs w:val="24"/>
          <w:lang w:eastAsia="hr-HR"/>
        </w:rPr>
        <w:t>ste</w:t>
      </w:r>
      <w:r w:rsidRPr="00261902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 w:rsidRPr="00261902">
        <w:rPr>
          <w:rFonts w:eastAsia="Times New Roman" w:hAnsi="Times New Roman" w:ascii="Times New Roman"/>
          <w:sz w:val="24"/>
          <w:szCs w:val="24"/>
          <w:lang w:eastAsia="hr-HR"/>
        </w:rPr>
        <w:t>ajna masa nije dostatna ni</w:t>
      </w:r>
      <w:r w:rsidR="00956F1E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postupka, koji bi ukupno iznosili 23.500,00 kn (stvarni troškovi stečajnog upravitelja 4.000,00 kn bruto, nagrada privremenom i stečajnom upravitelju 10.000,00 kn bruto, troškovi arhiviranja 3.000,00 kn, izrada pečata, poštarina i administrativne takse 500,00 kn te računovodstvene usluge 6.000,00 kn).</w:t>
      </w:r>
    </w:p>
    <w:p w:rsidRDefault="00956F1E" w:rsidP="00956F1E" w:rsidR="00956F1E" w:rsidRPr="00956F1E">
      <w:pPr>
        <w:tabs>
          <w:tab w:pos="709" w:val="left"/>
          <w:tab w:pos="6810" w:val="left"/>
        </w:tabs>
        <w:spacing w:before="20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956F1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Na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</w:t>
      </w:r>
      <w:r w:rsidRPr="00956F1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kupštini vjerovnika, održanoj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5. lipnja 2018.</w:t>
      </w:r>
      <w:r w:rsidRPr="00956F1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z</w:t>
      </w:r>
      <w:r w:rsidRPr="00956F1E">
        <w:rPr>
          <w:rFonts w:eastAsia="Times New Roman" w:hAnsi="Times New Roman" w:ascii="Times New Roman"/>
          <w:bCs/>
          <w:sz w:val="24"/>
          <w:szCs w:val="24"/>
          <w:lang w:eastAsia="hr-HR"/>
        </w:rPr>
        <w:t>astupnik po zakonu ste</w:t>
      </w:r>
      <w:r w:rsidRPr="00956F1E">
        <w:rPr>
          <w:rFonts w:eastAsia="Times New Roman" w:hAnsi="Times New Roman" w:ascii="Times New Roman" w:hint="eastAsia"/>
          <w:bCs/>
          <w:sz w:val="24"/>
          <w:szCs w:val="24"/>
          <w:lang w:eastAsia="hr-HR"/>
        </w:rPr>
        <w:t>č</w:t>
      </w:r>
      <w:r w:rsidRPr="00956F1E">
        <w:rPr>
          <w:rFonts w:eastAsia="Times New Roman" w:hAnsi="Times New Roman" w:ascii="Times New Roman"/>
          <w:bCs/>
          <w:sz w:val="24"/>
          <w:szCs w:val="24"/>
          <w:lang w:eastAsia="hr-HR"/>
        </w:rPr>
        <w:t>ajnog vjerovnika Republika Hrvatska – Ministarstvo financija – Porezna uprava nav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eo je</w:t>
      </w:r>
      <w:r w:rsidRPr="00956F1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da se ne protivi prijedlogu ste</w:t>
      </w:r>
      <w:r w:rsidRPr="00956F1E">
        <w:rPr>
          <w:rFonts w:eastAsia="Times New Roman" w:hAnsi="Times New Roman" w:ascii="Times New Roman" w:hint="eastAsia"/>
          <w:bCs/>
          <w:sz w:val="24"/>
          <w:szCs w:val="24"/>
          <w:lang w:eastAsia="hr-HR"/>
        </w:rPr>
        <w:t>č</w:t>
      </w:r>
      <w:r w:rsidRPr="00956F1E">
        <w:rPr>
          <w:rFonts w:eastAsia="Times New Roman" w:hAnsi="Times New Roman" w:ascii="Times New Roman"/>
          <w:bCs/>
          <w:sz w:val="24"/>
          <w:szCs w:val="24"/>
          <w:lang w:eastAsia="hr-HR"/>
        </w:rPr>
        <w:t>ajnog upravitelja da se ovaj ste</w:t>
      </w:r>
      <w:r w:rsidRPr="00956F1E">
        <w:rPr>
          <w:rFonts w:eastAsia="Times New Roman" w:hAnsi="Times New Roman" w:ascii="Times New Roman" w:hint="eastAsia"/>
          <w:bCs/>
          <w:sz w:val="24"/>
          <w:szCs w:val="24"/>
          <w:lang w:eastAsia="hr-HR"/>
        </w:rPr>
        <w:t>č</w:t>
      </w:r>
      <w:r w:rsidRPr="00956F1E">
        <w:rPr>
          <w:rFonts w:eastAsia="Times New Roman" w:hAnsi="Times New Roman" w:ascii="Times New Roman"/>
          <w:bCs/>
          <w:sz w:val="24"/>
          <w:szCs w:val="24"/>
          <w:lang w:eastAsia="hr-HR"/>
        </w:rPr>
        <w:t>ajni postupak obustavi zbog nedostatnosti mase za namirenje troškova ste</w:t>
      </w:r>
      <w:r w:rsidRPr="00956F1E">
        <w:rPr>
          <w:rFonts w:eastAsia="Times New Roman" w:hAnsi="Times New Roman" w:ascii="Times New Roman" w:hint="eastAsia"/>
          <w:bCs/>
          <w:sz w:val="24"/>
          <w:szCs w:val="24"/>
          <w:lang w:eastAsia="hr-HR"/>
        </w:rPr>
        <w:t>č</w:t>
      </w:r>
      <w:r w:rsidRPr="00956F1E">
        <w:rPr>
          <w:rFonts w:eastAsia="Times New Roman" w:hAnsi="Times New Roman" w:ascii="Times New Roman"/>
          <w:bCs/>
          <w:sz w:val="24"/>
          <w:szCs w:val="24"/>
          <w:lang w:eastAsia="hr-HR"/>
        </w:rPr>
        <w:t>ajnog postupka.</w:t>
      </w:r>
    </w:p>
    <w:p w:rsidRDefault="00956F1E" w:rsidP="00956F1E" w:rsidR="00956F1E" w:rsidRPr="00E62EE5">
      <w:pPr>
        <w:tabs>
          <w:tab w:pos="709" w:val="left"/>
          <w:tab w:pos="6810" w:val="left"/>
        </w:tabs>
        <w:spacing w:before="2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Odredbom čl. 293. st. 1. </w:t>
      </w:r>
      <w:r w:rsidRPr="00956F1E">
        <w:rPr>
          <w:rFonts w:eastAsia="Times New Roman" w:hAnsi="Times New Roman" w:ascii="Times New Roman"/>
          <w:bCs/>
          <w:sz w:val="24"/>
          <w:szCs w:val="24"/>
          <w:lang w:eastAsia="hr-HR"/>
        </w:rPr>
        <w:t>Stečajnog zakona („Narodne novine“ 71/15 i 104/17; dalje SZ)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propisano je da ako se</w:t>
      </w:r>
      <w:r w:rsidRPr="00956F1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nakon otvaranja stečajnoga postupka pokaže da stečajna masa nije dostatna ni za namirenje troškova postupka, sud će rješenjem obustaviti i zaključiti postupak.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Stavkom 2. istog članka propisano je da će sud </w:t>
      </w:r>
      <w:r w:rsidRPr="00956F1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prije donošenja rješenja iz stavka 1. ovoga članka, pozvati na očitovanje vjerovnike stečajne mase, stečajnoga upravitelja i skupštinu vjerovnika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a p</w:t>
      </w:r>
      <w:r w:rsidRPr="00956F1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oziv na očitovanje objavit će se na mrežnoj stranici e-Oglasna ploča sudova.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956F1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 neće se obustaviti i zaključiti ako vjerovnici koji su se protivili obustavi postupka solidarno predujme dostatan iznos novca za namirenje troškova postupka u roku koji im je sud odredio rješenjem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(st. 3.)</w:t>
      </w:r>
      <w:r w:rsidRPr="00956F1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956F1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Stečajni upravitelj može i nakon obustave i zaključenja </w:t>
      </w:r>
      <w:r w:rsidRPr="00E62EE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stečajnoga postupka u ime stečajnoga dužnika, a za račun stečajne mase nastaviti s unovčenjem imovine dužnika i s ostvarenim sredstvima postupiti prema odredbi iz članka 133. stavaka 1. ovoga Zakona (st. 4.). </w:t>
      </w:r>
    </w:p>
    <w:p w:rsidRDefault="00956F1E" w:rsidP="00956F1E" w:rsidR="00956F1E" w:rsidRPr="00E62EE5">
      <w:pPr>
        <w:spacing w:before="200"/>
        <w:ind w:firstLine="708"/>
        <w:jc w:val="both"/>
        <w:rPr>
          <w:rFonts w:eastAsiaTheme="minorHAnsi" w:hAnsi="Times New Roman" w:ascii="Times New Roman"/>
          <w:bCs/>
          <w:sz w:val="24"/>
          <w:szCs w:val="24"/>
        </w:rPr>
      </w:pPr>
      <w:r w:rsidRPr="00E62EE5">
        <w:rPr>
          <w:rFonts w:eastAsiaTheme="minorHAnsi" w:hAnsi="Times New Roman" w:ascii="Times New Roman"/>
          <w:bCs/>
          <w:sz w:val="24"/>
          <w:szCs w:val="24"/>
        </w:rPr>
        <w:t>Kako, dakle, iz izvješća stečajnog upravitelja proizlazi da imovina dužnika koja ulazi u stečajnu masu nije dovoljna ni za podmirenje troškova ovog stečajnog postupka, a nitko od vjerovnika se nije protivio obustavi i zaključenju ovog stečajnog postupka, to je stoga, sukladno odredbi čl. 293. SZ-a, valjalo odlučiti kao izreci ovog rješenja pod točkom I.</w:t>
      </w:r>
    </w:p>
    <w:p w:rsidRDefault="00956F1E" w:rsidP="00E62EE5" w:rsidR="00956F1E" w:rsidRPr="00E62EE5">
      <w:pPr>
        <w:spacing w:before="200"/>
        <w:ind w:firstLine="708"/>
        <w:jc w:val="both"/>
        <w:rPr>
          <w:rFonts w:eastAsiaTheme="minorHAnsi" w:hAnsi="Times New Roman" w:ascii="Times New Roman"/>
          <w:bCs/>
          <w:sz w:val="24"/>
          <w:szCs w:val="24"/>
        </w:rPr>
      </w:pPr>
      <w:r w:rsidRPr="00E62EE5">
        <w:rPr>
          <w:rFonts w:eastAsiaTheme="minorHAnsi" w:hAnsi="Times New Roman" w:ascii="Times New Roman"/>
          <w:bCs/>
          <w:sz w:val="24"/>
          <w:szCs w:val="24"/>
        </w:rPr>
        <w:t>Budući</w:t>
      </w:r>
      <w:r w:rsidR="00E62EE5" w:rsidRPr="00E62EE5">
        <w:rPr>
          <w:rFonts w:eastAsiaTheme="minorHAnsi" w:hAnsi="Times New Roman" w:ascii="Times New Roman"/>
          <w:bCs/>
          <w:sz w:val="24"/>
          <w:szCs w:val="24"/>
        </w:rPr>
        <w:t xml:space="preserve"> da je sukladno odredbama čl. 89. st. 1. toč. 13., čl. 293. st. 4. u vezi s čl. 13</w:t>
      </w:r>
      <w:r w:rsidRPr="00E62EE5">
        <w:rPr>
          <w:rFonts w:eastAsiaTheme="minorHAnsi" w:hAnsi="Times New Roman" w:ascii="Times New Roman"/>
          <w:bCs/>
          <w:sz w:val="24"/>
          <w:szCs w:val="24"/>
        </w:rPr>
        <w:t>3. st. 5. SZ-a i ostalim odredbama Stečajnog zakona,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ispunjenja uvjeta</w:t>
      </w:r>
      <w:r w:rsidR="00E62EE5" w:rsidRPr="00E62EE5">
        <w:rPr>
          <w:rFonts w:eastAsiaTheme="minorHAnsi" w:hAnsi="Times New Roman" w:ascii="Times New Roman"/>
          <w:bCs/>
          <w:sz w:val="24"/>
          <w:szCs w:val="24"/>
        </w:rPr>
        <w:t xml:space="preserve"> iz čl. 289</w:t>
      </w:r>
      <w:r w:rsidRPr="00E62EE5">
        <w:rPr>
          <w:rFonts w:eastAsiaTheme="minorHAnsi" w:hAnsi="Times New Roman" w:ascii="Times New Roman"/>
          <w:bCs/>
          <w:sz w:val="24"/>
          <w:szCs w:val="24"/>
        </w:rPr>
        <w:t xml:space="preserve">. st. 1. SZ-a predložiti nastavak postupka radi naknadne diobe, </w:t>
      </w:r>
      <w:r w:rsidR="00E62EE5" w:rsidRPr="00E62EE5">
        <w:rPr>
          <w:rFonts w:eastAsiaTheme="minorHAnsi" w:hAnsi="Times New Roman" w:ascii="Times New Roman"/>
          <w:bCs/>
          <w:sz w:val="24"/>
          <w:szCs w:val="24"/>
        </w:rPr>
        <w:t>a isto tako se, sukladno čl. 289</w:t>
      </w:r>
      <w:r w:rsidRPr="00E62EE5">
        <w:rPr>
          <w:rFonts w:eastAsiaTheme="minorHAnsi" w:hAnsi="Times New Roman" w:ascii="Times New Roman"/>
          <w:bCs/>
          <w:sz w:val="24"/>
          <w:szCs w:val="24"/>
        </w:rPr>
        <w:t>. st. 4. SZ-a, u ime i za račun stečajne mase mogu voditi sporovi radi prikupljanja imovine koja u nju ulazi, to je stoga riješeno kao pod točkom II. izreke ovog rješenja.</w:t>
      </w:r>
    </w:p>
    <w:p w:rsidRDefault="00956F1E" w:rsidP="00E62EE5" w:rsidR="00261902" w:rsidRPr="00E62EE5">
      <w:pPr>
        <w:spacing w:before="200"/>
        <w:ind w:firstLine="708"/>
        <w:jc w:val="both"/>
        <w:rPr>
          <w:rFonts w:eastAsiaTheme="minorHAnsi" w:hAnsi="Times New Roman" w:ascii="Times New Roman"/>
          <w:bCs/>
          <w:sz w:val="24"/>
          <w:szCs w:val="24"/>
        </w:rPr>
      </w:pPr>
      <w:r w:rsidRPr="00E62EE5">
        <w:rPr>
          <w:rFonts w:eastAsiaTheme="minorHAnsi" w:hAnsi="Times New Roman" w:ascii="Times New Roman"/>
          <w:bCs/>
          <w:sz w:val="24"/>
          <w:szCs w:val="24"/>
        </w:rPr>
        <w:t>Odluka pod točkom I</w:t>
      </w:r>
      <w:r w:rsidR="00E62EE5" w:rsidRPr="00E62EE5">
        <w:rPr>
          <w:rFonts w:eastAsiaTheme="minorHAnsi" w:hAnsi="Times New Roman" w:ascii="Times New Roman"/>
          <w:bCs/>
          <w:sz w:val="24"/>
          <w:szCs w:val="24"/>
        </w:rPr>
        <w:t>II. izreke temelji se na čl. 300. st. 1. i čl. 286</w:t>
      </w:r>
      <w:r w:rsidRPr="00E62EE5">
        <w:rPr>
          <w:rFonts w:eastAsiaTheme="minorHAnsi" w:hAnsi="Times New Roman" w:ascii="Times New Roman"/>
          <w:bCs/>
          <w:sz w:val="24"/>
          <w:szCs w:val="24"/>
        </w:rPr>
        <w:t>. st. 2. SZ-a u vezi s odredbom čl. 12. st. 1., dok se odluka pod točkom IV. izreke ovog rje</w:t>
      </w:r>
      <w:r w:rsidR="00E62EE5" w:rsidRPr="00E62EE5">
        <w:rPr>
          <w:rFonts w:eastAsiaTheme="minorHAnsi" w:hAnsi="Times New Roman" w:ascii="Times New Roman"/>
          <w:bCs/>
          <w:sz w:val="24"/>
          <w:szCs w:val="24"/>
        </w:rPr>
        <w:t>šenja temelji na odredbi čl. 286</w:t>
      </w:r>
      <w:r w:rsidRPr="00E62EE5">
        <w:rPr>
          <w:rFonts w:eastAsiaTheme="minorHAnsi" w:hAnsi="Times New Roman" w:ascii="Times New Roman"/>
          <w:bCs/>
          <w:sz w:val="24"/>
          <w:szCs w:val="24"/>
        </w:rPr>
        <w:t>. st 3. SZ-a.</w:t>
      </w:r>
    </w:p>
    <w:p w:rsidRDefault="008321AE" w:rsidP="008973AD" w:rsidR="008321AE" w:rsidRPr="00E62EE5">
      <w:pPr>
        <w:tabs>
          <w:tab w:pos="709" w:val="left"/>
          <w:tab w:pos="6810" w:val="left"/>
        </w:tabs>
        <w:spacing w:before="200"/>
        <w:jc w:val="center"/>
        <w:rPr>
          <w:rFonts w:hAnsi="Times New Roman" w:ascii="Times New Roman"/>
          <w:sz w:val="24"/>
          <w:szCs w:val="24"/>
        </w:rPr>
      </w:pPr>
      <w:r w:rsidRPr="00E62EE5">
        <w:rPr>
          <w:rFonts w:hAnsi="Times New Roman" w:ascii="Times New Roman"/>
          <w:sz w:val="24"/>
          <w:szCs w:val="24"/>
        </w:rPr>
        <w:t xml:space="preserve">U Splitu </w:t>
      </w:r>
      <w:r w:rsidR="00C343A0">
        <w:rPr>
          <w:rFonts w:hAnsi="Times New Roman" w:ascii="Times New Roman"/>
          <w:sz w:val="24"/>
          <w:szCs w:val="24"/>
        </w:rPr>
        <w:t>6</w:t>
      </w:r>
      <w:r w:rsidR="00B82008" w:rsidRPr="00E62EE5">
        <w:rPr>
          <w:rFonts w:hAnsi="Times New Roman" w:ascii="Times New Roman"/>
          <w:sz w:val="24"/>
          <w:szCs w:val="24"/>
        </w:rPr>
        <w:t>. srpnja</w:t>
      </w:r>
      <w:r w:rsidRPr="00E62EE5">
        <w:rPr>
          <w:rFonts w:hAnsi="Times New Roman" w:ascii="Times New Roman"/>
          <w:sz w:val="24"/>
          <w:szCs w:val="24"/>
        </w:rPr>
        <w:t xml:space="preserve"> 2018.</w:t>
      </w:r>
    </w:p>
    <w:p w:rsidRDefault="008321AE" w:rsidP="008321AE" w:rsidR="008321AE" w:rsidRPr="00E62EE5">
      <w:pPr>
        <w:spacing w:before="200"/>
        <w:ind w:left="6480"/>
        <w:jc w:val="center"/>
        <w:rPr>
          <w:rFonts w:hAnsi="Times New Roman" w:ascii="Times New Roman"/>
          <w:sz w:val="24"/>
          <w:szCs w:val="24"/>
        </w:rPr>
      </w:pPr>
      <w:r w:rsidRPr="00E62EE5">
        <w:rPr>
          <w:rFonts w:hAnsi="Times New Roman" w:ascii="Times New Roman"/>
          <w:sz w:val="24"/>
          <w:szCs w:val="24"/>
        </w:rPr>
        <w:t>Sutkinja</w:t>
      </w:r>
    </w:p>
    <w:p w:rsidRDefault="008321AE" w:rsidP="008321AE" w:rsidR="008321AE" w:rsidRPr="00E62EE5">
      <w:pPr>
        <w:ind w:left="6480"/>
        <w:jc w:val="center"/>
        <w:rPr>
          <w:rFonts w:hAnsi="Times New Roman" w:ascii="Times New Roman"/>
          <w:sz w:val="24"/>
          <w:szCs w:val="24"/>
        </w:rPr>
      </w:pPr>
      <w:r w:rsidRPr="00E62EE5">
        <w:rPr>
          <w:rFonts w:hAnsi="Times New Roman" w:ascii="Times New Roman"/>
          <w:sz w:val="24"/>
          <w:szCs w:val="24"/>
        </w:rPr>
        <w:t>Ana Golub Gruić</w:t>
      </w:r>
    </w:p>
    <w:p w:rsidRDefault="008321AE" w:rsidP="008321AE" w:rsidR="008321AE" w:rsidRPr="00E62EE5">
      <w:pPr>
        <w:numPr>
          <w:ilvl w:val="12"/>
          <w:numId w:val="0"/>
        </w:numPr>
        <w:jc w:val="both"/>
        <w:rPr>
          <w:rFonts w:hAnsi="Times New Roman" w:ascii="Times New Roman"/>
          <w:sz w:val="24"/>
          <w:szCs w:val="24"/>
        </w:rPr>
      </w:pPr>
    </w:p>
    <w:p w:rsidRDefault="008321AE" w:rsidP="008321AE" w:rsidR="008321AE" w:rsidRPr="008321AE">
      <w:pPr>
        <w:jc w:val="both"/>
        <w:rPr>
          <w:rFonts w:hAnsi="Times New Roman" w:ascii="Times New Roman"/>
          <w:sz w:val="24"/>
          <w:szCs w:val="24"/>
        </w:rPr>
      </w:pPr>
      <w:r w:rsidRPr="00E62EE5">
        <w:rPr>
          <w:rFonts w:hAnsi="Times New Roman" w:ascii="Times New Roman"/>
          <w:sz w:val="24"/>
          <w:szCs w:val="24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8321AE">
        <w:rPr>
          <w:rFonts w:hAnsi="Times New Roman" w:ascii="Times New Roman"/>
          <w:sz w:val="24"/>
          <w:szCs w:val="24"/>
        </w:rPr>
        <w:t xml:space="preserve"> </w:t>
      </w:r>
    </w:p>
    <w:p w:rsidRDefault="008321AE" w:rsidP="008321AE" w:rsidR="008321AE" w:rsidRPr="008321AE">
      <w:pPr>
        <w:jc w:val="both"/>
        <w:rPr>
          <w:rFonts w:hAnsi="Times New Roman" w:ascii="Times New Roman"/>
          <w:sz w:val="24"/>
          <w:szCs w:val="24"/>
        </w:rPr>
      </w:pPr>
    </w:p>
    <w:p w:rsidRDefault="008321AE" w:rsidP="008321AE" w:rsidR="008321AE" w:rsidRPr="008321AE">
      <w:pPr>
        <w:jc w:val="both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Dna:</w:t>
      </w:r>
    </w:p>
    <w:p w:rsidRDefault="008321AE" w:rsidP="008321AE" w:rsidR="008321AE" w:rsidRPr="008321AE">
      <w:pPr>
        <w:numPr>
          <w:ilvl w:val="0"/>
          <w:numId w:val="4"/>
        </w:numPr>
        <w:ind w:left="567"/>
        <w:contextualSpacing/>
        <w:jc w:val="both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stečajnom upravitelju Marku Loncu</w:t>
      </w:r>
    </w:p>
    <w:p w:rsidRDefault="008321AE" w:rsidP="008321AE" w:rsidR="008321AE" w:rsidRPr="008321AE">
      <w:pPr>
        <w:numPr>
          <w:ilvl w:val="0"/>
          <w:numId w:val="4"/>
        </w:numPr>
        <w:ind w:left="567"/>
        <w:contextualSpacing/>
        <w:jc w:val="both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 xml:space="preserve">mrežna stranica e-Oglasna ploča sudova </w:t>
      </w:r>
    </w:p>
    <w:p w:rsidRDefault="008321AE" w:rsidP="008321AE" w:rsidR="008321AE" w:rsidRPr="008321AE">
      <w:pPr>
        <w:numPr>
          <w:ilvl w:val="0"/>
          <w:numId w:val="4"/>
        </w:numPr>
        <w:ind w:left="567"/>
        <w:contextualSpacing/>
        <w:jc w:val="both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u spis</w:t>
      </w:r>
    </w:p>
    <w:p w:rsidRDefault="000265E4" w:rsidP="008321AE" w:rsidR="000265E4" w:rsidRPr="00B15F12">
      <w:pPr>
        <w:spacing w:after="120"/>
        <w:ind w:firstLine="708"/>
        <w:jc w:val="both"/>
        <w:rPr>
          <w:sz w:val="40"/>
          <w:szCs w:val="40"/>
        </w:rPr>
      </w:pPr>
    </w:p>
    <w:sectPr w:rsidSect="00F42D4A" w:rsidR="000265E4" w:rsidRPr="00B15F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803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922803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694A41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>
      <w:rPr>
        <w:rFonts w:hAnsi="Times New Roman" w:ascii="Times New Roman"/>
        <w:sz w:val="24"/>
        <w:szCs w:val="24"/>
      </w:rPr>
      <w:t>2036/2016</w:t>
    </w:r>
  </w:p>
  <w:p w:rsidRDefault="00922803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922803" w:rsidR="008D185E" w:rsidRPr="00265077">
    <w:pPr>
      <w:pStyle w:val="Zaglavlje"/>
      <w:rPr>
        <w:sz w:val="16"/>
        <w:szCs w:val="16"/>
      </w:rPr>
    </w:pPr>
  </w:p>
  <w:p w:rsidRDefault="00922803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2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BB43023"/>
    <w:multiLevelType w:val="hybridMultilevel"/>
    <w:tmpl w:val="FB048FCE"/>
    <w:lvl w:tplc="11BCAA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13786"/>
    <w:rsid w:val="000265E4"/>
    <w:rsid w:val="000D34A1"/>
    <w:rsid w:val="001032ED"/>
    <w:rsid w:val="001261D9"/>
    <w:rsid w:val="00126FBD"/>
    <w:rsid w:val="001D398C"/>
    <w:rsid w:val="00261902"/>
    <w:rsid w:val="00286C70"/>
    <w:rsid w:val="00287799"/>
    <w:rsid w:val="00347663"/>
    <w:rsid w:val="00370EEF"/>
    <w:rsid w:val="00377E15"/>
    <w:rsid w:val="003B2AB9"/>
    <w:rsid w:val="00455883"/>
    <w:rsid w:val="00494F46"/>
    <w:rsid w:val="004A5AB7"/>
    <w:rsid w:val="004A7A51"/>
    <w:rsid w:val="004B19A7"/>
    <w:rsid w:val="004C42B0"/>
    <w:rsid w:val="004D198D"/>
    <w:rsid w:val="00543934"/>
    <w:rsid w:val="0055138A"/>
    <w:rsid w:val="005515CE"/>
    <w:rsid w:val="005528B2"/>
    <w:rsid w:val="00580E68"/>
    <w:rsid w:val="005B3156"/>
    <w:rsid w:val="005E3F65"/>
    <w:rsid w:val="006062CE"/>
    <w:rsid w:val="006115E6"/>
    <w:rsid w:val="006168B1"/>
    <w:rsid w:val="00636369"/>
    <w:rsid w:val="00645956"/>
    <w:rsid w:val="006758CB"/>
    <w:rsid w:val="00677E8E"/>
    <w:rsid w:val="0068547F"/>
    <w:rsid w:val="00694A41"/>
    <w:rsid w:val="00764CE9"/>
    <w:rsid w:val="0079317D"/>
    <w:rsid w:val="008321AE"/>
    <w:rsid w:val="00870F94"/>
    <w:rsid w:val="008973AD"/>
    <w:rsid w:val="008A569E"/>
    <w:rsid w:val="0090514A"/>
    <w:rsid w:val="00922803"/>
    <w:rsid w:val="00934D30"/>
    <w:rsid w:val="00956F1E"/>
    <w:rsid w:val="00996389"/>
    <w:rsid w:val="00A012F3"/>
    <w:rsid w:val="00A45011"/>
    <w:rsid w:val="00A46349"/>
    <w:rsid w:val="00AE0312"/>
    <w:rsid w:val="00AE0ACD"/>
    <w:rsid w:val="00AE6DB0"/>
    <w:rsid w:val="00B15F12"/>
    <w:rsid w:val="00B26539"/>
    <w:rsid w:val="00B41AB6"/>
    <w:rsid w:val="00B4666D"/>
    <w:rsid w:val="00B46AB5"/>
    <w:rsid w:val="00B82008"/>
    <w:rsid w:val="00B86AFC"/>
    <w:rsid w:val="00BD5A67"/>
    <w:rsid w:val="00C343A0"/>
    <w:rsid w:val="00C8250E"/>
    <w:rsid w:val="00C8759B"/>
    <w:rsid w:val="00C91F50"/>
    <w:rsid w:val="00C961F9"/>
    <w:rsid w:val="00CA3CE7"/>
    <w:rsid w:val="00CC5B9A"/>
    <w:rsid w:val="00CD5DDD"/>
    <w:rsid w:val="00D87BD0"/>
    <w:rsid w:val="00DF386B"/>
    <w:rsid w:val="00E5185F"/>
    <w:rsid w:val="00E51E11"/>
    <w:rsid w:val="00E62EE5"/>
    <w:rsid w:val="00E76CB4"/>
    <w:rsid w:val="00E76DE5"/>
    <w:rsid w:val="00E91F78"/>
    <w:rsid w:val="00E958D8"/>
    <w:rsid w:val="00ED1A22"/>
    <w:rsid w:val="00F11E1F"/>
    <w:rsid w:val="00F31C0B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56F1E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694A41"/>
    <w:pPr>
      <w:spacing w:lineRule="auto" w:line="240" w:after="0"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956F1E"/>
    <w:rPr>
      <w:rFonts w:cstheme="majorBidi" w:eastAsiaTheme="majorEastAsia" w:hAnsiTheme="majorHAnsi" w:asciiTheme="majorHAnsi"/>
      <w:b/>
      <w:bCs/>
      <w:i/>
      <w:iCs/>
      <w:color w:themeColor="accent1" w:val="4F81BD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22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80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2803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280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280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56F1E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94A41"/>
    <w:pPr>
      <w:spacing w:after="0" w:line="240" w:lineRule="auto"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956F1E"/>
    <w:rPr>
      <w:rFonts w:asciiTheme="majorHAnsi" w:cstheme="majorBidi" w:eastAsiaTheme="majorEastAsia" w:hAnsiTheme="majorHAnsi"/>
      <w:b/>
      <w:bCs/>
      <w:i/>
      <w:iCs/>
      <w:color w:themeColor="accent1" w:val="4F81BD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22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80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2803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280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280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St-2036/2016</izvorni_sadrzaj>
    <derivirana_varijabla naziv="DomainObject.Predmet.OznakaBroj_1">St-2036/2016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CIRCULUS MEUS d.o.o. za ugostiteljstvo i trgovinu u stečaju</izvorni_sadrzaj>
    <derivirana_varijabla naziv="DomainObject.Predmet.ProtustrankaFormated_1">  CIRCULUS MEUS d.o.o. za ugostiteljstvo i trgovinu u stečaju</derivirana_varijabla>
  </DomainObject.Predmet.ProtustrankaFormated>
  <DomainObject.Predmet.ProtustrankaFormatedOIB>
    <izvorni_sadrzaj>  CIRCULUS MEUS d.o.o. za ugostiteljstvo i trgovinu u stečaju, OIB 80776366694</izvorni_sadrzaj>
    <derivirana_varijabla naziv="DomainObject.Predmet.ProtustrankaFormatedOIB_1">  CIRCULUS MEUS d.o.o. za ugostiteljstvo i trgovinu u stečaju, OIB 80776366694</derivirana_varijabla>
  </DomainObject.Predmet.ProtustrankaFormatedOIB>
  <DomainObject.Predmet.ProtustrankaFormatedWithAdress>
    <izvorni_sadrzaj> CIRCULUS MEUS d.o.o. za ugostiteljstvo i trgovinu u stečaju, Šetalište Stjepana Radića 26, 21220 Okrug Gornji</izvorni_sadrzaj>
    <derivirana_varijabla naziv="DomainObject.Predmet.ProtustrankaFormatedWithAdress_1"> CIRCULUS MEUS d.o.o. za ugostiteljstvo i trgovinu u stečaju, Šetalište Stjepana Radića 26, 21220 Okrug Gornji</derivirana_varijabla>
  </DomainObject.Predmet.ProtustrankaFormatedWithAdress>
  <DomainObject.Predmet.ProtustrankaFormatedWithAdressOIB>
    <izvorni_sadrzaj> CIRCULUS MEUS d.o.o. za ugostiteljstvo i trgovinu u stečaju, OIB 80776366694, Šetalište Stjepana Radića 26, 21220 Okrug Gornji</izvorni_sadrzaj>
    <derivirana_varijabla naziv="DomainObject.Predmet.ProtustrankaFormatedWithAdressOIB_1"> CIRCULUS MEUS d.o.o. za ugostiteljstvo i trgovinu u stečaju, OIB 80776366694, Šetalište Stjepana Radića 26, 21220 Okrug Gornji</derivirana_varijabla>
  </DomainObject.Predmet.ProtustrankaFormatedWithAdressOIB>
  <DomainObject.Predmet.ProtustrankaWithAdress>
    <izvorni_sadrzaj>CIRCULUS MEUS d.o.o. za ugostiteljstvo i trgovinu u stečaju Šetalište Stjepana Radića 26, 21220 Okrug Gornji</izvorni_sadrzaj>
    <derivirana_varijabla naziv="DomainObject.Predmet.ProtustrankaWithAdress_1">CIRCULUS MEUS d.o.o. za ugostiteljstvo i trgovinu u stečaju Šetalište Stjepana Radića 26, 21220 Okrug Gornji</derivirana_varijabla>
  </DomainObject.Predmet.ProtustrankaWithAdress>
  <DomainObject.Predmet.ProtustrankaWithAdressOIB>
    <izvorni_sadrzaj>CIRCULUS MEUS d.o.o. za ugostiteljstvo i trgovinu u stečaju, OIB 80776366694, Šetalište Stjepana Radića 26, 21220 Okrug Gornji</izvorni_sadrzaj>
    <derivirana_varijabla naziv="DomainObject.Predmet.ProtustrankaWithAdressOIB_1">CIRCULUS MEUS d.o.o. za ugostiteljstvo i trgovinu u stečaju, OIB 80776366694, Šetalište Stjepana Radića 26, 21220 Okrug Gornji</derivirana_varijabla>
  </DomainObject.Predmet.ProtustrankaWithAdressOIB>
  <DomainObject.Predmet.ProtustrankaNazivFormated>
    <izvorni_sadrzaj>CIRCULUS MEUS d.o.o. za ugostiteljstvo i trgovinu u stečaju</izvorni_sadrzaj>
    <derivirana_varijabla naziv="DomainObject.Predmet.ProtustrankaNazivFormated_1">CIRCULUS MEUS d.o.o. za ugostiteljstvo i trgovinu u stečaju</derivirana_varijabla>
  </DomainObject.Predmet.ProtustrankaNazivFormated>
  <DomainObject.Predmet.ProtustrankaNazivFormatedOIB>
    <izvorni_sadrzaj>CIRCULUS MEUS d.o.o. za ugostiteljstvo i trgovinu u stečaju, OIB 80776366694</izvorni_sadrzaj>
    <derivirana_varijabla naziv="DomainObject.Predmet.ProtustrankaNazivFormatedOIB_1">CIRCULUS MEUS d.o.o. za ugostiteljstvo i trgovinu u stečaju, OIB 80776366694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SPLIT; Ministarstvo financija RH</izvorni_sadrzaj>
    <derivirana_varijabla naziv="DomainObject.Predmet.StrankaFormated_1">  FINANCIJSKA AGENCIJA, PODRUŽNICA SPLIT; Ministarstvo financija RH</derivirana_varijabla>
  </DomainObject.Predmet.StrankaFormated>
  <DomainObject.Predmet.StrankaFormatedOIB>
    <izvorni_sadrzaj>  FINANCIJSKA AGENCIJA, PODRUŽNICA SPLIT, OIB 85821130368; Ministarstvo financija RH, OIB 18683136487</izvorni_sadrzaj>
    <derivirana_varijabla naziv="DomainObject.Predmet.StrankaFormatedOIB_1">  FINANCIJSKA AGENCIJA, PODRUŽNICA SPLIT, OIB 85821130368; Ministarstvo financija RH, OIB 18683136487</derivirana_varijabla>
  </DomainObject.Predmet.StrankaFormatedOIB>
  <DomainObject.Predmet.StrankaFormatedWithAdress>
    <izvorni_sadrzaj> FINANCIJSKA AGENCIJA, PODRUŽNICA SPLIT, Mažuranićevo šetalište 24b, 21000 Split; Ministarstvo financija RH, Katančićeva 5, 10000 Zagreb</izvorni_sadrzaj>
    <derivirana_varijabla naziv="DomainObject.Predmet.StrankaFormatedWithAdress_1"> FINANCIJSKA AGENCIJA,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PODRUŽNICA SPLIT Mažuranićevo šetalište 24b,21000 Split,Ministarstvo financija RH Katančićeva 5,10000 Zagreb</izvorni_sadrzaj>
    <derivirana_varijabla naziv="DomainObject.Predmet.StrankaWithAdress_1">FINANCIJSKA AGENCIJA, PODRUŽNICA SPLIT Mažuranićevo šetalište 24b,21000 Split,Ministarstvo financija RH Katančićeva 5,10000 Zagreb</derivirana_varijabla>
  </DomainObject.Predmet.StrankaWithAdress>
  <DomainObject.Predmet.StrankaWithAdressOIB>
    <izvorni_sadrzaj>FINANCIJSKA AGENCIJA, PODRUŽNICA SPLIT, OIB 85821130368, Mažuranićevo šetalište 24b,21000 Split,Ministarstvo financija RH, OIB 18683136487, Katančićeva 5,10000 Zagreb</izvorni_sadrzaj>
    <derivirana_varijabla naziv="DomainObject.Predmet.StrankaWithAdressOIB_1">FINANCIJSKA AGENCIJA,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PODRUŽNICA SPLIT,Ministarstvo financija RH</izvorni_sadrzaj>
    <derivirana_varijabla naziv="DomainObject.Predmet.StrankaNazivFormated_1">FINANCIJSKA AGENCIJA, PODRUŽNICA SPLIT,Ministarstvo financija RH</derivirana_varijabla>
  </DomainObject.Predmet.StrankaNazivFormated>
  <DomainObject.Predmet.StrankaNazivFormatedOIB>
    <izvorni_sadrzaj>FINANCIJSKA AGENCIJA, PODRUŽNICA SPLIT, OIB 85821130368,Ministarstvo financija RH, OIB 18683136487</izvorni_sadrzaj>
    <derivirana_varijabla naziv="DomainObject.Predmet.StrankaNazivFormatedOIB_1">FINANCIJSKA AGENCIJA,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29443.12</izvorni_sadrzaj>
    <derivirana_varijabla naziv="DomainObject.Predmet.TrenutnaVrijednost_1">29443.12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PODRUŽNICA SPLIT</item>
      <item>Ministarstvo financija RH</item>
    </izvorni_sadrzaj>
    <derivirana_varijabla naziv="DomainObject.Predmet.StrankaListFormated_1">
      <item>FINANCIJSKA AGENCIJA, PODRUŽNICA SPLIT</item>
      <item>Ministarstvo financija RH</item>
    </derivirana_varijabla>
  </DomainObject.Predmet.StrankaListFormated>
  <DomainObject.Predmet.StrankaListFormatedOIB>
    <izvorni_sadrzaj>
      <item>FINANCIJSKA AGENCIJA, PODRUŽNICA SPLIT, OIB 85821130368</item>
      <item>Ministarstvo financija RH, OIB 18683136487</item>
    </izvorni_sadrzaj>
    <derivirana_varijabla naziv="DomainObject.Predmet.StrankaListFormatedOIB_1">
      <item>FINANCIJSKA AGENCIJA,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PODRUŽNICA SPLIT</item>
      <item>Ministarstvo financija RH</item>
    </izvorni_sadrzaj>
    <derivirana_varijabla naziv="DomainObject.Predmet.StrankaListNazivFormated_1">
      <item>FINANCIJSKA AGENCIJA, PODRUŽNICA SPLIT</item>
      <item>Ministarstvo financija RH</item>
    </derivirana_varijabla>
  </DomainObject.Predmet.StrankaListNazivFormated>
  <DomainObject.Predmet.StrankaListNazivFormatedOIB>
    <izvorni_sadrzaj>
      <item>FINANCIJSKA AGENCIJA, PODRUŽNICA SPLIT, OIB 85821130368</item>
      <item>Ministarstvo financija RH, OIB 18683136487</item>
    </izvorni_sadrzaj>
    <derivirana_varijabla naziv="DomainObject.Predmet.StrankaListNazivFormatedOIB_1">
      <item>FINANCIJSKA AGENCIJA, PODRUŽNICA SPLIT, OIB 85821130368</item>
      <item>Ministarstvo financija RH, OIB 18683136487</item>
    </derivirana_varijabla>
  </DomainObject.Predmet.StrankaListNazivFormatedOIB>
  <DomainObject.Predmet.ProtuStrankaListFormated>
    <izvorni_sadrzaj>
      <item>CIRCULUS MEUS d.o.o. za ugostiteljstvo i trgovinu u stečaju</item>
    </izvorni_sadrzaj>
    <derivirana_varijabla naziv="DomainObject.Predmet.ProtuStrankaListFormated_1">
      <item>CIRCULUS MEUS d.o.o. za ugostiteljstvo i trgovinu u stečaju</item>
    </derivirana_varijabla>
  </DomainObject.Predmet.ProtuStrankaListFormated>
  <DomainObject.Predmet.ProtuStrankaListFormatedOIB>
    <izvorni_sadrzaj>
      <item>CIRCULUS MEUS d.o.o. za ugostiteljstvo i trgovinu u stečaju, OIB 80776366694</item>
    </izvorni_sadrzaj>
    <derivirana_varijabla naziv="DomainObject.Predmet.ProtuStrankaListFormatedOIB_1">
      <item>CIRCULUS MEUS d.o.o. za ugostiteljstvo i trgovinu u stečaju, OIB 80776366694</item>
    </derivirana_varijabla>
  </DomainObject.Predmet.ProtuStrankaListFormatedOIB>
  <DomainObject.Predmet.ProtuStrankaListFormatedWithAdress>
    <izvorni_sadrzaj>
      <item>CIRCULUS MEUS d.o.o. za ugostiteljstvo i trgovinu u stečaju, Šetalište Stjepana Radića 26, 21220 Okrug Gornji</item>
    </izvorni_sadrzaj>
    <derivirana_varijabla naziv="DomainObject.Predmet.ProtuStrankaListFormatedWithAdress_1">
      <item>CIRCULUS MEUS d.o.o. za ugostiteljstvo i trgovinu u stečaju, Šetalište Stjepana Radića 26, 21220 Okrug Gornji</item>
    </derivirana_varijabla>
  </DomainObject.Predmet.ProtuStrankaListFormatedWithAdress>
  <DomainObject.Predmet.ProtuStrankaListFormatedWithAdressOIB>
    <izvorni_sadrzaj>
      <item>CIRCULUS MEUS d.o.o. za ugostiteljstvo i trgovinu u stečaju, OIB 80776366694, Šetalište Stjepana Radića 26, 21220 Okrug Gornji</item>
    </izvorni_sadrzaj>
    <derivirana_varijabla naziv="DomainObject.Predmet.ProtuStrankaListFormatedWithAdressOIB_1">
      <item>CIRCULUS MEUS d.o.o. za ugostiteljstvo i trgovinu u stečaju, OIB 80776366694, Šetalište Stjepana Radića 26, 21220 Okrug Gornji</item>
    </derivirana_varijabla>
  </DomainObject.Predmet.ProtuStrankaListFormatedWithAdressOIB>
  <DomainObject.Predmet.ProtuStrankaListNazivFormated>
    <izvorni_sadrzaj>
      <item>CIRCULUS MEUS d.o.o. za ugostiteljstvo i trgovinu u stečaju</item>
    </izvorni_sadrzaj>
    <derivirana_varijabla naziv="DomainObject.Predmet.ProtuStrankaListNazivFormated_1">
      <item>CIRCULUS MEUS d.o.o. za ugostiteljstvo i trgovinu u stečaju</item>
    </derivirana_varijabla>
  </DomainObject.Predmet.ProtuStrankaListNazivFormated>
  <DomainObject.Predmet.ProtuStrankaListNazivFormatedOIB>
    <izvorni_sadrzaj>
      <item>CIRCULUS MEUS d.o.o. za ugostiteljstvo i trgovinu u stečaju, OIB 80776366694</item>
    </izvorni_sadrzaj>
    <derivirana_varijabla naziv="DomainObject.Predmet.ProtuStrankaListNazivFormatedOIB_1">
      <item>CIRCULUS MEUS d.o.o. za ugostiteljstvo i trgovinu u stečaju, OIB 80776366694</item>
    </derivirana_varijabla>
  </DomainObject.Predmet.ProtuStrankaListNazivFormatedOIB>
  <DomainObject.Predmet.OstaliListFormated>
    <izvorni_sadrzaj>
      <item>Županijsko državno odvjetništvo u Splitu</item>
      <item>Laszlo Horvath</item>
    </izvorni_sadrzaj>
    <derivirana_varijabla naziv="DomainObject.Predmet.OstaliListFormated_1">
      <item>Županijsko državno odvjetništvo u Splitu</item>
      <item>Laszlo Horvath</item>
    </derivirana_varijabla>
  </DomainObject.Predmet.OstaliListFormated>
  <DomainObject.Predmet.OstaliListFormatedOIB>
    <izvorni_sadrzaj>
      <item>Županijsko državno odvjetništvo u Splitu</item>
      <item>Laszlo Horvath, OIB 59420269785</item>
    </izvorni_sadrzaj>
    <derivirana_varijabla naziv="DomainObject.Predmet.OstaliListFormatedOIB_1">
      <item>Županijsko državno odvjetništvo u Splitu</item>
      <item>Laszlo Horvath, OIB 59420269785</item>
    </derivirana_varijabla>
  </DomainObject.Predmet.OstaliListFormatedOIB>
  <DomainObject.Predmet.OstaliListFormatedWithAdress>
    <izvorni_sadrzaj>
      <item>Županijsko državno odvjetništvo u Splitu, Gundulićeva 29a, 21000 Split</item>
      <item>Laszlo Horvath, Šetalište S.radića 26, 21220 Okrug Gornji</item>
    </izvorni_sadrzaj>
    <derivirana_varijabla naziv="DomainObject.Predmet.OstaliListFormatedWithAdress_1">
      <item>Županijsko državno odvjetništvo u Splitu, Gundulićeva 29a, 21000 Split</item>
      <item>Laszlo Horvath, Šetalište S.radića 26, 21220 Okrug Gornji</item>
    </derivirana_varijabla>
  </DomainObject.Predmet.OstaliListFormatedWithAdress>
  <DomainObject.Predmet.OstaliListFormatedWithAdressOIB>
    <izvorni_sadrzaj>
      <item>Županijsko državno odvjetništvo u Splitu, Gundulićeva 29a, 21000 Split</item>
      <item>Laszlo Horvath, OIB 59420269785, Šetalište S.radića 26, 21220 Okrug Gornji</item>
    </izvorni_sadrzaj>
    <derivirana_varijabla naziv="DomainObject.Predmet.OstaliListFormatedWithAdressOIB_1">
      <item>Županijsko državno odvjetništvo u Splitu, Gundulićeva 29a, 21000 Split</item>
      <item>Laszlo Horvath, OIB 59420269785, Šetalište S.radića 26, 21220 Okrug Gornji</item>
    </derivirana_varijabla>
  </DomainObject.Predmet.OstaliListFormatedWithAdressOIB>
  <DomainObject.Predmet.OstaliListNazivFormated>
    <izvorni_sadrzaj>
      <item>Županijsko državno odvjetništvo u Splitu</item>
      <item>Laszlo Horvath</item>
    </izvorni_sadrzaj>
    <derivirana_varijabla naziv="DomainObject.Predmet.OstaliListNazivFormated_1">
      <item>Županijsko državno odvjetništvo u Splitu</item>
      <item>Laszlo Horvath</item>
    </derivirana_varijabla>
  </DomainObject.Predmet.OstaliListNazivFormated>
  <DomainObject.Predmet.OstaliListNazivFormatedOIB>
    <izvorni_sadrzaj>
      <item>Županijsko državno odvjetništvo u Splitu</item>
      <item>Laszlo Horvath, OIB 59420269785</item>
    </izvorni_sadrzaj>
    <derivirana_varijabla naziv="DomainObject.Predmet.OstaliListNazivFormatedOIB_1">
      <item>Županijsko državno odvjetništvo u Splitu</item>
      <item>Laszlo Horvath, OIB 59420269785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 i dr.</izvorni_sadrzaj>
    <derivirana_varijabla naziv="DomainObject.Predmet.StrankaIDrugi_1">FINANCIJSKA AGENCIJA, PODRUŽNICA SPLIT i dr.</derivirana_varijabla>
  </DomainObject.Predmet.StrankaIDrugi>
  <DomainObject.Predmet.ProtustrankaIDrugi>
    <izvorni_sadrzaj>CIRCULUS MEUS d.o.o. za ugostiteljstvo i trgovinu u stečaju</izvorni_sadrzaj>
    <derivirana_varijabla naziv="DomainObject.Predmet.ProtustrankaIDrugi_1">CIRCULUS MEUS d.o.o. za ugostiteljstvo i trgovinu u stečaju</derivirana_varijabla>
  </DomainObject.Predmet.ProtustrankaIDrugi>
  <DomainObject.Predmet.StrankaIDrugiAdressOIB>
    <izvorni_sadrzaj>FINANCIJSKA AGENCIJA, PODRUŽNICA SPLIT, OIB 85821130368, Mažuranićevo šetalište 24b, 21000 Split i dr.</izvorni_sadrzaj>
    <derivirana_varijabla naziv="DomainObject.Predmet.StrankaIDrugiAdressOIB_1">FINANCIJSKA AGENCIJA, PODRUŽNICA SPLIT, OIB 85821130368, Mažuranićevo šetalište 24b, 21000 Split i dr.</derivirana_varijabla>
  </DomainObject.Predmet.StrankaIDrugiAdressOIB>
  <DomainObject.Predmet.ProtustrankaIDrugiAdressOIB>
    <izvorni_sadrzaj>CIRCULUS MEUS d.o.o. za ugostiteljstvo i trgovinu u stečaju, OIB 80776366694, Šetalište Stjepana Radića 26, 21220 Okrug Gornji</izvorni_sadrzaj>
    <derivirana_varijabla naziv="DomainObject.Predmet.ProtustrankaIDrugiAdressOIB_1">CIRCULUS MEUS d.o.o. za ugostiteljstvo i trgovinu u stečaju, OIB 80776366694, Šetalište Stjepana Radića 26,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CIRCULUS MEUS d.o.o. za ugostiteljstvo i trgovinu u stečaju</item>
      <item>FINANCIJSKA AGENCIJA, PODRUŽNICA SPLIT</item>
      <item>Ministarstvo financija RH</item>
      <item>Županijsko državno odvjetništvo u Splitu</item>
      <item>Laszlo Horvath</item>
    </izvorni_sadrzaj>
    <derivirana_varijabla naziv="DomainObject.Predmet.SudioniciListNaziv_1">
      <item>CIRCULUS MEUS d.o.o. za ugostiteljstvo i trgovinu u stečaju</item>
      <item>FINANCIJSKA AGENCIJA, PODRUŽNICA SPLIT</item>
      <item>Ministarstvo financija RH</item>
      <item>Županijsko državno odvjetništvo u Splitu</item>
      <item>Laszlo Horvath</item>
    </derivirana_varijabla>
  </DomainObject.Predmet.SudioniciListNaziv>
  <DomainObject.Predmet.SudioniciListAdressOIB>
    <izvorni_sadrzaj>
      <item>CIRCULUS MEUS d.o.o. za ugostiteljstvo i trgovinu u stečaju,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izvorni_sadrzaj>
    <derivirana_varijabla naziv="DomainObject.Predmet.SudioniciListAdressOIB_1">
      <item>CIRCULUS MEUS d.o.o. za ugostiteljstvo i trgovinu u stečaju,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80776366694</item>
      <item>, OIB 85821130368</item>
      <item>, OIB 18683136487</item>
      <item>, OIB null</item>
      <item>, OIB 59420269785</item>
    </izvorni_sadrzaj>
    <derivirana_varijabla naziv="DomainObject.Predmet.SudioniciListNazivOIB_1">
      <item>, OIB 80776366694</item>
      <item>, OIB 85821130368</item>
      <item>, OIB 18683136487</item>
      <item>, OIB null</item>
      <item>, OIB 59420269785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2AF16-7985-4118-B42F-08109EA409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924</properties:Words>
  <properties:Characters>5095</properties:Characters>
  <properties:Lines>98</properties:Lines>
  <properties:Paragraphs>29</properties:Paragraphs>
  <properties:TotalTime>218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6015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2018-07-06T11:49:00Z</cp:lastPrinted>
  <dcterms:modified xmlns:xsi="http://www.w3.org/2001/XMLSchema-instance" xsi:type="dcterms:W3CDTF">2018-07-06T12:17:00Z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(St-2036-2016 Rješenje - obustava i zaključenje zbog nedostatnosti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