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5000" w:type="pct"/>
        <w:tblCellMar>
          <w:left w:w="10" w:type="dxa"/>
          <w:right w:w="10" w:type="dxa"/>
        </w:tblCellMar>
        <w:tblLook w:firstRow="0" w:lastRow="0" w:firstColumn="0" w:lastColumn="0" w:noHBand="0" w:noVBand="0" w:val="0000"/>
      </w:tblPr>
      <w:tblGrid>
        <w:gridCol w:w="996"/>
        <w:gridCol w:w="2355"/>
        <w:gridCol w:w="1619"/>
        <w:gridCol w:w="1651"/>
        <w:gridCol w:w="1702"/>
        <w:gridCol w:w="1760"/>
        <w:gridCol w:w="2009"/>
        <w:gridCol w:w="2128"/>
      </w:tblGrid>
      <w:tr w:rsidR="00011B98">
        <w:trPr>
          <w:trHeight w:val="300"/>
        </w:trPr>
        <w:tc>
          <w:tcPr>
            <w:tcW w:w="9930" w:type="dxa"/>
            <w:gridSpan w:val="6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1B98" w:rsidRDefault="00D50603">
            <w:pPr>
              <w:spacing w:after="0"/>
            </w:pPr>
            <w:bookmarkStart w:name="_GoBack" w:id="0"/>
            <w:bookmarkEnd w:id="0"/>
            <w:r>
              <w:rPr>
                <w:rFonts w:ascii="Arial" w:hAnsi="Arial" w:eastAsia="Times New Roman" w:cs="Arial"/>
                <w:b/>
                <w:bCs/>
                <w:color w:val="000000"/>
                <w:lang w:eastAsia="hr-HR"/>
              </w:rPr>
              <w:t xml:space="preserve">                                                                                                           Obrazac 17</w:t>
            </w:r>
            <w:r>
              <w:rPr>
                <w:rFonts w:ascii="Arial" w:hAnsi="Arial" w:eastAsia="Times New Roman" w:cs="Arial"/>
                <w:color w:val="000000"/>
                <w:lang w:eastAsia="hr-HR"/>
              </w:rPr>
              <w:t>.</w:t>
            </w:r>
          </w:p>
        </w:tc>
        <w:tc>
          <w:tcPr>
            <w:tcW w:w="197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1B98" w:rsidRDefault="00011B98">
            <w:pPr>
              <w:spacing w:after="0"/>
              <w:rPr>
                <w:rFonts w:ascii="Arial" w:hAnsi="Arial" w:eastAsia="Times New Roman" w:cs="Arial"/>
                <w:color w:val="000000"/>
                <w:lang w:eastAsia="hr-HR"/>
              </w:rPr>
            </w:pPr>
          </w:p>
        </w:tc>
        <w:tc>
          <w:tcPr>
            <w:tcW w:w="209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1B98" w:rsidRDefault="00011B9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</w:tr>
      <w:tr w:rsidR="00011B98">
        <w:trPr>
          <w:trHeight w:val="300"/>
        </w:trPr>
        <w:tc>
          <w:tcPr>
            <w:tcW w:w="9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1B98" w:rsidRDefault="00011B9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319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1B98" w:rsidRDefault="00011B9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59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1B98" w:rsidRDefault="00011B9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62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1B98" w:rsidRDefault="00011B9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6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1B98" w:rsidRDefault="00011B9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3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1B98" w:rsidRDefault="00011B9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97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1B98" w:rsidRDefault="00011B9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09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1B98" w:rsidRDefault="00011B9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</w:tr>
      <w:tr w:rsidR="00011B98">
        <w:trPr>
          <w:trHeight w:val="300"/>
        </w:trPr>
        <w:tc>
          <w:tcPr>
            <w:tcW w:w="4895" w:type="dxa"/>
            <w:gridSpan w:val="3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1B98" w:rsidRDefault="00D50603">
            <w:pPr>
              <w:spacing w:after="0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Nadležni trgovački sud u Zagrebu</w:t>
            </w:r>
          </w:p>
        </w:tc>
        <w:tc>
          <w:tcPr>
            <w:tcW w:w="162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1B98" w:rsidRDefault="00011B98">
            <w:pPr>
              <w:spacing w:after="0"/>
              <w:rPr>
                <w:rFonts w:ascii="Arial" w:hAnsi="Arial" w:eastAsia="Times New Roman" w:cs="Arial"/>
                <w:color w:val="000000"/>
                <w:lang w:eastAsia="hr-HR"/>
              </w:rPr>
            </w:pPr>
          </w:p>
        </w:tc>
        <w:tc>
          <w:tcPr>
            <w:tcW w:w="16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1B98" w:rsidRDefault="00011B9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3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1B98" w:rsidRDefault="00011B9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97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1B98" w:rsidRDefault="00011B9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09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1B98" w:rsidRDefault="00011B9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</w:tr>
      <w:tr w:rsidR="00011B98">
        <w:trPr>
          <w:trHeight w:val="300"/>
        </w:trPr>
        <w:tc>
          <w:tcPr>
            <w:tcW w:w="6521" w:type="dxa"/>
            <w:gridSpan w:val="4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1B98" w:rsidRDefault="00D50603">
            <w:pPr>
              <w:spacing w:after="0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Poslovni broj spisa: St – 2023/17</w:t>
            </w:r>
          </w:p>
          <w:p w:rsidR="00011B98" w:rsidRDefault="00D50603">
            <w:pPr>
              <w:spacing w:after="0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Dužnik: LIPIK d.o.o., OIB: 90269589266, Zagreb, Horvaćanska cesta 19</w:t>
            </w:r>
          </w:p>
        </w:tc>
        <w:tc>
          <w:tcPr>
            <w:tcW w:w="16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1B98" w:rsidRDefault="00011B98">
            <w:pPr>
              <w:spacing w:after="0"/>
              <w:rPr>
                <w:rFonts w:ascii="Arial" w:hAnsi="Arial" w:eastAsia="Times New Roman" w:cs="Arial"/>
                <w:color w:val="000000"/>
                <w:lang w:eastAsia="hr-HR"/>
              </w:rPr>
            </w:pPr>
          </w:p>
        </w:tc>
        <w:tc>
          <w:tcPr>
            <w:tcW w:w="173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1B98" w:rsidRDefault="00011B9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97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1B98" w:rsidRDefault="00011B9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09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1B98" w:rsidRDefault="00011B9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</w:tr>
      <w:tr w:rsidR="00011B98">
        <w:trPr>
          <w:trHeight w:val="300"/>
        </w:trPr>
        <w:tc>
          <w:tcPr>
            <w:tcW w:w="11908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1B98" w:rsidRDefault="00011B98">
            <w:pPr>
              <w:spacing w:after="0"/>
              <w:rPr>
                <w:rFonts w:ascii="Arial" w:hAnsi="Arial" w:eastAsia="Times New Roman" w:cs="Arial"/>
                <w:color w:val="000000"/>
                <w:lang w:eastAsia="hr-HR"/>
              </w:rPr>
            </w:pPr>
          </w:p>
        </w:tc>
        <w:tc>
          <w:tcPr>
            <w:tcW w:w="209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1B98" w:rsidRDefault="00011B98">
            <w:pPr>
              <w:spacing w:after="0"/>
              <w:rPr>
                <w:rFonts w:ascii="Arial" w:hAnsi="Arial" w:eastAsia="Times New Roman" w:cs="Arial"/>
                <w:color w:val="000000"/>
                <w:lang w:eastAsia="hr-HR"/>
              </w:rPr>
            </w:pPr>
          </w:p>
        </w:tc>
      </w:tr>
      <w:tr w:rsidR="00011B98">
        <w:trPr>
          <w:trHeight w:val="300"/>
        </w:trPr>
        <w:tc>
          <w:tcPr>
            <w:tcW w:w="9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1B98" w:rsidRDefault="00011B9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319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1B98" w:rsidRDefault="00011B9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59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1B98" w:rsidRDefault="00011B9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62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1B98" w:rsidRDefault="00011B9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6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1B98" w:rsidRDefault="00011B9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3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1B98" w:rsidRDefault="00011B9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97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1B98" w:rsidRDefault="00011B9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09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1B98" w:rsidRDefault="00011B9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</w:tr>
      <w:tr w:rsidR="00011B98">
        <w:trPr>
          <w:trHeight w:val="300"/>
        </w:trPr>
        <w:tc>
          <w:tcPr>
            <w:tcW w:w="9930" w:type="dxa"/>
            <w:gridSpan w:val="6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1B98" w:rsidRDefault="00D50603">
            <w:pPr>
              <w:spacing w:after="0"/>
              <w:rPr>
                <w:rFonts w:ascii="Arial" w:hAnsi="Arial" w:eastAsia="Times New Roman" w:cs="Arial"/>
                <w:b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b/>
                <w:color w:val="000000"/>
                <w:lang w:eastAsia="hr-HR"/>
              </w:rPr>
              <w:t xml:space="preserve">                                                                                        TABLICA RAZLUČNIH PRAVA</w:t>
            </w:r>
          </w:p>
        </w:tc>
        <w:tc>
          <w:tcPr>
            <w:tcW w:w="197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1B98" w:rsidRDefault="00011B98">
            <w:pPr>
              <w:spacing w:after="0"/>
              <w:rPr>
                <w:rFonts w:ascii="Arial" w:hAnsi="Arial" w:eastAsia="Times New Roman" w:cs="Arial"/>
                <w:color w:val="000000"/>
                <w:lang w:eastAsia="hr-HR"/>
              </w:rPr>
            </w:pPr>
          </w:p>
        </w:tc>
        <w:tc>
          <w:tcPr>
            <w:tcW w:w="209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1B98" w:rsidRDefault="00011B9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</w:tr>
      <w:tr w:rsidR="00011B98">
        <w:trPr>
          <w:trHeight w:val="300"/>
        </w:trPr>
        <w:tc>
          <w:tcPr>
            <w:tcW w:w="9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1B98" w:rsidRDefault="00011B9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319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1B98" w:rsidRDefault="00011B9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59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1B98" w:rsidRDefault="00011B9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62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1B98" w:rsidRDefault="00011B9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6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1B98" w:rsidRDefault="00011B9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3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1B98" w:rsidRDefault="00011B9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97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1B98" w:rsidRDefault="00011B9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09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1B98" w:rsidRDefault="00011B9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</w:tr>
      <w:tr w:rsidR="00011B98">
        <w:trPr>
          <w:trHeight w:val="1155"/>
        </w:trPr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1B98" w:rsidRDefault="00D50603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Redni broj</w:t>
            </w:r>
          </w:p>
        </w:tc>
        <w:tc>
          <w:tcPr>
            <w:tcW w:w="231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1B98" w:rsidRDefault="00D50603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Ime i prezime / tvrtka ili naziv razlučnog vjerovnika</w:t>
            </w:r>
          </w:p>
        </w:tc>
        <w:tc>
          <w:tcPr>
            <w:tcW w:w="159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1B98" w:rsidRDefault="00D50603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OIB razlučnog vjerovnika</w:t>
            </w:r>
          </w:p>
        </w:tc>
        <w:tc>
          <w:tcPr>
            <w:tcW w:w="162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1B98" w:rsidRDefault="00D50603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Adresa / sjedište razlučnog vjerovnika</w:t>
            </w:r>
          </w:p>
        </w:tc>
        <w:tc>
          <w:tcPr>
            <w:tcW w:w="167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1B98" w:rsidRDefault="00D50603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Javna knjiga u koju je razlučno pravo upisano</w:t>
            </w:r>
          </w:p>
        </w:tc>
        <w:tc>
          <w:tcPr>
            <w:tcW w:w="173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1B98" w:rsidRDefault="00D50603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Iznos tražbine osigurane razlučnim pravom (kn)</w:t>
            </w:r>
          </w:p>
        </w:tc>
        <w:tc>
          <w:tcPr>
            <w:tcW w:w="197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1B98" w:rsidRDefault="00D50603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Pravnu osnovu tražbine osigurane razlučnim pravom</w:t>
            </w:r>
          </w:p>
        </w:tc>
        <w:tc>
          <w:tcPr>
            <w:tcW w:w="209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1B98" w:rsidRDefault="00D50603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Dio imovine na koji se odnosi razlučno pravo</w:t>
            </w:r>
          </w:p>
        </w:tc>
      </w:tr>
      <w:tr w:rsidR="00011B98">
        <w:trPr>
          <w:trHeight w:val="1155"/>
        </w:trPr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1B98" w:rsidRDefault="00D50603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 xml:space="preserve">1. </w:t>
            </w:r>
          </w:p>
        </w:tc>
        <w:tc>
          <w:tcPr>
            <w:tcW w:w="231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1B98" w:rsidRDefault="00D50603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Dominik Nizić</w:t>
            </w:r>
          </w:p>
        </w:tc>
        <w:tc>
          <w:tcPr>
            <w:tcW w:w="159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1B98" w:rsidRDefault="00D50603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73342096504</w:t>
            </w:r>
          </w:p>
        </w:tc>
        <w:tc>
          <w:tcPr>
            <w:tcW w:w="162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1B98" w:rsidRDefault="00D50603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Savska cesta 41/XIII</w:t>
            </w:r>
          </w:p>
        </w:tc>
        <w:tc>
          <w:tcPr>
            <w:tcW w:w="167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1B98" w:rsidRDefault="00D50603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Zemljišna knjiga, z.k. odjel Samobor, k.o. Klokočevec</w:t>
            </w:r>
          </w:p>
        </w:tc>
        <w:tc>
          <w:tcPr>
            <w:tcW w:w="173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1B98" w:rsidRDefault="00D50603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658.759,65</w:t>
            </w:r>
          </w:p>
        </w:tc>
        <w:tc>
          <w:tcPr>
            <w:tcW w:w="197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1B98" w:rsidRDefault="00D50603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Zabilježba ovrhe u zemljišnoj knjizi</w:t>
            </w:r>
          </w:p>
        </w:tc>
        <w:tc>
          <w:tcPr>
            <w:tcW w:w="209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1B98" w:rsidRDefault="00D50603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K.o. Klokočevec, z.k. ul. br. 194, 1109, 1129, 1237,1185</w:t>
            </w:r>
          </w:p>
          <w:p w:rsidR="00011B98" w:rsidRDefault="00D50603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*</w:t>
            </w:r>
          </w:p>
        </w:tc>
      </w:tr>
      <w:tr w:rsidR="00011B98">
        <w:trPr>
          <w:trHeight w:val="1155"/>
        </w:trPr>
        <w:tc>
          <w:tcPr>
            <w:tcW w:w="98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1B98" w:rsidRDefault="00D50603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2.</w:t>
            </w:r>
          </w:p>
        </w:tc>
        <w:tc>
          <w:tcPr>
            <w:tcW w:w="2319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1B98" w:rsidRDefault="00D50603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RH, Ministarstvo financija, Porezna uprava, Područni ured Zagreb, zastupana po ŽDO u Zagrebu</w:t>
            </w:r>
          </w:p>
        </w:tc>
        <w:tc>
          <w:tcPr>
            <w:tcW w:w="159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1B98" w:rsidRDefault="00D50603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18683136487</w:t>
            </w:r>
          </w:p>
        </w:tc>
        <w:tc>
          <w:tcPr>
            <w:tcW w:w="162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1B98" w:rsidRDefault="00D50603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Zagreb, Avenija Dubrovnik 32</w:t>
            </w:r>
          </w:p>
        </w:tc>
        <w:tc>
          <w:tcPr>
            <w:tcW w:w="167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1B98" w:rsidRDefault="00D50603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Zemljišna knjiga, z.k. odjel Samobor, k.o. Klokočevec</w:t>
            </w:r>
          </w:p>
        </w:tc>
        <w:tc>
          <w:tcPr>
            <w:tcW w:w="173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1B98" w:rsidRDefault="00D50603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63.892,37</w:t>
            </w:r>
          </w:p>
        </w:tc>
        <w:tc>
          <w:tcPr>
            <w:tcW w:w="197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1B98" w:rsidRDefault="00D50603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Zabilježba ovrhe u zemljišnoj knjizi</w:t>
            </w:r>
          </w:p>
        </w:tc>
        <w:tc>
          <w:tcPr>
            <w:tcW w:w="209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1B98" w:rsidRDefault="00D50603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K.o. Klokočevec, z.k. ul. br. 1237, 1129 i 1184</w:t>
            </w:r>
          </w:p>
          <w:p w:rsidR="00011B98" w:rsidRDefault="00011B98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</w:p>
        </w:tc>
      </w:tr>
    </w:tbl>
    <w:p w:rsidR="00011B98" w:rsidRDefault="00011B98" w14:paraId="ac209f5" w14:textId="ac209f5">
      <w:pPr>
        <w:jc w:val="both"/>
        <w15:collapsed w:val="false"/>
      </w:pPr>
    </w:p>
    <w:p w:rsidR="00011B98" w:rsidRDefault="00D50603">
      <w:pPr>
        <w:jc w:val="both"/>
      </w:pPr>
      <w:r>
        <w:t>*</w:t>
      </w:r>
    </w:p>
    <w:p w:rsidR="00011B98" w:rsidRDefault="00D506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Razlučni vjerovnik naveden pod rednim brojem 1. Dominik Nizić obavijestio je o dijelu imovine na koje se odnosi razlučno pravo a nije u vlasništvu stečajnog dužnika: z.k.ul.br. 194 – vlasništvo Samo treba delati d.o.o., z.k.ul.br. 1109 – vlasništvo Samo treba delati d.o.o., i z.k.ul.br.1185 – vlasništvo RH – javno vodno dobro na upravljanju hrvatskih voda, Ulica grada Vukovara 220, Zagreb, a nije obavijestio o dijelu imovine na koju se odnosi razlučno pravo z.k.ul.br.1184 – vlasništvo stečajnog dužnika Lipik d.o.o..</w:t>
      </w:r>
    </w:p>
    <w:p w:rsidR="00011B98" w:rsidRDefault="00011B98">
      <w:pPr>
        <w:jc w:val="both"/>
      </w:pPr>
    </w:p>
    <w:p w:rsidR="00011B98" w:rsidRDefault="00D506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Zagreb, 19. studeni  2019. godine</w:t>
      </w:r>
    </w:p>
    <w:p w:rsidR="00011B98" w:rsidRDefault="00D506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Stečajni upravitelj</w:t>
      </w:r>
    </w:p>
    <w:p w:rsidR="00011B98" w:rsidRDefault="00D506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Ivica Boltužić</w:t>
      </w:r>
    </w:p>
    <w:p w:rsidR="00011B98" w:rsidRDefault="00011B98"/>
    <w:p w:rsidR="00011B98" w:rsidRDefault="00011B98"/>
    <w:sectPr w:rsidR="00011B98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50603" w:rsidRDefault="00D50603">
      <w:pPr>
        <w:spacing w:after="0"/>
      </w:pPr>
      <w:r>
        <w:separator/>
      </w:r>
    </w:p>
  </w:endnote>
  <w:endnote w:type="continuationSeparator" w:id="0">
    <w:p w:rsidR="00D50603" w:rsidRDefault="00D50603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4196A" w:rsidRDefault="00D50603">
    <w:pPr>
      <w:pStyle w:val="Podnoje"/>
      <w:jc w:val="right"/>
    </w:pPr>
    <w:r>
      <w:fldChar w:fldCharType="begin"/>
    </w:r>
    <w:r>
      <w:instrText xml:space="preserve"> PAGE </w:instrText>
    </w:r>
    <w:r>
      <w:fldChar w:fldCharType="separate"/>
    </w:r>
    <w:r w:rsidR="00D9076E">
      <w:rPr>
        <w:noProof/>
      </w:rPr>
      <w:t>1</w:t>
    </w:r>
    <w:r>
      <w:fldChar w:fldCharType="end"/>
    </w:r>
  </w:p>
  <w:p w:rsidR="00A4196A" w:rsidRDefault="00D9076E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50603" w:rsidRDefault="00D50603">
      <w:pPr>
        <w:spacing w:after="0"/>
      </w:pPr>
      <w:r>
        <w:rPr>
          <w:color w:val="000000"/>
        </w:rPr>
        <w:separator/>
      </w:r>
    </w:p>
  </w:footnote>
  <w:footnote w:type="continuationSeparator" w:id="0">
    <w:p w:rsidR="00D50603" w:rsidRDefault="00D50603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4196A" w:rsidRDefault="00D9076E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11B98"/>
    <w:rsid w:val="00011B98"/>
    <w:rsid w:val="00503472"/>
    <w:rsid w:val="00D50603"/>
    <w:rsid w:val="00D90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sz w:val="22"/>
        <w:szCs w:val="22"/>
        <w:lang w:val="hr-HR" w:eastAsia="en-US" w:bidi="ar-SA"/>
      </w:rPr>
    </w:rPrDefault>
    <w:pPrDefault>
      <w:pPr>
        <w:autoSpaceDN w:val="false"/>
        <w:spacing w:after="160" w:line="251" w:lineRule="auto"/>
        <w:textAlignment w:val="baseline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pPr>
      <w:suppressAutoHyphens/>
      <w:spacing w:line="240" w:lineRule="auto"/>
    </w:p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pPr>
      <w:ind w:left="720"/>
    </w:pPr>
  </w:style>
  <w:style w:type="paragraph" w:styleId="Zaglavlje">
    <w:name w:val="header"/>
    <w:basedOn w:val="Normal"/>
    <w:pPr>
      <w:tabs>
        <w:tab w:val="center" w:pos="4536"/>
        <w:tab w:val="right" w:pos="9072"/>
      </w:tabs>
      <w:spacing w:after="0"/>
    </w:pPr>
  </w:style>
  <w:style w:type="character" w:styleId="ZaglavljeChar" w:customStyle="true">
    <w:name w:val="Zaglavlje Char"/>
    <w:basedOn w:val="Zadanifontodlomka"/>
    <w:rPr>
      <w:rFonts w:ascii="Calibri" w:hAnsi="Calibri" w:eastAsia="Calibri" w:cs="Times New Roman"/>
    </w:rPr>
  </w:style>
  <w:style w:type="paragraph" w:styleId="Podnoje">
    <w:name w:val="footer"/>
    <w:basedOn w:val="Normal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basedOn w:val="Zadanifontodlomka"/>
    <w:rPr>
      <w:rFonts w:ascii="Calibri" w:hAnsi="Calibri" w:eastAsia="Calibri" w:cs="Times New Roman"/>
    </w:rPr>
  </w:style>
  <w:style w:type="character" w:styleId="Tekstrezerviranogmjesta">
    <w:name w:val="Placeholder Text"/>
    <w:basedOn w:val="Zadanifontodlomka"/>
    <w:uiPriority w:val="99"/>
    <w:semiHidden/>
    <w:rsid w:val="00D9076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9076E"/>
    <w:rPr>
      <w:rFonts w:ascii="Times New Roman" w:hAnsi="Times New Roman" w:eastAsia="Times New Roman" w:cs="Times New Roman"/>
      <w:b/>
      <w:bCs/>
      <w:color w:val="000000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D9076E"/>
    <w:rPr>
      <w:rFonts w:ascii="Arial" w:hAnsi="Arial" w:eastAsia="Times New Roman" w:cs="Arial"/>
      <w:b/>
      <w:bCs/>
      <w:color w:val="000000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D9076E"/>
    <w:rPr>
      <w:rFonts w:ascii="Arial" w:hAnsi="Arial" w:eastAsia="Times New Roman" w:cs="Arial"/>
      <w:b w:val="false"/>
      <w:bCs w:val="false"/>
      <w:color w:val="000000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D9076E"/>
    <w:rPr>
      <w:rFonts w:ascii="Arial" w:hAnsi="Arial" w:eastAsia="Times New Roman" w:cs="Arial"/>
      <w:b w:val="false"/>
      <w:bCs w:val="false"/>
      <w:color w:val="000000"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  <w:spacing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rPr>
      <w:rFonts w:ascii="Calibri" w:cs="Times New Roman" w:eastAsia="Calibri" w:hAnsi="Calibri"/>
    </w:rPr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D907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76E"/>
    <w:rPr>
      <w:rFonts w:ascii="Times New Roman" w:cs="Times New Roman" w:eastAsia="Times New Roman" w:hAnsi="Times New Roman"/>
      <w:b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9076E"/>
    <w:rPr>
      <w:rFonts w:ascii="Arial" w:cs="Arial" w:eastAsia="Times New Roman" w:hAnsi="Arial"/>
      <w:b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9076E"/>
    <w:rPr>
      <w:rFonts w:ascii="Arial" w:cs="Arial" w:eastAsia="Times New Roman" w:hAnsi="Arial"/>
      <w:b w:val="0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9076E"/>
    <w:rPr>
      <w:rFonts w:ascii="Arial" w:cs="Arial" w:eastAsia="Times New Roman" w:hAnsi="Arial"/>
      <w:b w:val="0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226</properties:Words>
  <properties:Characters>1346</properties:Characters>
  <properties:Lines>123</properties:Lines>
  <properties:Paragraphs>35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2019-11-21T08:08:00Z</dcterms:created>
  <dc:creator>Ivica Boltužić</dc:creator>
  <cp:lastModifiedBy>Nikolina Krunić</cp:lastModifiedBy>
  <dcterms:modified xmlns:xsi="http://www.w3.org/2001/XMLSchema-instance" xsi:type="dcterms:W3CDTF">2019-11-21T08:11:00Z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St-2023/2017-36 / Podnesak - Podnesak (LIPIK d.o.o. Tablica razlučnih prava.docx)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