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1c7d" w14:paraId="68a1c7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B2CCE" w:rsidP="007B2CCE" w:rsidR="007B2CCE" w:rsidRPr="007B2CCE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B2CC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 xml:space="preserve">               6 St-658/2016-2.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>O G L A S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RONG društvo s ograničenom odgovornošću za trgovinu i ugostiteljstvo, Zagreb, </w:t>
      </w:r>
      <w:proofErr w:type="spellStart"/>
      <w:r w:rsidRPr="007B2CCE">
        <w:rPr>
          <w:rFonts w:cs="Times New Roman" w:eastAsia="Times New Roman"/>
          <w:szCs w:val="20"/>
          <w:lang w:eastAsia="hr-HR"/>
        </w:rPr>
        <w:t>Posavje</w:t>
      </w:r>
      <w:proofErr w:type="spellEnd"/>
      <w:r w:rsidRPr="007B2CCE">
        <w:rPr>
          <w:rFonts w:cs="Times New Roman" w:eastAsia="Times New Roman"/>
          <w:szCs w:val="20"/>
          <w:lang w:eastAsia="hr-HR"/>
        </w:rPr>
        <w:t xml:space="preserve"> 34, MBS: 040166334, OIB: 14002336432, koji se vodi kod ovoga suda pod brojem St-658/2016, temeljem odredbe čl.430., 431. i 434. Stečajnog zakona (Narodne novine br. 71/15), objavljuje: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9.536,90 kn, u koji iznos je uračunata kamata i naknada Financijske agencije za provedbu ovrhe na novčanim sredstvima.  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 xml:space="preserve">II. Poziva se osoba ovlaštena za zastupanje dužnika – LU RONG, Kina, </w:t>
      </w:r>
      <w:proofErr w:type="spellStart"/>
      <w:r w:rsidRPr="007B2CCE">
        <w:rPr>
          <w:rFonts w:cs="Times New Roman" w:eastAsia="Times New Roman"/>
          <w:szCs w:val="20"/>
          <w:lang w:eastAsia="hr-HR"/>
        </w:rPr>
        <w:t>Linhai</w:t>
      </w:r>
      <w:proofErr w:type="spellEnd"/>
      <w:r w:rsidRPr="007B2CCE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B2CCE">
        <w:rPr>
          <w:rFonts w:cs="Times New Roman" w:eastAsia="Times New Roman"/>
          <w:szCs w:val="20"/>
          <w:lang w:eastAsia="hr-HR"/>
        </w:rPr>
        <w:t>Yusha</w:t>
      </w:r>
      <w:proofErr w:type="spellEnd"/>
      <w:r w:rsidRPr="007B2CCE">
        <w:rPr>
          <w:rFonts w:cs="Times New Roman" w:eastAsia="Times New Roman"/>
          <w:szCs w:val="20"/>
          <w:lang w:eastAsia="hr-HR"/>
        </w:rPr>
        <w:t xml:space="preserve"> 54, </w:t>
      </w:r>
      <w:proofErr w:type="spellStart"/>
      <w:r w:rsidRPr="007B2CCE">
        <w:rPr>
          <w:rFonts w:cs="Times New Roman" w:eastAsia="Times New Roman"/>
          <w:szCs w:val="20"/>
          <w:lang w:eastAsia="hr-HR"/>
        </w:rPr>
        <w:t>Zhejiang</w:t>
      </w:r>
      <w:proofErr w:type="spellEnd"/>
      <w:r w:rsidRPr="007B2CCE">
        <w:rPr>
          <w:rFonts w:cs="Times New Roman" w:eastAsia="Times New Roman"/>
          <w:szCs w:val="20"/>
          <w:lang w:eastAsia="hr-HR"/>
        </w:rPr>
        <w:t xml:space="preserve">, OIB: 29075307885, DENG MIN, Kina, </w:t>
      </w:r>
      <w:proofErr w:type="spellStart"/>
      <w:r w:rsidRPr="007B2CCE">
        <w:rPr>
          <w:rFonts w:cs="Times New Roman" w:eastAsia="Times New Roman"/>
          <w:szCs w:val="20"/>
          <w:lang w:eastAsia="hr-HR"/>
        </w:rPr>
        <w:t>Jiaojing</w:t>
      </w:r>
      <w:proofErr w:type="spellEnd"/>
      <w:r w:rsidRPr="007B2CC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B2CCE">
        <w:rPr>
          <w:rFonts w:cs="Times New Roman" w:eastAsia="Times New Roman"/>
          <w:szCs w:val="20"/>
          <w:lang w:eastAsia="hr-HR"/>
        </w:rPr>
        <w:t>Taizhou</w:t>
      </w:r>
      <w:proofErr w:type="spellEnd"/>
      <w:r w:rsidRPr="007B2CCE">
        <w:rPr>
          <w:rFonts w:cs="Times New Roman" w:eastAsia="Times New Roman"/>
          <w:szCs w:val="20"/>
          <w:lang w:eastAsia="hr-HR"/>
        </w:rPr>
        <w:t xml:space="preserve">, 502 </w:t>
      </w:r>
      <w:proofErr w:type="spellStart"/>
      <w:r w:rsidRPr="007B2CCE">
        <w:rPr>
          <w:rFonts w:cs="Times New Roman" w:eastAsia="Times New Roman"/>
          <w:szCs w:val="20"/>
          <w:lang w:eastAsia="hr-HR"/>
        </w:rPr>
        <w:t>Yinyuan</w:t>
      </w:r>
      <w:proofErr w:type="spellEnd"/>
      <w:r w:rsidRPr="007B2CCE">
        <w:rPr>
          <w:rFonts w:cs="Times New Roman" w:eastAsia="Times New Roman"/>
          <w:szCs w:val="20"/>
          <w:lang w:eastAsia="hr-HR"/>
        </w:rPr>
        <w:t xml:space="preserve"> Park, </w:t>
      </w:r>
      <w:proofErr w:type="spellStart"/>
      <w:r w:rsidRPr="007B2CCE">
        <w:rPr>
          <w:rFonts w:cs="Times New Roman" w:eastAsia="Times New Roman"/>
          <w:szCs w:val="20"/>
          <w:lang w:eastAsia="hr-HR"/>
        </w:rPr>
        <w:t>Zhejiang</w:t>
      </w:r>
      <w:proofErr w:type="spellEnd"/>
      <w:r w:rsidRPr="007B2CCE">
        <w:rPr>
          <w:rFonts w:cs="Times New Roman" w:eastAsia="Times New Roman"/>
          <w:szCs w:val="20"/>
          <w:lang w:eastAsia="hr-HR"/>
        </w:rPr>
        <w:t xml:space="preserve">, OIB: 57174179577 i YUXUAN ZHOU, Kina, </w:t>
      </w:r>
      <w:proofErr w:type="spellStart"/>
      <w:r w:rsidRPr="007B2CCE">
        <w:rPr>
          <w:rFonts w:cs="Times New Roman" w:eastAsia="Times New Roman"/>
          <w:szCs w:val="20"/>
          <w:lang w:eastAsia="hr-HR"/>
        </w:rPr>
        <w:t>Zhejiang</w:t>
      </w:r>
      <w:proofErr w:type="spellEnd"/>
      <w:r w:rsidRPr="007B2CCE">
        <w:rPr>
          <w:rFonts w:cs="Times New Roman" w:eastAsia="Times New Roman"/>
          <w:szCs w:val="20"/>
          <w:lang w:eastAsia="hr-HR"/>
        </w:rPr>
        <w:t xml:space="preserve">, 502 </w:t>
      </w:r>
      <w:proofErr w:type="spellStart"/>
      <w:r w:rsidRPr="007B2CCE">
        <w:rPr>
          <w:rFonts w:cs="Times New Roman" w:eastAsia="Times New Roman"/>
          <w:szCs w:val="20"/>
          <w:lang w:eastAsia="hr-HR"/>
        </w:rPr>
        <w:t>Yinyuan</w:t>
      </w:r>
      <w:proofErr w:type="spellEnd"/>
      <w:r w:rsidRPr="007B2CCE">
        <w:rPr>
          <w:rFonts w:cs="Times New Roman" w:eastAsia="Times New Roman"/>
          <w:szCs w:val="20"/>
          <w:lang w:eastAsia="hr-HR"/>
        </w:rPr>
        <w:t xml:space="preserve"> Park, OIB: 40262032902, da u roku od 15 dana od objave ovog oglasa na mrežnoj stranici e-Oglasna ploča Trgovačkog suda u Bjelovaru podnese sudu javnobilježnički ovjerovljen popis imovine i obveza na propisanom obrascu.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 xml:space="preserve">U Bjelovaru 1. lipnja 2016. 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B2CCE">
        <w:rPr>
          <w:rFonts w:cs="Times New Roman" w:eastAsia="Times New Roman"/>
          <w:szCs w:val="20"/>
          <w:lang w:eastAsia="hr-HR"/>
        </w:rPr>
        <w:t>Rj</w:t>
      </w:r>
      <w:proofErr w:type="spellEnd"/>
      <w:r w:rsidRPr="007B2CCE">
        <w:rPr>
          <w:rFonts w:cs="Times New Roman" w:eastAsia="Times New Roman"/>
          <w:szCs w:val="20"/>
          <w:lang w:eastAsia="hr-HR"/>
        </w:rPr>
        <w:t>.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>II. Kal. 45 dana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B2CCE">
        <w:rPr>
          <w:rFonts w:cs="Times New Roman" w:eastAsia="Times New Roman"/>
          <w:szCs w:val="20"/>
          <w:lang w:eastAsia="hr-HR"/>
        </w:rPr>
        <w:t>Bjelovar, 1.6.2016.</w:t>
      </w:r>
    </w:p>
    <w:p w:rsidRDefault="007B2CCE" w:rsidP="007B2CCE" w:rsidR="007B2CCE" w:rsidRPr="007B2CC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CCE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69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St-658/2016-2</izvorni_sadrzaj>
    <derivirana_varijabla naziv="DomainObject.Oznaka_1">St-658/2016-2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St-658/2016</izvorni_sadrzaj>
    <derivirana_varijabla naziv="DomainObject.Predmet.OznakaBroj_1">St-658/2016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RONG d.o.o.</izvorni_sadrzaj>
    <derivirana_varijabla naziv="DomainObject.Predmet.ProtustrankaFormated_1">  RONG d.o.o.</derivirana_varijabla>
  </DomainObject.Predmet.ProtustrankaFormated>
  <DomainObject.Predmet.ProtustrankaFormatedOIB>
    <izvorni_sadrzaj>  RONG d.o.o., OIB 14002336432</izvorni_sadrzaj>
    <derivirana_varijabla naziv="DomainObject.Predmet.ProtustrankaFormatedOIB_1">  RONG d.o.o., OIB 14002336432</derivirana_varijabla>
  </DomainObject.Predmet.ProtustrankaFormatedOIB>
  <DomainObject.Predmet.ProtustrankaFormatedWithAdress>
    <izvorni_sadrzaj> RONG d.o.o., Posavje 34, 10000 Zagreb</izvorni_sadrzaj>
    <derivirana_varijabla naziv="DomainObject.Predmet.ProtustrankaFormatedWithAdress_1"> RONG d.o.o., Posavje 34, 10000 Zagreb</derivirana_varijabla>
  </DomainObject.Predmet.ProtustrankaFormatedWithAdress>
  <DomainObject.Predmet.ProtustrankaFormatedWithAdressOIB>
    <izvorni_sadrzaj> RONG d.o.o., OIB 14002336432, Posavje 34, 10000 Zagreb</izvorni_sadrzaj>
    <derivirana_varijabla naziv="DomainObject.Predmet.ProtustrankaFormatedWithAdressOIB_1"> RONG d.o.o., OIB 14002336432, Posavje 34, 10000 Zagreb</derivirana_varijabla>
  </DomainObject.Predmet.ProtustrankaFormatedWithAdressOIB>
  <DomainObject.Predmet.ProtustrankaWithAdress>
    <izvorni_sadrzaj>RONG d.o.o. Posavje 34, 10000 Zagreb</izvorni_sadrzaj>
    <derivirana_varijabla naziv="DomainObject.Predmet.ProtustrankaWithAdress_1">RONG d.o.o. Posavje 34, 10000 Zagreb</derivirana_varijabla>
  </DomainObject.Predmet.ProtustrankaWithAdress>
  <DomainObject.Predmet.ProtustrankaWithAdressOIB>
    <izvorni_sadrzaj>RONG d.o.o., OIB 14002336432, Posavje 34, 10000 Zagreb</izvorni_sadrzaj>
    <derivirana_varijabla naziv="DomainObject.Predmet.ProtustrankaWithAdressOIB_1">RONG d.o.o., OIB 14002336432, Posavje 34, 10000 Zagreb</derivirana_varijabla>
  </DomainObject.Predmet.ProtustrankaWithAdressOIB>
  <DomainObject.Predmet.ProtustrankaNazivFormated>
    <izvorni_sadrzaj>RONG d.o.o.</izvorni_sadrzaj>
    <derivirana_varijabla naziv="DomainObject.Predmet.ProtustrankaNazivFormated_1">RONG d.o.o.</derivirana_varijabla>
  </DomainObject.Predmet.ProtustrankaNazivFormated>
  <DomainObject.Predmet.ProtustrankaNazivFormatedOIB>
    <izvorni_sadrzaj>RONG d.o.o., OIB 14002336432</izvorni_sadrzaj>
    <derivirana_varijabla naziv="DomainObject.Predmet.ProtustrankaNazivFormatedOIB_1">RONG d.o.o., OIB 14002336432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RONG d.o.o.</item>
    </izvorni_sadrzaj>
    <derivirana_varijabla naziv="DomainObject.Predmet.ProtuStrankaListFormated_1">
      <item>RONG d.o.o.</item>
    </derivirana_varijabla>
  </DomainObject.Predmet.ProtuStrankaListFormated>
  <DomainObject.Predmet.ProtuStrankaListFormatedOIB>
    <izvorni_sadrzaj>
      <item>RONG d.o.o., OIB 14002336432</item>
    </izvorni_sadrzaj>
    <derivirana_varijabla naziv="DomainObject.Predmet.ProtuStrankaListFormatedOIB_1">
      <item>RONG d.o.o., OIB 14002336432</item>
    </derivirana_varijabla>
  </DomainObject.Predmet.ProtuStrankaListFormatedOIB>
  <DomainObject.Predmet.ProtuStrankaListFormatedWithAdress>
    <izvorni_sadrzaj>
      <item>RONG d.o.o., Posavje 34, 10000 Zagreb</item>
    </izvorni_sadrzaj>
    <derivirana_varijabla naziv="DomainObject.Predmet.ProtuStrankaListFormatedWithAdress_1">
      <item>RONG d.o.o., Posavje 34, 10000 Zagreb</item>
    </derivirana_varijabla>
  </DomainObject.Predmet.ProtuStrankaListFormatedWithAdress>
  <DomainObject.Predmet.ProtuStrankaListFormatedWithAdressOIB>
    <izvorni_sadrzaj>
      <item>RONG d.o.o., OIB 14002336432, Posavje 34, 10000 Zagreb</item>
    </izvorni_sadrzaj>
    <derivirana_varijabla naziv="DomainObject.Predmet.ProtuStrankaListFormatedWithAdressOIB_1">
      <item>RONG d.o.o., OIB 14002336432, Posavje 34, 10000 Zagreb</item>
    </derivirana_varijabla>
  </DomainObject.Predmet.ProtuStrankaListFormatedWithAdressOIB>
  <DomainObject.Predmet.ProtuStrankaListNazivFormated>
    <izvorni_sadrzaj>
      <item>RONG d.o.o.</item>
    </izvorni_sadrzaj>
    <derivirana_varijabla naziv="DomainObject.Predmet.ProtuStrankaListNazivFormated_1">
      <item>RONG d.o.o.</item>
    </derivirana_varijabla>
  </DomainObject.Predmet.ProtuStrankaListNazivFormated>
  <DomainObject.Predmet.ProtuStrankaListNazivFormatedOIB>
    <izvorni_sadrzaj>
      <item>RONG d.o.o., OIB 14002336432</item>
    </izvorni_sadrzaj>
    <derivirana_varijabla naziv="DomainObject.Predmet.ProtuStrankaListNazivFormatedOIB_1">
      <item>RONG d.o.o., OIB 14002336432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St-658/2016-2</izvorni_sadrzaj>
    <derivirana_varijabla naziv="DomainObject.PoslovniBrojDokumenta_1">St-658/2016-2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RONG d.o.o.</izvorni_sadrzaj>
    <derivirana_varijabla naziv="DomainObject.Predmet.ProtustrankaIDrugi_1">RONG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RONG d.o.o., OIB 14002336432, Posavje 34, 10000 Zagreb</izvorni_sadrzaj>
    <derivirana_varijabla naziv="DomainObject.Predmet.ProtustrankaIDrugiAdressOIB_1">RONG d.o.o., OIB 14002336432, Posavje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RONG d.o.o.</item>
      <item>FINA Regionalni centar Zagreb</item>
    </izvorni_sadrzaj>
    <derivirana_varijabla naziv="DomainObject.Predmet.SudioniciListNaziv_1">
      <item>RONG d.o.o.</item>
      <item>FINA Regionalni centar Zagreb</item>
    </derivirana_varijabla>
  </DomainObject.Predmet.SudioniciListNaziv>
  <DomainObject.Predmet.SudioniciListAdressOIB>
    <izvorni_sadrzaj>
      <item>RONG d.o.o., OIB 14002336432, Posavje 34,10000 Zagreb</item>
      <item>FINA Regionalni centar Zagreb, OIB 85821130368, Trg svibanjskih žrtava 1995. 1,10000 Zagreb</item>
    </izvorni_sadrzaj>
    <derivirana_varijabla naziv="DomainObject.Predmet.SudioniciListAdressOIB_1">
      <item>RONG d.o.o., OIB 14002336432, Posavje 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F545C-25A7-48D9-A983-4ED6D1C77A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1821</properties:Characters>
  <properties:Lines>52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2016-06-01T06:43:00Z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