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661a8" w14:paraId="2d661a8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r w:rsidRPr="00017765">
        <w:rPr>
          <w:b/>
          <w:sz w:val="22"/>
          <w:szCs w:val="22"/>
        </w:rPr>
        <w:t>Posl. br. 6-St.</w:t>
      </w:r>
      <w:r w:rsidR="00B67960">
        <w:rPr>
          <w:b/>
          <w:sz w:val="22"/>
          <w:szCs w:val="22"/>
        </w:rPr>
        <w:t>444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 xml:space="preserve">- </w:t>
      </w:r>
      <w:r w:rsidR="0074625A">
        <w:rPr>
          <w:b/>
          <w:sz w:val="22"/>
          <w:szCs w:val="22"/>
        </w:rPr>
        <w:t>4</w:t>
      </w:r>
      <w:r w:rsidR="00A53344">
        <w:rPr>
          <w:b/>
          <w:sz w:val="22"/>
          <w:szCs w:val="22"/>
        </w:rPr>
        <w:t>71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857531" w:rsidP="00857531" w:rsidR="00857531" w:rsidRPr="00857531">
      <w:pPr>
        <w:jc w:val="center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>R E P U B L I K A   H R V A T S K A</w:t>
      </w:r>
    </w:p>
    <w:p w:rsidRDefault="00857531" w:rsidP="00857531" w:rsidR="00857531" w:rsidRPr="00857531">
      <w:pPr>
        <w:jc w:val="center"/>
        <w:rPr>
          <w:b/>
          <w:sz w:val="22"/>
          <w:szCs w:val="22"/>
        </w:rPr>
      </w:pPr>
    </w:p>
    <w:p w:rsidRDefault="00857531" w:rsidP="00857531" w:rsidR="00857531" w:rsidRPr="00857531">
      <w:pPr>
        <w:jc w:val="center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>R J E Š E N J E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B67960" w:rsidRPr="00B67960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>dana</w:t>
      </w:r>
      <w:r w:rsidR="00D70ECF">
        <w:rPr>
          <w:sz w:val="22"/>
          <w:szCs w:val="22"/>
        </w:rPr>
        <w:t xml:space="preserve"> </w:t>
      </w:r>
      <w:r w:rsidR="00A53344">
        <w:rPr>
          <w:sz w:val="22"/>
          <w:szCs w:val="22"/>
        </w:rPr>
        <w:t>23</w:t>
      </w:r>
      <w:r w:rsidR="0074625A">
        <w:rPr>
          <w:sz w:val="22"/>
          <w:szCs w:val="22"/>
        </w:rPr>
        <w:t xml:space="preserve">. </w:t>
      </w:r>
      <w:r w:rsidR="00D70ECF">
        <w:rPr>
          <w:sz w:val="22"/>
          <w:szCs w:val="22"/>
        </w:rPr>
        <w:t>studenog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74625A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857531" w:rsidP="00F231D5" w:rsidR="00F231D5" w:rsidRPr="00D9256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i j e š i o    j </w:t>
      </w:r>
      <w:r w:rsidR="00F231D5" w:rsidRPr="00D9256D">
        <w:rPr>
          <w:b/>
          <w:sz w:val="22"/>
          <w:szCs w:val="22"/>
        </w:rPr>
        <w:t>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60463" w:rsidP="000A45CF" w:rsidR="00A53344">
      <w:pPr>
        <w:numPr>
          <w:ilvl w:val="0"/>
          <w:numId w:val="12"/>
        </w:numPr>
        <w:ind w:firstLine="0"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Vraća se </w:t>
      </w:r>
      <w:r w:rsidR="00A53344">
        <w:rPr>
          <w:sz w:val="22"/>
          <w:szCs w:val="22"/>
        </w:rPr>
        <w:t>EOX MATRIX d.o.o.</w:t>
      </w:r>
      <w:r w:rsidR="000A45CF">
        <w:rPr>
          <w:sz w:val="22"/>
          <w:szCs w:val="22"/>
        </w:rPr>
        <w:t xml:space="preserve"> iz Zagreba </w:t>
      </w:r>
      <w:r w:rsidRPr="00F60463">
        <w:rPr>
          <w:sz w:val="22"/>
          <w:szCs w:val="22"/>
        </w:rPr>
        <w:t xml:space="preserve">pismeno nazvano "podnesak stečajnog razlučnog vjerovnika" predan na poštu preporučeno 19. studenog 2018. godine, </w:t>
      </w:r>
      <w:r>
        <w:rPr>
          <w:sz w:val="22"/>
          <w:szCs w:val="22"/>
        </w:rPr>
        <w:t xml:space="preserve">te se poziva </w:t>
      </w:r>
      <w:r w:rsidR="000A45CF" w:rsidRPr="000A45CF">
        <w:rPr>
          <w:sz w:val="22"/>
          <w:szCs w:val="22"/>
        </w:rPr>
        <w:t>u roku od osam dana</w:t>
      </w:r>
      <w:r w:rsidR="00284E4E">
        <w:rPr>
          <w:sz w:val="22"/>
          <w:szCs w:val="22"/>
        </w:rPr>
        <w:t xml:space="preserve">, sukladno čl. 106. </w:t>
      </w:r>
      <w:r w:rsidR="00284E4E" w:rsidRPr="000A45CF">
        <w:rPr>
          <w:sz w:val="22"/>
          <w:szCs w:val="22"/>
        </w:rPr>
        <w:t>Zakona o parničnom postupku (NN 53/91, 91/92, 112/99, 88/01, 117/03, 84/08, 123/08, 57/11, 148/11, 25/13</w:t>
      </w:r>
      <w:r w:rsidR="0087161D">
        <w:rPr>
          <w:sz w:val="22"/>
          <w:szCs w:val="22"/>
        </w:rPr>
        <w:t>, dalje u tekstu ZPP</w:t>
      </w:r>
      <w:r w:rsidR="00284E4E" w:rsidRPr="000A45CF">
        <w:rPr>
          <w:sz w:val="22"/>
          <w:szCs w:val="22"/>
        </w:rPr>
        <w:t>)</w:t>
      </w:r>
      <w:r w:rsidR="007C140D">
        <w:rPr>
          <w:sz w:val="22"/>
          <w:szCs w:val="22"/>
        </w:rPr>
        <w:t xml:space="preserve"> </w:t>
      </w:r>
      <w:r w:rsidR="007C140D" w:rsidRPr="000A45CF">
        <w:rPr>
          <w:sz w:val="22"/>
          <w:szCs w:val="22"/>
        </w:rPr>
        <w:t>koji se temeljem čl. 10. Stečajnog zakona (NN 71/15</w:t>
      </w:r>
      <w:r w:rsidR="007C140D">
        <w:rPr>
          <w:sz w:val="22"/>
          <w:szCs w:val="22"/>
        </w:rPr>
        <w:t>, 104/17</w:t>
      </w:r>
      <w:r w:rsidR="0087161D">
        <w:rPr>
          <w:sz w:val="22"/>
          <w:szCs w:val="22"/>
        </w:rPr>
        <w:t>, dalje u tekstu SZ</w:t>
      </w:r>
      <w:r w:rsidR="007C140D" w:rsidRPr="000A45CF">
        <w:rPr>
          <w:sz w:val="22"/>
          <w:szCs w:val="22"/>
        </w:rPr>
        <w:t>) u ovom postupku na odgovarajući način primjenjuje</w:t>
      </w:r>
      <w:r w:rsidR="00284E4E" w:rsidRPr="000A45CF">
        <w:rPr>
          <w:sz w:val="22"/>
          <w:szCs w:val="22"/>
        </w:rPr>
        <w:t xml:space="preserve">, </w:t>
      </w:r>
      <w:r w:rsidR="00A53344">
        <w:rPr>
          <w:sz w:val="22"/>
          <w:szCs w:val="22"/>
        </w:rPr>
        <w:t xml:space="preserve">određeno se izjasniti što </w:t>
      </w:r>
      <w:r>
        <w:rPr>
          <w:sz w:val="22"/>
          <w:szCs w:val="22"/>
        </w:rPr>
        <w:t xml:space="preserve">označeni </w:t>
      </w:r>
      <w:r w:rsidR="0087161D">
        <w:rPr>
          <w:sz w:val="22"/>
          <w:szCs w:val="22"/>
        </w:rPr>
        <w:t xml:space="preserve">podnesak </w:t>
      </w:r>
      <w:r w:rsidR="00A53344">
        <w:rPr>
          <w:sz w:val="22"/>
          <w:szCs w:val="22"/>
        </w:rPr>
        <w:t>predstavlja, te postaviti određen zahtjev</w:t>
      </w:r>
      <w:r w:rsidR="00284E4E">
        <w:rPr>
          <w:sz w:val="22"/>
          <w:szCs w:val="22"/>
        </w:rPr>
        <w:t xml:space="preserve"> po kojem se može postupiti</w:t>
      </w:r>
      <w:r w:rsidR="007C140D">
        <w:rPr>
          <w:sz w:val="22"/>
          <w:szCs w:val="22"/>
        </w:rPr>
        <w:t xml:space="preserve">, </w:t>
      </w:r>
      <w:r w:rsidR="00246A9F">
        <w:rPr>
          <w:sz w:val="22"/>
          <w:szCs w:val="22"/>
        </w:rPr>
        <w:t>budući da Stečajni zakon ili pr</w:t>
      </w:r>
      <w:r w:rsidR="002D2B43">
        <w:rPr>
          <w:sz w:val="22"/>
          <w:szCs w:val="22"/>
        </w:rPr>
        <w:t>a</w:t>
      </w:r>
      <w:r w:rsidR="00246A9F">
        <w:rPr>
          <w:sz w:val="22"/>
          <w:szCs w:val="22"/>
        </w:rPr>
        <w:t>vila ovrhe na nekretninama koja se u ovom postu</w:t>
      </w:r>
      <w:r w:rsidR="002D2B43">
        <w:rPr>
          <w:sz w:val="22"/>
          <w:szCs w:val="22"/>
        </w:rPr>
        <w:t>p</w:t>
      </w:r>
      <w:r w:rsidR="00246A9F">
        <w:rPr>
          <w:sz w:val="22"/>
          <w:szCs w:val="22"/>
        </w:rPr>
        <w:t>ku na odgovarajući način</w:t>
      </w:r>
      <w:r w:rsidR="002D2B43">
        <w:rPr>
          <w:sz w:val="22"/>
          <w:szCs w:val="22"/>
        </w:rPr>
        <w:t xml:space="preserve"> </w:t>
      </w:r>
      <w:r w:rsidR="00246A9F">
        <w:rPr>
          <w:sz w:val="22"/>
          <w:szCs w:val="22"/>
        </w:rPr>
        <w:t xml:space="preserve">primjenjuje </w:t>
      </w:r>
      <w:r w:rsidR="002D2B43">
        <w:rPr>
          <w:sz w:val="22"/>
          <w:szCs w:val="22"/>
        </w:rPr>
        <w:t>ne poznaju "apel na uputu sudu …. na poništenje IV javne dražbe".</w:t>
      </w:r>
    </w:p>
    <w:p w:rsidRDefault="002D2B43" w:rsidP="002D2B43" w:rsidR="002D2B43">
      <w:pPr>
        <w:contextualSpacing/>
        <w:jc w:val="both"/>
        <w:rPr>
          <w:sz w:val="22"/>
          <w:szCs w:val="22"/>
        </w:rPr>
      </w:pPr>
    </w:p>
    <w:p w:rsidRDefault="002D2B43" w:rsidP="000A45CF" w:rsidR="000A45CF" w:rsidRPr="000A45CF">
      <w:pPr>
        <w:jc w:val="both"/>
        <w:rPr>
          <w:sz w:val="22"/>
          <w:szCs w:val="22"/>
        </w:rPr>
      </w:pPr>
      <w:r>
        <w:rPr>
          <w:sz w:val="22"/>
          <w:szCs w:val="22"/>
        </w:rPr>
        <w:t>II.</w:t>
      </w:r>
      <w:r>
        <w:rPr>
          <w:sz w:val="22"/>
          <w:szCs w:val="22"/>
        </w:rPr>
        <w:tab/>
      </w:r>
      <w:r w:rsidR="000A45CF" w:rsidRPr="000A45CF">
        <w:rPr>
          <w:sz w:val="22"/>
          <w:szCs w:val="22"/>
        </w:rPr>
        <w:t xml:space="preserve">Ako u ostavljenom roku punomoćnik tuženika ne postupi po nalogu suda na odgovarajući način će se primijeniti čl. </w:t>
      </w:r>
      <w:r w:rsidR="0087161D">
        <w:rPr>
          <w:sz w:val="22"/>
          <w:szCs w:val="22"/>
        </w:rPr>
        <w:t xml:space="preserve">109. ZPP u svezi s </w:t>
      </w:r>
      <w:r w:rsidR="000A45CF" w:rsidRPr="000A45CF">
        <w:rPr>
          <w:sz w:val="22"/>
          <w:szCs w:val="22"/>
        </w:rPr>
        <w:t>čl. 10. S</w:t>
      </w:r>
      <w:r w:rsidR="0087161D">
        <w:rPr>
          <w:sz w:val="22"/>
          <w:szCs w:val="22"/>
        </w:rPr>
        <w:t>Z</w:t>
      </w:r>
      <w:r w:rsidR="000A45CF" w:rsidRPr="000A45CF">
        <w:rPr>
          <w:sz w:val="22"/>
          <w:szCs w:val="22"/>
        </w:rPr>
        <w:t>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87161D">
        <w:rPr>
          <w:sz w:val="22"/>
          <w:szCs w:val="22"/>
        </w:rPr>
        <w:t>23</w:t>
      </w:r>
      <w:r w:rsidR="0074625A">
        <w:rPr>
          <w:sz w:val="22"/>
          <w:szCs w:val="22"/>
        </w:rPr>
        <w:t xml:space="preserve">. </w:t>
      </w:r>
      <w:r w:rsidR="00D70ECF">
        <w:rPr>
          <w:sz w:val="22"/>
          <w:szCs w:val="22"/>
        </w:rPr>
        <w:t>studenog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4625A" w:rsidR="0074625A">
      <w:pPr>
        <w:jc w:val="both"/>
        <w:rPr>
          <w:b/>
          <w:sz w:val="22"/>
          <w:szCs w:val="22"/>
        </w:rPr>
      </w:pP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>POUKA O PRAVNOM LIJEKU</w:t>
      </w:r>
    </w:p>
    <w:p w:rsidRDefault="00857531" w:rsidP="00857531" w:rsidR="00857531" w:rsidRPr="00857531">
      <w:pPr>
        <w:jc w:val="both"/>
        <w:rPr>
          <w:sz w:val="22"/>
          <w:szCs w:val="22"/>
        </w:rPr>
      </w:pPr>
      <w:r w:rsidRPr="0085753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 xml:space="preserve">DN-a </w:t>
      </w:r>
      <w:r w:rsidRPr="00857531">
        <w:rPr>
          <w:sz w:val="22"/>
          <w:szCs w:val="22"/>
        </w:rPr>
        <w:t>(</w:t>
      </w:r>
      <w:r w:rsidR="00D77582">
        <w:rPr>
          <w:sz w:val="22"/>
          <w:szCs w:val="22"/>
        </w:rPr>
        <w:t>23</w:t>
      </w:r>
      <w:r w:rsidRPr="00857531">
        <w:rPr>
          <w:sz w:val="22"/>
          <w:szCs w:val="22"/>
        </w:rPr>
        <w:t>.</w:t>
      </w:r>
      <w:r w:rsidR="00D77582">
        <w:rPr>
          <w:sz w:val="22"/>
          <w:szCs w:val="22"/>
        </w:rPr>
        <w:t>11</w:t>
      </w:r>
      <w:r w:rsidRPr="00857531">
        <w:rPr>
          <w:sz w:val="22"/>
          <w:szCs w:val="22"/>
        </w:rPr>
        <w:t>.201</w:t>
      </w:r>
      <w:r w:rsidR="00D77582">
        <w:rPr>
          <w:sz w:val="22"/>
          <w:szCs w:val="22"/>
        </w:rPr>
        <w:t>8</w:t>
      </w:r>
      <w:r w:rsidRPr="00857531">
        <w:rPr>
          <w:sz w:val="22"/>
          <w:szCs w:val="22"/>
        </w:rPr>
        <w:t>.g.)</w:t>
      </w:r>
      <w:r w:rsidRPr="00857531">
        <w:rPr>
          <w:b/>
          <w:sz w:val="22"/>
          <w:szCs w:val="22"/>
        </w:rPr>
        <w:t>:</w:t>
      </w:r>
    </w:p>
    <w:p w:rsidRDefault="00857531" w:rsidP="00857531" w:rsidR="00857531" w:rsidRPr="00857531">
      <w:pPr>
        <w:jc w:val="both"/>
        <w:rPr>
          <w:sz w:val="22"/>
          <w:szCs w:val="22"/>
        </w:rPr>
      </w:pPr>
      <w:r w:rsidRPr="00857531">
        <w:rPr>
          <w:sz w:val="22"/>
          <w:szCs w:val="22"/>
        </w:rPr>
        <w:t xml:space="preserve">- </w:t>
      </w:r>
      <w:r w:rsidR="00994804">
        <w:rPr>
          <w:sz w:val="22"/>
          <w:szCs w:val="22"/>
        </w:rPr>
        <w:t>EOX MATRIX d.o.o., Horvatova 82, Zagreb,</w:t>
      </w:r>
    </w:p>
    <w:p w:rsidRDefault="00857531" w:rsidP="00857531" w:rsidR="00857531" w:rsidRPr="00857531">
      <w:pPr>
        <w:jc w:val="both"/>
        <w:rPr>
          <w:sz w:val="22"/>
          <w:szCs w:val="22"/>
        </w:rPr>
      </w:pPr>
      <w:r w:rsidRPr="00857531">
        <w:rPr>
          <w:sz w:val="22"/>
          <w:szCs w:val="22"/>
        </w:rPr>
        <w:t>- oglasna ploča.</w:t>
      </w:r>
    </w:p>
    <w:p w:rsidRDefault="00541BB7" w:rsidP="00857531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11"/>
  </w:num>
  <w:num w:numId="7">
    <w:abstractNumId w:val="3"/>
  </w:num>
  <w:num w:numId="8">
    <w:abstractNumId w:val="0"/>
  </w:num>
  <w:num w:numId="9">
    <w:abstractNumId w:val="10"/>
  </w:num>
  <w:num w:numId="10">
    <w:abstractNumId w:val="2"/>
  </w:num>
  <w:num w:numId="11">
    <w:abstractNumId w:val="5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7765"/>
    <w:rsid w:val="000A45CF"/>
    <w:rsid w:val="000D2A3C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46A9F"/>
    <w:rsid w:val="00284E4E"/>
    <w:rsid w:val="002C3EA5"/>
    <w:rsid w:val="002D2B43"/>
    <w:rsid w:val="002E588B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77430"/>
    <w:rsid w:val="00582005"/>
    <w:rsid w:val="005846A7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4625A"/>
    <w:rsid w:val="0077066C"/>
    <w:rsid w:val="00775B75"/>
    <w:rsid w:val="007A1B5E"/>
    <w:rsid w:val="007C140D"/>
    <w:rsid w:val="007C2608"/>
    <w:rsid w:val="007C29CF"/>
    <w:rsid w:val="008079BA"/>
    <w:rsid w:val="00857531"/>
    <w:rsid w:val="00862645"/>
    <w:rsid w:val="0087161D"/>
    <w:rsid w:val="008941FA"/>
    <w:rsid w:val="008B655D"/>
    <w:rsid w:val="008C03F0"/>
    <w:rsid w:val="008C2238"/>
    <w:rsid w:val="008F26DE"/>
    <w:rsid w:val="0090738E"/>
    <w:rsid w:val="00922B0E"/>
    <w:rsid w:val="009748EC"/>
    <w:rsid w:val="009858AC"/>
    <w:rsid w:val="0099414D"/>
    <w:rsid w:val="00994804"/>
    <w:rsid w:val="009D330D"/>
    <w:rsid w:val="00A159C0"/>
    <w:rsid w:val="00A16CEE"/>
    <w:rsid w:val="00A53344"/>
    <w:rsid w:val="00A669E6"/>
    <w:rsid w:val="00AA5281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0ECF"/>
    <w:rsid w:val="00D726DE"/>
    <w:rsid w:val="00D77582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60463"/>
    <w:rsid w:val="00F71E72"/>
    <w:rsid w:val="00F74793"/>
    <w:rsid w:val="00FA1CD5"/>
    <w:rsid w:val="00FB4456"/>
    <w:rsid w:val="00FC360A"/>
    <w:rsid w:val="00FE70B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A3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A3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A3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A3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A3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A3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A3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A3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prvi i zadnji u referadi
ostali tomovi ispod stola</izvorni_sadrzaj>
    <derivirana_varijabla naziv="DomainObject.Predmet.PrimjedbaSuca_1">prvi i zadnji u referadi
ostali tomovi ispod stola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St-444/2013-465</izvorni_sadrzaj>
    <derivirana_varijabla naziv="DomainObject.PredzadnjaOdlukaIzPredmeta.Oznaka_1">St-444/2013-465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345</properties:Words>
  <properties:Characters>1741</properties:Characters>
  <properties:Lines>52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2018-11-23T14:16:00Z</dcterms:created>
  <dc:creator>Ante Kačić</dc:creator>
  <cp:lastModifiedBy>Srđan Gavranić</cp:lastModifiedBy>
  <cp:lastPrinted>2018-11-23T14:15:00Z</cp:lastPrinted>
  <dcterms:modified xmlns:xsi="http://www.w3.org/2001/XMLSchema-instance" xsi:type="dcterms:W3CDTF">2018-11-23T14:16:00Z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vraćanje podneska po 106 u vezi 109 - EOX MATRIX.docx)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