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00f83" w14:paraId="5e00f83" w:rsidRDefault="00FA11AF" w:rsidP="00FA11AF"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FA11AF" w:rsidP="00FA11AF" w:rsidR="00FA11AF" w:rsidRPr="00FA11AF">
      <w:pPr>
        <w:spacing w:after="0"/>
        <w:jc w:val="right"/>
        <w:rPr>
          <w:rFonts w:cs="Times New Roman" w:eastAsia="Times New Roman"/>
          <w:lang w:eastAsia="hr-HR"/>
        </w:rPr>
      </w:pPr>
      <w:r w:rsidRPr="00FA11AF">
        <w:rPr>
          <w:rFonts w:cs="Times New Roman" w:eastAsia="Times New Roman"/>
          <w:lang w:eastAsia="hr-HR"/>
        </w:rPr>
        <w:t>2 St-329/12-</w:t>
      </w:r>
      <w:r>
        <w:rPr>
          <w:rFonts w:cs="Times New Roman" w:eastAsia="Times New Roman"/>
          <w:lang w:eastAsia="hr-HR"/>
        </w:rPr>
        <w:t>112</w:t>
      </w:r>
    </w:p>
    <w:p w:rsidRDefault="00FA11AF" w:rsidP="00FA11AF" w:rsidR="00FA11AF" w:rsidRPr="00FA11AF">
      <w:pPr>
        <w:spacing w:after="0"/>
        <w:rPr>
          <w:rFonts w:cs="Times New Roman" w:eastAsia="Times New Roman"/>
          <w:lang w:eastAsia="hr-HR"/>
        </w:rPr>
      </w:pPr>
      <w:r w:rsidRPr="00FA11AF">
        <w:rPr>
          <w:rFonts w:cs="Times New Roman" w:eastAsia="Times New Roman"/>
          <w:lang w:eastAsia="hr-HR"/>
        </w:rPr>
        <w:t>REPUBLIKA HRVATSKA</w:t>
      </w:r>
    </w:p>
    <w:p w:rsidRDefault="00FA11AF" w:rsidP="00FA11AF" w:rsidR="00FA11AF" w:rsidRPr="00FA11AF">
      <w:pPr>
        <w:spacing w:after="0"/>
        <w:rPr>
          <w:rFonts w:cs="Times New Roman" w:eastAsia="Times New Roman"/>
          <w:lang w:eastAsia="hr-HR"/>
        </w:rPr>
      </w:pPr>
    </w:p>
    <w:p w:rsidRDefault="00FA11AF" w:rsidP="00FA11AF" w:rsidR="00FA11AF" w:rsidRPr="00FA11AF">
      <w:pPr>
        <w:spacing w:after="0"/>
        <w:rPr>
          <w:rFonts w:cs="Times New Roman" w:eastAsia="Times New Roman"/>
          <w:lang w:eastAsia="hr-HR"/>
        </w:rPr>
      </w:pPr>
      <w:r w:rsidRPr="00FA11AF">
        <w:rPr>
          <w:rFonts w:cs="Times New Roman" w:eastAsia="Times New Roman"/>
          <w:lang w:eastAsia="hr-HR"/>
        </w:rPr>
        <w:t>TRGOVAČKI SUD U ZAGREBU</w:t>
      </w:r>
    </w:p>
    <w:p w:rsidRDefault="00FA11AF" w:rsidP="00FA11AF" w:rsidR="00FA11AF" w:rsidRPr="00FA11AF">
      <w:pPr>
        <w:spacing w:after="0"/>
        <w:rPr>
          <w:rFonts w:cs="Times New Roman" w:eastAsia="Times New Roman"/>
          <w:lang w:eastAsia="hr-HR"/>
        </w:rPr>
      </w:pPr>
      <w:r w:rsidRPr="00FA11AF">
        <w:rPr>
          <w:rFonts w:cs="Times New Roman" w:eastAsia="Times New Roman"/>
          <w:lang w:eastAsia="hr-HR"/>
        </w:rPr>
        <w:t xml:space="preserve">STALNA SLUŽBA </w:t>
      </w:r>
    </w:p>
    <w:p w:rsidRDefault="00FA11AF" w:rsidP="00FA11AF" w:rsidR="00FA11AF" w:rsidRPr="00FA11AF">
      <w:pPr>
        <w:spacing w:after="0"/>
        <w:rPr>
          <w:rFonts w:cs="Times New Roman" w:eastAsia="Times New Roman"/>
          <w:lang w:eastAsia="hr-HR"/>
        </w:rPr>
      </w:pPr>
      <w:r w:rsidRPr="00FA11AF">
        <w:rPr>
          <w:rFonts w:cs="Times New Roman" w:eastAsia="Times New Roman"/>
          <w:lang w:eastAsia="hr-HR"/>
        </w:rPr>
        <w:t>Karlovac, Ljudevita Šestića 4</w:t>
      </w:r>
    </w:p>
    <w:p w:rsidRDefault="00FA11AF" w:rsidP="00FA11AF" w:rsidR="00FA11AF" w:rsidRPr="00FA11AF">
      <w:pPr>
        <w:spacing w:after="0"/>
        <w:jc w:val="center"/>
        <w:rPr>
          <w:rFonts w:cs="Times New Roman" w:eastAsia="Times New Roman"/>
          <w:lang w:eastAsia="hr-HR"/>
        </w:rPr>
      </w:pPr>
    </w:p>
    <w:p w:rsidRDefault="00FA11AF" w:rsidP="00FA11AF" w:rsidR="00FA11AF" w:rsidRPr="00FA11AF">
      <w:pPr>
        <w:spacing w:after="0"/>
        <w:jc w:val="center"/>
        <w:rPr>
          <w:rFonts w:cs="Times New Roman" w:eastAsia="Times New Roman"/>
          <w:lang w:eastAsia="hr-HR"/>
        </w:rPr>
      </w:pPr>
      <w:r w:rsidRPr="00FA11AF">
        <w:rPr>
          <w:rFonts w:cs="Times New Roman" w:eastAsia="Times New Roman"/>
          <w:lang w:eastAsia="hr-HR"/>
        </w:rPr>
        <w:t>R E P U B L I K A   H R V A T S K A</w:t>
      </w:r>
    </w:p>
    <w:p w:rsidRDefault="00FA11AF" w:rsidP="00FA11AF" w:rsidR="00FA11AF" w:rsidRPr="00FA11AF">
      <w:pPr>
        <w:spacing w:after="0"/>
        <w:jc w:val="center"/>
        <w:rPr>
          <w:rFonts w:cs="Times New Roman" w:eastAsia="Times New Roman"/>
          <w:lang w:eastAsia="hr-HR"/>
        </w:rPr>
      </w:pPr>
      <w:r w:rsidRPr="00FA11AF">
        <w:rPr>
          <w:rFonts w:cs="Times New Roman" w:eastAsia="Times New Roman"/>
          <w:lang w:eastAsia="hr-HR"/>
        </w:rPr>
        <w:t>Z A K L J U Č A K</w:t>
      </w:r>
    </w:p>
    <w:p w:rsidRDefault="00FA11AF" w:rsidP="00FA11AF" w:rsidR="00FA11AF" w:rsidRPr="00FA11AF">
      <w:pPr>
        <w:spacing w:after="0"/>
        <w:jc w:val="center"/>
        <w:rPr>
          <w:rFonts w:cs="Times New Roman" w:eastAsia="Times New Roman"/>
          <w:lang w:eastAsia="hr-HR"/>
        </w:rPr>
      </w:pPr>
    </w:p>
    <w:p w:rsidRDefault="00FA11AF" w:rsidP="00FA11AF" w:rsidR="00FA11AF" w:rsidRPr="00FA11AF">
      <w:pPr>
        <w:spacing w:after="0"/>
        <w:jc w:val="both"/>
        <w:rPr>
          <w:rFonts w:cs="Times New Roman" w:eastAsia="Times New Roman"/>
          <w:lang w:eastAsia="hr-HR"/>
        </w:rPr>
      </w:pPr>
      <w:r w:rsidRPr="00FA11AF">
        <w:rPr>
          <w:rFonts w:cs="Times New Roman" w:eastAsia="Times New Roman"/>
          <w:lang w:eastAsia="hr-HR"/>
        </w:rPr>
        <w:tab/>
        <w:t>TRGOVAČKI SUD U ZAGREBU, STALNA SLUŽBA, po sucu Suzani Ivanović kao stečajnom sucu, u stečajnom postupku otvorenim nad dužnikom MADIG d.o.o. u stečaju Ogulin, Prapućanska ulica 22, MBS: 020001945, OIB: 40909371570,  dana 26. siječnja 2016.  godine</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spacing w:after="0"/>
        <w:jc w:val="center"/>
        <w:rPr>
          <w:rFonts w:cs="Times New Roman" w:eastAsia="Times New Roman"/>
          <w:lang w:eastAsia="hr-HR"/>
        </w:rPr>
      </w:pPr>
      <w:r w:rsidRPr="00FA11AF">
        <w:rPr>
          <w:rFonts w:cs="Times New Roman" w:eastAsia="Times New Roman"/>
          <w:lang w:eastAsia="hr-HR"/>
        </w:rPr>
        <w:t>z a k l j u č i o    j e</w:t>
      </w:r>
    </w:p>
    <w:p w:rsidRDefault="00FA11AF" w:rsidP="00FA11AF" w:rsidR="00FA11AF" w:rsidRPr="00FA11AF">
      <w:pPr>
        <w:spacing w:after="0"/>
        <w:jc w:val="center"/>
        <w:rPr>
          <w:rFonts w:cs="Times New Roman" w:eastAsia="Times New Roman"/>
          <w:lang w:eastAsia="hr-HR"/>
        </w:rPr>
      </w:pP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20/2 – Pekarija- poslovna prostorija u površini od 38 čhv, upisana u z.k.ul. 1810 k.o. Brinje,</w:t>
      </w: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520  - kuća br. 68/122 i dvorište u površini od 84 čhv, upisana u z.k.ul. 2006 k.o. Brinje,</w:t>
      </w: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104 – zgrada br.28a, dom dvorište u površini od 511 čhv, upisane u  z.k.ul. 629 k.o. Prokike,</w:t>
      </w: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FA11AF">
          <w:rPr>
            <w:rFonts w:cs="Times New Roman" w:eastAsia="Times New Roman"/>
            <w:lang w:eastAsia="hr-HR"/>
          </w:rPr>
          <w:t>1 jutra</w:t>
        </w:r>
      </w:smartTag>
      <w:r w:rsidRPr="00FA11AF">
        <w:rPr>
          <w:rFonts w:cs="Times New Roman" w:eastAsia="Times New Roman"/>
          <w:lang w:eastAsia="hr-HR"/>
        </w:rPr>
        <w:t xml:space="preserve"> i 144 čhv, upisana u z.k.ul. 629 k.o. Prokike,</w:t>
      </w: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112/1- zgrada br.4-Dom i dvorište u površini od 380 čhv, upisana u z.k.ul. 680 k.o. Letinac,</w:t>
      </w: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13/1 – zgrada br.15-Dom i dvorište u površini do 1392 čhv, upisana u z.k.ul. 987 k.o. Vodoteč,</w:t>
      </w: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3214/2- dvorište u površini od 97 čhv, upisana uz.k.ul. 1205 k.o. Stajnica,</w:t>
      </w: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FA11AF">
          <w:rPr>
            <w:rFonts w:cs="Times New Roman" w:eastAsia="Times New Roman"/>
            <w:lang w:eastAsia="hr-HR"/>
          </w:rPr>
          <w:t>712 m2</w:t>
        </w:r>
      </w:smartTag>
      <w:r w:rsidRPr="00FA11AF">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FA11AF">
          <w:rPr>
            <w:rFonts w:cs="Times New Roman" w:eastAsia="Times New Roman"/>
            <w:lang w:eastAsia="hr-HR"/>
          </w:rPr>
          <w:t>648 m2</w:t>
        </w:r>
      </w:smartTag>
      <w:r w:rsidRPr="00FA11AF">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FA11AF">
          <w:rPr>
            <w:rFonts w:cs="Times New Roman" w:eastAsia="Times New Roman"/>
            <w:lang w:eastAsia="hr-HR"/>
          </w:rPr>
          <w:t>777 m2</w:t>
        </w:r>
      </w:smartTag>
      <w:r w:rsidRPr="00FA11AF">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FA11AF">
          <w:rPr>
            <w:rFonts w:cs="Times New Roman" w:eastAsia="Times New Roman"/>
            <w:lang w:eastAsia="hr-HR"/>
          </w:rPr>
          <w:t>1158 m2</w:t>
        </w:r>
      </w:smartTag>
      <w:r w:rsidRPr="00FA11AF">
        <w:rPr>
          <w:rFonts w:cs="Times New Roman" w:eastAsia="Times New Roman"/>
          <w:lang w:eastAsia="hr-HR"/>
        </w:rPr>
        <w:t>, sve upisane u z.k.ul. 2600, sve upisane u k.o. Otočac, kod Općinskog suda u Gospiću, Zemljišno-knjižni odjel u Otočcu,</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Na navedenim nekretninama  upisana su razlučna prava u korist razlučnih vjerovnika  Republike Hrvatske Ministarstva financija i Zorice Tretinjak.</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spacing w:after="0"/>
        <w:jc w:val="both"/>
        <w:rPr>
          <w:rFonts w:cs="Times New Roman" w:eastAsia="Times New Roman"/>
          <w:lang w:eastAsia="hr-HR"/>
        </w:rPr>
      </w:pPr>
      <w:r w:rsidRPr="00FA11AF">
        <w:rPr>
          <w:rFonts w:cs="Times New Roman" w:eastAsia="Times New Roman"/>
          <w:lang w:eastAsia="hr-HR"/>
        </w:rPr>
        <w:tab/>
        <w:t>II    UTVRĐENA VRIJEDNOST nekretnina iz točke I ovog zaključka za:</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pPr>
        <w:numPr>
          <w:ilvl w:val="0"/>
          <w:numId w:val="47"/>
        </w:numPr>
        <w:spacing w:after="0"/>
        <w:ind w:left="720"/>
        <w:jc w:val="both"/>
        <w:rPr>
          <w:rFonts w:cs="Times New Roman" w:eastAsia="Times New Roman"/>
          <w:lang w:eastAsia="hr-HR"/>
        </w:rPr>
      </w:pPr>
      <w:r w:rsidRPr="00FA11AF">
        <w:rPr>
          <w:rFonts w:cs="Times New Roman" w:eastAsia="Times New Roman"/>
          <w:lang w:eastAsia="hr-HR"/>
        </w:rPr>
        <w:lastRenderedPageBreak/>
        <w:t>kčbr. 20/2 – Pekarija- poslovna prostorija u površini od 38 čhv, upisana u z.k.ul. 1810 k.o. Brinje iznosi 385.226,33 kn,</w:t>
      </w:r>
    </w:p>
    <w:p w:rsidRDefault="00FA11AF" w:rsidP="00FA11AF" w:rsidR="00FA11AF" w:rsidRPr="00FA11AF">
      <w:pPr>
        <w:spacing w:after="0"/>
        <w:ind w:left="72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520  - kuća br. 68/122 i dvorište u površini od 84 čhv, upisana u z.k.ul. 2006 k.o. Brinje iznosi 751.521,06 kn,</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104 – zgrada br.28a, dom dvorište u površini od 511 čhv, upisane u  z.k.ul. 629 k.o. Prokike iznosi 1.046.052,46 kn,</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FA11AF">
          <w:rPr>
            <w:rFonts w:cs="Times New Roman" w:eastAsia="Times New Roman"/>
            <w:lang w:eastAsia="hr-HR"/>
          </w:rPr>
          <w:t>1 jutra</w:t>
        </w:r>
      </w:smartTag>
      <w:r w:rsidRPr="00FA11AF">
        <w:rPr>
          <w:rFonts w:cs="Times New Roman" w:eastAsia="Times New Roman"/>
          <w:lang w:eastAsia="hr-HR"/>
        </w:rPr>
        <w:t xml:space="preserve"> i 144 čhv, upisana u z.k.ul. 629 k.o. Prokike iznosi 145.783,36 kn,</w:t>
      </w:r>
    </w:p>
    <w:p w:rsidRDefault="00FA11AF" w:rsidP="00FA11AF" w:rsidR="00FA11AF" w:rsidRPr="00FA11AF">
      <w:pPr>
        <w:spacing w:after="0"/>
        <w:ind w:left="72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112/1- zgrada br.4-Dom i dvorište u površini od 380 čhv, upisana u z.k.ul. 680 k.o. Letinac iznosi 715.995,89 kn,</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13/1 – zgrada br.15-Dom i dvorište u površini do 1392 čhv, upisana u z.k.ul. 987 k.o. Vodoteč iznosi 784.989,27 kn,</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3214/2- dvorište u površini od 97 čhv, upisana uz.k.ul. 1205 k.o. Stajnica iznosi 19.631,25 kn,</w:t>
      </w:r>
    </w:p>
    <w:p w:rsidRDefault="00FA11AF" w:rsidP="00FA11AF" w:rsidR="00FA11AF" w:rsidRPr="00FA11AF">
      <w:pPr>
        <w:spacing w:after="0"/>
        <w:ind w:left="72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FA11AF">
          <w:rPr>
            <w:rFonts w:cs="Times New Roman" w:eastAsia="Times New Roman"/>
            <w:lang w:eastAsia="hr-HR"/>
          </w:rPr>
          <w:t>712 m2</w:t>
        </w:r>
      </w:smartTag>
      <w:r w:rsidRPr="00FA11AF">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FA11AF">
          <w:rPr>
            <w:rFonts w:cs="Times New Roman" w:eastAsia="Times New Roman"/>
            <w:lang w:eastAsia="hr-HR"/>
          </w:rPr>
          <w:t>648 m2</w:t>
        </w:r>
      </w:smartTag>
      <w:r w:rsidRPr="00FA11AF">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FA11AF">
          <w:rPr>
            <w:rFonts w:cs="Times New Roman" w:eastAsia="Times New Roman"/>
            <w:lang w:eastAsia="hr-HR"/>
          </w:rPr>
          <w:t>777 m2</w:t>
        </w:r>
      </w:smartTag>
      <w:r w:rsidRPr="00FA11AF">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FA11AF">
          <w:rPr>
            <w:rFonts w:cs="Times New Roman" w:eastAsia="Times New Roman"/>
            <w:lang w:eastAsia="hr-HR"/>
          </w:rPr>
          <w:t>668 m2</w:t>
        </w:r>
      </w:smartTag>
      <w:r w:rsidRPr="00FA11AF">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FA11AF">
          <w:rPr>
            <w:rFonts w:cs="Times New Roman" w:eastAsia="Times New Roman"/>
            <w:lang w:eastAsia="hr-HR"/>
          </w:rPr>
          <w:t>1158 m2</w:t>
        </w:r>
      </w:smartTag>
      <w:r w:rsidRPr="00FA11AF">
        <w:rPr>
          <w:rFonts w:cs="Times New Roman" w:eastAsia="Times New Roman"/>
          <w:lang w:eastAsia="hr-HR"/>
        </w:rPr>
        <w:t>, sve upisane z.k.ul. 2600, k.o. Otočac, kod Općinskog suda u Gospiću, Zemljišno-knjižni odjel u Otočcu, što ukupno iznosi 207.321,36 kn,</w:t>
      </w:r>
    </w:p>
    <w:p w:rsidRDefault="00FA11AF" w:rsidP="00FA11AF" w:rsidR="00FA11AF" w:rsidRPr="00FA11AF">
      <w:pPr>
        <w:spacing w:after="0"/>
        <w:ind w:left="720"/>
        <w:contextualSpacing/>
        <w:rPr>
          <w:rFonts w:cs="Times New Roman" w:eastAsia="Times New Roman"/>
          <w:lang w:eastAsia="hr-HR"/>
        </w:rPr>
      </w:pPr>
    </w:p>
    <w:p w:rsidRDefault="00FA11AF" w:rsidP="00FA11AF" w:rsidR="00FA11AF" w:rsidRPr="00FA11AF">
      <w:pPr>
        <w:spacing w:after="0"/>
        <w:ind w:left="1080"/>
        <w:jc w:val="both"/>
        <w:rPr>
          <w:rFonts w:cs="Times New Roman" w:eastAsia="Times New Roman"/>
          <w:lang w:eastAsia="hr-HR"/>
        </w:rPr>
      </w:pPr>
      <w:r w:rsidRPr="00FA11AF">
        <w:rPr>
          <w:rFonts w:cs="Times New Roman" w:eastAsia="Times New Roman"/>
          <w:lang w:eastAsia="hr-HR"/>
        </w:rPr>
        <w:t>što sve ukupno iznosi 4.056.520,98 kn.</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Za nekretnine iz točke I. ovog zaključka izvršena su pet oglašavanja i pet prodaja koje nisu uspjele.</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III   NAČIN PRODAJE:</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Nekretnina iz točke I ovog zaključka prodavat će se u stečajnom postupku usmenom javnom dražbom.</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Ročište za prodaju održat će se pred stečajnim sucem u zgradi Trgovačkog suda u Zagrebu, Stalne službe u Karlovcu, Ljudevita Šestića 4, soba broj 4, prizemlje, dana 19. veljače 2016.g. u 9,30 sati.</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Ročište će se održati i ako na njemu sudjeluje samo jedan ponuditelj.</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FA11AF" w:rsidP="00FA11AF" w:rsidR="00FA11AF">
      <w:pPr>
        <w:spacing w:after="0"/>
        <w:ind w:firstLine="708"/>
        <w:jc w:val="both"/>
        <w:rPr>
          <w:rFonts w:cs="Times New Roman" w:eastAsia="Times New Roman"/>
          <w:lang w:eastAsia="hr-HR"/>
        </w:rPr>
      </w:pPr>
      <w:r w:rsidRPr="00FA11AF">
        <w:rPr>
          <w:rFonts w:cs="Times New Roman" w:eastAsia="Times New Roman"/>
          <w:lang w:eastAsia="hr-HR"/>
        </w:rPr>
        <w:t xml:space="preserve"> Rok od objave zaključka o prodaji nekretnina na oglasnoj ploči do prodaje iznosi najmanje 15 dana.</w:t>
      </w:r>
    </w:p>
    <w:p w:rsidRDefault="00FA11AF" w:rsidP="00FA11AF" w:rsidR="00FA11AF">
      <w:pPr>
        <w:spacing w:after="0"/>
        <w:ind w:firstLine="708"/>
        <w:jc w:val="both"/>
        <w:rPr>
          <w:rFonts w:cs="Times New Roman" w:eastAsia="Times New Roman"/>
          <w:lang w:eastAsia="hr-HR"/>
        </w:rPr>
      </w:pPr>
    </w:p>
    <w:p w:rsidRDefault="00FA11AF" w:rsidP="00FA11AF" w:rsid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V       UVJETI PRODAJE</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1. Prodaju se nekretnine navedene u točki I ovog zaključka.</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2. Vrijednost nekretnina utvrđena je u ukupnom  iznosu od 4.056.520,98 kn.</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3.Nekretnine iz točke I ovog zaključka prodavat će se na </w:t>
      </w:r>
      <w:r>
        <w:rPr>
          <w:rFonts w:cs="Times New Roman" w:eastAsia="Times New Roman"/>
          <w:lang w:eastAsia="hr-HR"/>
        </w:rPr>
        <w:t>šestom</w:t>
      </w:r>
      <w:r w:rsidRPr="00FA11AF">
        <w:rPr>
          <w:rFonts w:cs="Times New Roman" w:eastAsia="Times New Roman"/>
          <w:lang w:eastAsia="hr-HR"/>
        </w:rPr>
        <w:t xml:space="preserve"> ročištu za dražbu i to po početnoj cijeni za:</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20/2 – Pekarija- poslovna prostorija u površini od 38 čhv, upisana u z.k.ul. 1810 k.o. Brinje po cijeni od 257.747,00 kn,</w:t>
      </w:r>
    </w:p>
    <w:p w:rsidRDefault="00FA11AF" w:rsidP="00FA11AF" w:rsidR="00FA11AF" w:rsidRPr="00FA11AF">
      <w:pPr>
        <w:spacing w:after="0"/>
        <w:ind w:left="72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520  - kuća br. 68/122 i dvorište u površini od 84 čhv, upisana u z.k.ul. 2006 k.o. Brinje po cijeni od 493.073,37 kn,</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104 – zgrada br.28a, dom dvorište u površini od 511 čhv, upisane u  z.k.ul. 629 k.o. Prokike po cijeni od 686.315,03 kn,</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FA11AF">
          <w:rPr>
            <w:rFonts w:cs="Times New Roman" w:eastAsia="Times New Roman"/>
            <w:lang w:eastAsia="hr-HR"/>
          </w:rPr>
          <w:t>1 jutra</w:t>
        </w:r>
      </w:smartTag>
      <w:r w:rsidRPr="00FA11AF">
        <w:rPr>
          <w:rFonts w:cs="Times New Roman" w:eastAsia="Times New Roman"/>
          <w:lang w:eastAsia="hr-HR"/>
        </w:rPr>
        <w:t xml:space="preserve"> i 144 čhv, upisana u z.k.ul. 629 k.o. Prokike po cijeni od 95.648,48 kn,</w:t>
      </w:r>
    </w:p>
    <w:p w:rsidRDefault="00FA11AF" w:rsidP="00FA11AF" w:rsidR="00FA11AF" w:rsidRPr="00FA11AF">
      <w:pPr>
        <w:spacing w:after="0"/>
        <w:ind w:left="72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112/1- zgrada br.4-Dom i dvorište u površini od 380 čhv, upisana u z.k.ul. 680 k.o. Letinac po cijeni od 469.764,92 kn,</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13/1 – zgrada br.15-Dom i dvorište u površini do 1392 čhv, upisana u z.k.ul. 987 k.o. Vodoteč po cijeni od 515.031,48 kn,</w:t>
      </w:r>
    </w:p>
    <w:p w:rsidRDefault="00FA11AF" w:rsidP="00FA11AF" w:rsidR="00FA11AF" w:rsidRPr="00FA11AF">
      <w:pPr>
        <w:spacing w:after="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kčbr. 3214/2- dvorište u površini od 97 čhv, upisana uz.k.ul. 1205 k.o. Stajnica po cijeni od 12.880,08 kn,</w:t>
      </w:r>
    </w:p>
    <w:p w:rsidRDefault="00FA11AF" w:rsidP="00FA11AF" w:rsidR="00FA11AF" w:rsidRPr="00FA11AF">
      <w:pPr>
        <w:spacing w:after="0"/>
        <w:ind w:left="720"/>
        <w:jc w:val="both"/>
        <w:rPr>
          <w:rFonts w:cs="Times New Roman" w:eastAsia="Times New Roman"/>
          <w:lang w:eastAsia="hr-HR"/>
        </w:rPr>
      </w:pPr>
    </w:p>
    <w:p w:rsidRDefault="00FA11AF" w:rsidP="00FA11AF" w:rsidR="00FA11AF" w:rsidRPr="00FA11AF">
      <w:pPr>
        <w:numPr>
          <w:ilvl w:val="0"/>
          <w:numId w:val="47"/>
        </w:numPr>
        <w:spacing w:after="0"/>
        <w:jc w:val="both"/>
        <w:rPr>
          <w:rFonts w:cs="Times New Roman" w:eastAsia="Times New Roman"/>
          <w:lang w:eastAsia="hr-HR"/>
        </w:rPr>
      </w:pPr>
      <w:r w:rsidRPr="00FA11AF">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FA11AF">
          <w:rPr>
            <w:rFonts w:cs="Times New Roman" w:eastAsia="Times New Roman"/>
            <w:lang w:eastAsia="hr-HR"/>
          </w:rPr>
          <w:t>712 m2</w:t>
        </w:r>
      </w:smartTag>
      <w:r w:rsidRPr="00FA11AF">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FA11AF">
          <w:rPr>
            <w:rFonts w:cs="Times New Roman" w:eastAsia="Times New Roman"/>
            <w:lang w:eastAsia="hr-HR"/>
          </w:rPr>
          <w:t>648 m2</w:t>
        </w:r>
      </w:smartTag>
      <w:r w:rsidRPr="00FA11AF">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FA11AF">
          <w:rPr>
            <w:rFonts w:cs="Times New Roman" w:eastAsia="Times New Roman"/>
            <w:lang w:eastAsia="hr-HR"/>
          </w:rPr>
          <w:t>777 m2</w:t>
        </w:r>
      </w:smartTag>
      <w:r w:rsidRPr="00FA11AF">
        <w:rPr>
          <w:rFonts w:cs="Times New Roman" w:eastAsia="Times New Roman"/>
          <w:lang w:eastAsia="hr-HR"/>
        </w:rPr>
        <w:t xml:space="preserve">, kčbr. 2224 – zgrada pašnjak u površini od 668 m2 ( pašnjak od 656 m2 i zgrada od 12 m2), kčbr. 2225 – put barutni magazin u površini od </w:t>
      </w:r>
      <w:smartTag w:element="metricconverter" w:uri="urn:schemas-microsoft-com:office:smarttags">
        <w:smartTagPr>
          <w:attr w:val="1158 m2" w:name="ProductID"/>
        </w:smartTagPr>
        <w:r w:rsidRPr="00FA11AF">
          <w:rPr>
            <w:rFonts w:cs="Times New Roman" w:eastAsia="Times New Roman"/>
            <w:lang w:eastAsia="hr-HR"/>
          </w:rPr>
          <w:t>1158 m2</w:t>
        </w:r>
      </w:smartTag>
      <w:r w:rsidRPr="00FA11AF">
        <w:rPr>
          <w:rFonts w:cs="Times New Roman" w:eastAsia="Times New Roman"/>
          <w:lang w:eastAsia="hr-HR"/>
        </w:rPr>
        <w:t>, sve  upisane z.k.ul. 2600, sve upisane u k.o. Otočac  kod Općinskog suda u Gospiću, Zemljišno-knjižni odjel u Otočcu, za ukupnu cijenu od 136.053,56 kn,</w:t>
      </w:r>
    </w:p>
    <w:p w:rsidRDefault="00FA11AF" w:rsidP="00FA11AF" w:rsidR="00FA11AF" w:rsidRPr="00FA11AF">
      <w:pPr>
        <w:spacing w:after="0"/>
        <w:ind w:left="720"/>
        <w:jc w:val="both"/>
        <w:rPr>
          <w:rFonts w:cs="Times New Roman" w:eastAsia="Times New Roman"/>
          <w:lang w:eastAsia="hr-HR"/>
        </w:rPr>
      </w:pPr>
    </w:p>
    <w:p w:rsidRDefault="00FA11AF" w:rsidP="00FA11AF" w:rsidR="00FA11AF" w:rsidRPr="00FA11AF">
      <w:pPr>
        <w:spacing w:after="0"/>
        <w:ind w:left="720"/>
        <w:jc w:val="both"/>
        <w:rPr>
          <w:rFonts w:cs="Times New Roman" w:eastAsia="Times New Roman"/>
          <w:lang w:eastAsia="hr-HR"/>
        </w:rPr>
      </w:pPr>
      <w:r w:rsidRPr="00FA11AF">
        <w:rPr>
          <w:rFonts w:cs="Times New Roman" w:eastAsia="Times New Roman"/>
          <w:lang w:eastAsia="hr-HR"/>
        </w:rPr>
        <w:t>što sve ukupno iznosi 2.666.513,92 kn i ispod te cijene, odnosno navedenih pojedinačnih cijena, se ne mogu prodati na šestom ročištu.</w:t>
      </w:r>
    </w:p>
    <w:p w:rsidRDefault="00FA11AF" w:rsidP="00FA11AF" w:rsidR="00FA11AF" w:rsidRPr="00FA11AF">
      <w:pPr>
        <w:spacing w:after="0"/>
        <w:ind w:left="720"/>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  Tek ako se nekretnine ne prodaju niti na šestom ročištu za prodaju po utvrđenoj vrijednosti, na narednim ročištima za prodaju može se prodavati za nižu vrijednost koju zaključkom odredi stečajni sudac.</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4. Sve poreze i pristojbe u svezi s prodajom nekretnine snosi kupac.</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5. Kao kupci mogu sudjelovati samo osobe koje su najkasnije pet dana prije dana održavanja ročišta za dražbu uplatile osiguranje u iznosu od 10% od utvrđene vrijednosti svake nekretnine, na račun sudskog depozita Trgovačkog suda u Zagrebu  (OIB: 37388188772), kod Hrvatske poštanske banke d.d. Zagreb, Jurišićeva 4, (OIB: 87939104217)  </w:t>
      </w:r>
      <w:r w:rsidRPr="00FA11AF">
        <w:rPr>
          <w:rFonts w:cs="Times New Roman" w:eastAsia="Times New Roman"/>
          <w:lang w:eastAsia="hr-HR"/>
        </w:rPr>
        <w:lastRenderedPageBreak/>
        <w:t xml:space="preserve">IBAN: HR9223900011300000460 model broj 02-32912. Ukoliko kao kupci sudjeluju strane osobe osiguranje uplaćuju na SWIFT BICCODEHPBZHR2X u istom iznosu.  broj 2390001-1300000460 poziv na broj 02-32912 i dokaz o tome predočile stečajnom sucu na spis pet dana prije početka dražbe ili stečajnom sucu prilože bankarsku garanciju bonitetne banke na prvi poziv za odgovarajući iznos osiguranja. </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Punomoćnici ponuditelja mogu sudjelovati na dražbi samo uz ovjerenu specijalnu punomoć.</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Sudionicima dražbe koji ne uspiju u nadmetanju, osiguranje odnosno bankarska garancija će se vratiti odmah nakon zaključenja javne dražbe.</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Osiguranje nisu dužni položiti razlučni vjerovnici kojima je to pravo upisano u zemljišnim knjigama. </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13. Prodaja se obavlja po načelu „viđeno-kupljeno“, što isključuje svake naknadne prigovore kupca. </w:t>
      </w:r>
    </w:p>
    <w:p w:rsidRDefault="00FA11AF" w:rsidP="00FA11AF" w:rsidR="00FA11AF">
      <w:pPr>
        <w:spacing w:after="0"/>
        <w:ind w:firstLine="708"/>
        <w:jc w:val="both"/>
        <w:rPr>
          <w:rFonts w:cs="Times New Roman" w:eastAsia="Times New Roman"/>
          <w:lang w:eastAsia="hr-HR"/>
        </w:rPr>
      </w:pPr>
      <w:r w:rsidRPr="00FA11AF">
        <w:rPr>
          <w:rFonts w:cs="Times New Roman" w:eastAsia="Times New Roman"/>
          <w:lang w:eastAsia="hr-HR"/>
        </w:rPr>
        <w:t xml:space="preserve">Razgledati nekretnine i dokumentaciju vezane uz iste, zainteresirane osobe mogu u vrijeme dogovoreno sa stečajnim upraviteljem na broj 091 2026292 i 047/423 288. </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rPr>
          <w:rFonts w:cs="Times New Roman" w:eastAsia="Times New Roman"/>
          <w:lang w:eastAsia="hr-HR"/>
        </w:rPr>
      </w:pPr>
      <w:r w:rsidRPr="00FA11AF">
        <w:rPr>
          <w:rFonts w:cs="Times New Roman" w:eastAsia="Times New Roman"/>
          <w:lang w:eastAsia="hr-HR"/>
        </w:rPr>
        <w:lastRenderedPageBreak/>
        <w:t xml:space="preserve">                                                   Obrazloženje</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Rješenjem ovog suda posl.br. St-329/12 od 3. srpnja 2012.g. otvoren je stečajni postupak nad imovinom dužnika  MADIG d.o.o. u stečaju Ogulin, Prapućanska ulica </w:t>
      </w:r>
      <w:smartTag w:element="metricconverter" w:uri="urn:schemas-microsoft-com:office:smarttags">
        <w:smartTagPr>
          <w:attr w:val="22, a" w:name="ProductID"/>
        </w:smartTagPr>
        <w:r w:rsidRPr="00FA11AF">
          <w:rPr>
            <w:rFonts w:cs="Times New Roman" w:eastAsia="Times New Roman"/>
            <w:lang w:eastAsia="hr-HR"/>
          </w:rPr>
          <w:t>22, a</w:t>
        </w:r>
      </w:smartTag>
      <w:r w:rsidRPr="00FA11AF">
        <w:rPr>
          <w:rFonts w:cs="Times New Roman" w:eastAsia="Times New Roman"/>
          <w:lang w:eastAsia="hr-HR"/>
        </w:rPr>
        <w:t xml:space="preserve"> stečajnu masu čine i nekretnine koje su predmet ove prodaje, a na kojima je upisano razlučno pravo u korist  RH Ministarstvo financija i Zorice Tretinjak.</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Razlučni vjerovnici nisu pokrenuli postupak ovrhe na navedenim nekretninama radi prisilnog namirenja svojih tražbina. </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Temeljem čl.87. Ovršnog zakona utvrđena je vrijednost nekretnina koje su predmet prodaje.</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 xml:space="preserve">O uvjetima i načinu prodaje odlučeno je temeljem odredbe čl.92.,93., 94., 95., 98., 100., 100a, 101. i 101a OZ-a a u svezi s čl.164. Stečajnog zakona. </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center"/>
        <w:rPr>
          <w:rFonts w:cs="Times New Roman" w:eastAsia="Times New Roman"/>
          <w:lang w:eastAsia="hr-HR"/>
        </w:rPr>
      </w:pPr>
      <w:r w:rsidRPr="00FA11AF">
        <w:rPr>
          <w:rFonts w:cs="Times New Roman" w:eastAsia="Times New Roman"/>
          <w:lang w:eastAsia="hr-HR"/>
        </w:rPr>
        <w:t>U Karlovcu 26. siječnja 2016. godine</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right"/>
        <w:rPr>
          <w:rFonts w:cs="Times New Roman" w:eastAsia="Times New Roman"/>
          <w:lang w:eastAsia="hr-HR"/>
        </w:rPr>
      </w:pP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t xml:space="preserve">     Stečajni sudac:</w:t>
      </w:r>
    </w:p>
    <w:p w:rsidRDefault="00FA11AF" w:rsidP="00FA11AF" w:rsidR="00FA11AF" w:rsidRPr="00FA11AF">
      <w:pPr>
        <w:spacing w:after="0"/>
        <w:ind w:firstLine="708"/>
        <w:jc w:val="right"/>
        <w:rPr>
          <w:rFonts w:cs="Times New Roman" w:eastAsia="Times New Roman"/>
          <w:lang w:eastAsia="hr-HR"/>
        </w:rPr>
      </w:pP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r>
      <w:r w:rsidRPr="00FA11AF">
        <w:rPr>
          <w:rFonts w:cs="Times New Roman" w:eastAsia="Times New Roman"/>
          <w:lang w:eastAsia="hr-HR"/>
        </w:rPr>
        <w:tab/>
        <w:t xml:space="preserve">     Suzana Ivanović</w:t>
      </w:r>
    </w:p>
    <w:p w:rsidRDefault="00FA11AF" w:rsidP="00FA11AF" w:rsidR="00FA11AF" w:rsidRPr="00FA11AF">
      <w:pPr>
        <w:spacing w:after="0"/>
        <w:ind w:firstLine="708"/>
        <w:jc w:val="right"/>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UPUTA O PRAVNOM LIJEKU:</w:t>
      </w: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Protiv ovog zaključka nije dopuštena žalba čl.11.st.9. SZ-a.</w:t>
      </w: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p>
    <w:p w:rsidRDefault="00FA11AF" w:rsidP="00FA11AF" w:rsidR="00FA11AF" w:rsidRPr="00FA11AF">
      <w:pPr>
        <w:spacing w:after="0"/>
        <w:ind w:firstLine="708"/>
        <w:jc w:val="both"/>
        <w:rPr>
          <w:rFonts w:cs="Times New Roman" w:eastAsia="Times New Roman"/>
          <w:lang w:eastAsia="hr-HR"/>
        </w:rPr>
      </w:pPr>
      <w:r w:rsidRPr="00FA11AF">
        <w:rPr>
          <w:rFonts w:cs="Times New Roman" w:eastAsia="Times New Roman"/>
          <w:lang w:eastAsia="hr-HR"/>
        </w:rPr>
        <w:t>Dna:</w:t>
      </w:r>
    </w:p>
    <w:p w:rsidRDefault="00FA11AF" w:rsidP="00FA11AF" w:rsidR="00FA11AF" w:rsidRPr="00FA11AF">
      <w:pPr>
        <w:numPr>
          <w:ilvl w:val="0"/>
          <w:numId w:val="48"/>
        </w:numPr>
        <w:spacing w:after="0"/>
        <w:jc w:val="both"/>
        <w:rPr>
          <w:rFonts w:cs="Times New Roman" w:eastAsia="Times New Roman"/>
          <w:lang w:eastAsia="hr-HR"/>
        </w:rPr>
      </w:pPr>
      <w:r w:rsidRPr="00FA11AF">
        <w:rPr>
          <w:rFonts w:cs="Times New Roman" w:eastAsia="Times New Roman"/>
          <w:lang w:eastAsia="hr-HR"/>
        </w:rPr>
        <w:t>Stečajni upravitelj</w:t>
      </w:r>
    </w:p>
    <w:p w:rsidRDefault="00FA11AF" w:rsidP="00FA11AF" w:rsidR="00FA11AF" w:rsidRPr="00FA11AF">
      <w:pPr>
        <w:numPr>
          <w:ilvl w:val="0"/>
          <w:numId w:val="48"/>
        </w:numPr>
        <w:spacing w:after="0"/>
        <w:jc w:val="both"/>
        <w:rPr>
          <w:rFonts w:cs="Times New Roman" w:eastAsia="Times New Roman"/>
          <w:lang w:eastAsia="hr-HR"/>
        </w:rPr>
      </w:pPr>
      <w:r w:rsidRPr="00FA11AF">
        <w:rPr>
          <w:rFonts w:cs="Times New Roman" w:eastAsia="Times New Roman"/>
          <w:lang w:eastAsia="hr-HR"/>
        </w:rPr>
        <w:t xml:space="preserve"> Razlučni vjerovnici </w:t>
      </w:r>
    </w:p>
    <w:p w:rsidRDefault="00FA11AF" w:rsidP="00FA11AF" w:rsidR="00FA11AF" w:rsidRPr="00FA11AF">
      <w:pPr>
        <w:numPr>
          <w:ilvl w:val="0"/>
          <w:numId w:val="48"/>
        </w:numPr>
        <w:spacing w:after="0"/>
        <w:jc w:val="both"/>
        <w:rPr>
          <w:rFonts w:cs="Times New Roman" w:eastAsia="Times New Roman"/>
          <w:lang w:eastAsia="hr-HR"/>
        </w:rPr>
      </w:pPr>
      <w:r w:rsidRPr="00FA11AF">
        <w:rPr>
          <w:rFonts w:cs="Times New Roman" w:eastAsia="Times New Roman"/>
          <w:lang w:eastAsia="hr-HR"/>
        </w:rPr>
        <w:t xml:space="preserve"> Porezna uprava Karlovac</w:t>
      </w:r>
    </w:p>
    <w:p w:rsidRDefault="00FA11AF" w:rsidP="00DA0242" w:rsidR="00DA0242">
      <w:pPr>
        <w:numPr>
          <w:ilvl w:val="0"/>
          <w:numId w:val="48"/>
        </w:numPr>
        <w:spacing w:after="0"/>
        <w:contextualSpacing/>
        <w:jc w:val="both"/>
      </w:pPr>
      <w:r w:rsidRPr="00FA11AF">
        <w:rPr>
          <w:rFonts w:cs="Times New Roman" w:eastAsia="Times New Roman"/>
          <w:lang w:eastAsia="hr-HR"/>
        </w:rPr>
        <w:t xml:space="preserve"> E-oglasna ploča suda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lvlOverride w:ilvl="0"/>
    <w:lvlOverride w:ilvl="1"/>
    <w:lvlOverride w:ilvl="2"/>
    <w:lvlOverride w:ilvl="3"/>
    <w:lvlOverride w:ilvl="4"/>
    <w:lvlOverride w:ilvl="5"/>
    <w:lvlOverride w:ilvl="6"/>
    <w:lvlOverride w:ilvl="7"/>
    <w:lvlOverride w:ilvl="8"/>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11AF"/>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82961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St-329/2012-112</izvorni_sadrzaj>
    <derivirana_varijabla naziv="DomainObject.Oznaka_1">St-329/2012-112</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_1">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
  <DomainObject.Predmet.OstaliListFormatedOIB>
    <izvorni_sadrzaj>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OIB_1">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OIB>
  <DomainObject.Predmet.OstaliListFormatedWithAdress>
    <izvorni_sadrzaj>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_1">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
  <DomainObject.Predmet.OstaliListFormatedWithAdressOIB>
    <izvorni_sadrzaj>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OIB_1">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OIB>
  <DomainObject.Predmet.OstaliListNazivFormated>
    <izvorni_sadrzaj>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zvorni_sadrzaj>
    <derivirana_varijabla naziv="DomainObject.Predmet.OstaliListNazivFormated_1">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derivirana_varijabla>
  </DomainObject.Predmet.OstaliListNazivFormated>
  <DomainObject.Predmet.OstaliListNazivFormatedOIB>
    <izvorni_sadrzaj>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zvorni_sadrzaj>
    <derivirana_varijabla naziv="DomainObject.Predmet.OstaliListNazivFormatedOIB_1">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St-329/2012-112</izvorni_sadrzaj>
    <derivirana_varijabla naziv="DomainObject.PoslovniBrojDokumenta_1">St-329/2012-112</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zvorni_sadrzaj>
    <derivirana_varijabla naziv="DomainObject.Predmet.SudioniciListNaziv_1">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B0921C-03F0-44D6-B15F-B22208E5B2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1841</properties:Words>
  <properties:Characters>9469</properties:Characters>
  <properties:Lines>234</properties:Lines>
  <properties:Paragraphs>82</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2016-01-26T09:10:00Z</cp:lastPrinted>
  <dcterms:modified xmlns:xsi="http://www.w3.org/2001/XMLSchema-instance" xsi:type="dcterms:W3CDTF">2016-01-26T09:14:00Z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St-329/2012-112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