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b4adc" w14:paraId="1cb4adc" w:rsidRDefault="005C0108" w:rsidP="005C0108" w:rsidR="005C0108">
      <w:pPr>
        <w:jc w:val="both"/>
        <w15:collapsed w:val="false"/>
      </w:pPr>
      <w:bookmarkStart w:name="_GoBack" w:id="0"/>
      <w:bookmarkEnd w:id="0"/>
    </w:p>
    <w:p w:rsidRDefault="005C0108" w:rsidP="005C0108" w:rsidR="005C0108">
      <w:pPr>
        <w:jc w:val="both"/>
      </w:pPr>
      <w:r>
        <w:rPr>
          <w:noProof/>
          <w:lang w:eastAsia="hr-HR"/>
        </w:rPr>
        <w:drawing>
          <wp:inline distR="0" distL="0" distB="0" distT="0">
            <wp:extent cy="961200" cx="720000"/>
            <wp:effectExtent b="0" r="444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C0108" w:rsidP="005C0108" w:rsidR="005C0108" w:rsidRPr="00B22F77"/>
    <w:p w:rsidRDefault="005C0108" w:rsidP="005C0108" w:rsidR="005C0108" w:rsidRPr="00B22F77">
      <w:r w:rsidRPr="00B22F77">
        <w:t>REPUBLIKA HRVATSKA</w:t>
      </w:r>
    </w:p>
    <w:p w:rsidRDefault="005C0108" w:rsidP="005C0108" w:rsidR="005C0108" w:rsidRPr="00B22F77">
      <w:r w:rsidRPr="00B22F77">
        <w:t>Trgovački sud u Zagrebu</w:t>
      </w:r>
    </w:p>
    <w:p w:rsidRDefault="005C0108" w:rsidP="005C0108" w:rsidR="005C0108" w:rsidRPr="00B22F77">
      <w:r w:rsidRPr="00B22F77">
        <w:t>Zagreb, Amruševa 2/II</w:t>
      </w:r>
    </w:p>
    <w:p w:rsidRDefault="005C0108" w:rsidP="005C0108" w:rsidR="005C0108" w:rsidRPr="00B22F77">
      <w:pPr>
        <w:jc w:val="right"/>
      </w:pPr>
      <w:r>
        <w:t xml:space="preserve">  48. St-2048/17</w:t>
      </w:r>
    </w:p>
    <w:p w:rsidRDefault="005D2EB3" w:rsidP="005D2EB3" w:rsidR="005D2EB3" w:rsidRPr="00005E65">
      <w:pPr>
        <w:jc w:val="center"/>
        <w:rPr>
          <w:b/>
        </w:rPr>
      </w:pPr>
    </w:p>
    <w:p w:rsidRDefault="005D2EB3" w:rsidP="005D2EB3" w:rsidR="005D2EB3" w:rsidRPr="00005E65">
      <w:pPr>
        <w:jc w:val="center"/>
        <w:rPr>
          <w:b/>
        </w:rPr>
      </w:pPr>
      <w:r w:rsidRPr="00005E65">
        <w:rPr>
          <w:b/>
        </w:rPr>
        <w:t>Z A P I S N I K</w:t>
      </w:r>
    </w:p>
    <w:p w:rsidRDefault="00101B9E" w:rsidP="005D2EB3" w:rsidR="005D2EB3">
      <w:pPr>
        <w:jc w:val="center"/>
        <w:rPr>
          <w:b/>
        </w:rPr>
      </w:pPr>
      <w:r>
        <w:rPr>
          <w:b/>
        </w:rPr>
        <w:t>S</w:t>
      </w:r>
      <w:r w:rsidR="005D2EB3" w:rsidRPr="00005E65">
        <w:rPr>
          <w:b/>
        </w:rPr>
        <w:t xml:space="preserve"> </w:t>
      </w:r>
      <w:r w:rsidR="005D2EB3">
        <w:rPr>
          <w:b/>
        </w:rPr>
        <w:t xml:space="preserve"> ROČIŠTA RADI SKLAPANJA PREDSTEČAJNE NAGODBE</w:t>
      </w:r>
    </w:p>
    <w:p w:rsidRDefault="005D2EB3" w:rsidP="00E34374" w:rsidR="00E34374">
      <w:pPr>
        <w:jc w:val="center"/>
        <w:rPr>
          <w:b/>
        </w:rPr>
      </w:pPr>
      <w:r>
        <w:rPr>
          <w:b/>
        </w:rPr>
        <w:t xml:space="preserve"> </w:t>
      </w:r>
    </w:p>
    <w:p w:rsidRDefault="00E34374" w:rsidP="00E34374" w:rsidR="00101B9E" w:rsidRPr="00E34374">
      <w:pPr>
        <w:rPr>
          <w:b/>
        </w:rPr>
      </w:pPr>
      <w:r>
        <w:rPr>
          <w:b/>
        </w:rPr>
        <w:t xml:space="preserve">        </w:t>
      </w:r>
      <w:r w:rsidR="004434F8">
        <w:t>o</w:t>
      </w:r>
      <w:r w:rsidR="005D2EB3" w:rsidRPr="00005E65">
        <w:t xml:space="preserve">držanog dana </w:t>
      </w:r>
      <w:r w:rsidR="00133CAE">
        <w:t>05</w:t>
      </w:r>
      <w:r w:rsidR="006925C1">
        <w:t xml:space="preserve">. </w:t>
      </w:r>
      <w:r w:rsidR="00133CAE">
        <w:t>listopada</w:t>
      </w:r>
      <w:r w:rsidR="00036C64">
        <w:t xml:space="preserve"> 201</w:t>
      </w:r>
      <w:r w:rsidR="00101B9E">
        <w:t>7</w:t>
      </w:r>
      <w:r w:rsidR="00036C64">
        <w:t>.</w:t>
      </w:r>
      <w:r w:rsidR="005D2EB3" w:rsidRPr="00005E65">
        <w:t xml:space="preserve"> na Trgovačkom sudu u Zagrebu</w:t>
      </w:r>
      <w:r w:rsidR="00101B9E">
        <w:t xml:space="preserve"> </w:t>
      </w:r>
      <w:r w:rsidR="005D2EB3" w:rsidRPr="00005E65">
        <w:t xml:space="preserve"> u </w:t>
      </w:r>
      <w:r w:rsidR="005D2EB3">
        <w:t xml:space="preserve">predmetu nad </w:t>
      </w:r>
      <w:r w:rsidR="005D2EB3" w:rsidRPr="00005E65">
        <w:t xml:space="preserve">dužnikom </w:t>
      </w:r>
      <w:r w:rsidR="00133CAE" w:rsidRPr="00133CAE">
        <w:t>SVESA NATURA d.o.o., Ivanec Bistranski, Ivana Pintarića 29, OIB: 85557588753</w:t>
      </w:r>
    </w:p>
    <w:p w:rsidRDefault="00101B9E" w:rsidP="005D2EB3" w:rsidR="00101B9E">
      <w:pPr>
        <w:jc w:val="both"/>
      </w:pPr>
    </w:p>
    <w:p w:rsidRDefault="005D2EB3" w:rsidP="005D2EB3" w:rsidR="005D2EB3" w:rsidRPr="00005E65">
      <w:pPr>
        <w:jc w:val="both"/>
      </w:pPr>
      <w:r w:rsidRPr="00005E65">
        <w:t>Nazočni od suda:</w:t>
      </w:r>
    </w:p>
    <w:p w:rsidRDefault="00101B9E" w:rsidP="005D2EB3" w:rsidR="005D2EB3">
      <w:pPr>
        <w:jc w:val="both"/>
      </w:pPr>
      <w:r>
        <w:t>Vesna Sremac Šoštar</w:t>
      </w:r>
      <w:r w:rsidR="005D2EB3" w:rsidRPr="00005E65">
        <w:t>, stečajni sudac</w:t>
      </w:r>
    </w:p>
    <w:p w:rsidRDefault="00133CAE" w:rsidP="005D2EB3" w:rsidR="005D2EB3">
      <w:pPr>
        <w:jc w:val="both"/>
      </w:pPr>
      <w:r>
        <w:t>Matea Bizjak</w:t>
      </w:r>
      <w:r w:rsidR="005D2EB3" w:rsidRPr="00005E65">
        <w:t>, zapisničar</w:t>
      </w:r>
    </w:p>
    <w:p w:rsidRDefault="005D2EB3" w:rsidP="005D2EB3" w:rsidR="005D2EB3" w:rsidRPr="00005E65">
      <w:pPr>
        <w:jc w:val="both"/>
      </w:pPr>
    </w:p>
    <w:p w:rsidRDefault="005D2EB3" w:rsidP="005D2EB3" w:rsidR="005D2EB3" w:rsidRPr="00005E65">
      <w:pPr>
        <w:jc w:val="both"/>
      </w:pPr>
      <w:r w:rsidRPr="00005E65">
        <w:t xml:space="preserve">Započeto u </w:t>
      </w:r>
      <w:r w:rsidR="006925C1">
        <w:t>10,0</w:t>
      </w:r>
      <w:r w:rsidR="00F9061A">
        <w:t>0</w:t>
      </w:r>
      <w:r>
        <w:t xml:space="preserve"> </w:t>
      </w:r>
      <w:r w:rsidRPr="00005E65">
        <w:t>sati.</w:t>
      </w:r>
    </w:p>
    <w:p w:rsidRDefault="005D2EB3" w:rsidP="005D2EB3" w:rsidR="005D2EB3">
      <w:pPr>
        <w:jc w:val="both"/>
      </w:pPr>
    </w:p>
    <w:p w:rsidRDefault="00BB0EB1" w:rsidP="000226BC" w:rsidR="00BB0EB1">
      <w:pPr>
        <w:jc w:val="both"/>
      </w:pPr>
    </w:p>
    <w:p w:rsidRDefault="00101B9E" w:rsidP="00101B9E" w:rsidR="00101B9E">
      <w:pPr>
        <w:jc w:val="both"/>
      </w:pPr>
      <w:r>
        <w:t xml:space="preserve">Utvrđuje se da su </w:t>
      </w:r>
      <w:r w:rsidR="0040710E" w:rsidRPr="0040710E">
        <w:t>ročištu radi sklapanja predstečajne nagodb</w:t>
      </w:r>
      <w:r w:rsidR="0040710E">
        <w:t xml:space="preserve">e </w:t>
      </w:r>
      <w:r>
        <w:t xml:space="preserve">pristupili: </w:t>
      </w:r>
    </w:p>
    <w:p w:rsidRDefault="0040710E" w:rsidP="00101B9E" w:rsidR="0040710E">
      <w:pPr>
        <w:jc w:val="both"/>
      </w:pPr>
    </w:p>
    <w:p w:rsidRDefault="00101B9E" w:rsidP="00133CAE" w:rsidR="00226D61">
      <w:pPr>
        <w:jc w:val="both"/>
      </w:pPr>
      <w:r>
        <w:t xml:space="preserve">-za dužnika –  </w:t>
      </w:r>
      <w:r w:rsidR="00133CAE">
        <w:t>Sven Opravić, član uprave</w:t>
      </w:r>
    </w:p>
    <w:p w:rsidRDefault="00133CAE" w:rsidP="00133CAE" w:rsidR="00133CAE">
      <w:pPr>
        <w:jc w:val="both"/>
      </w:pPr>
      <w:r>
        <w:t xml:space="preserve">                        Boris Opravić, prokurist</w:t>
      </w:r>
    </w:p>
    <w:p w:rsidRDefault="00226D61" w:rsidP="00101B9E" w:rsidR="00226D61">
      <w:pPr>
        <w:jc w:val="both"/>
      </w:pPr>
    </w:p>
    <w:p w:rsidRDefault="00101B9E" w:rsidP="00101B9E" w:rsidR="00101B9E">
      <w:pPr>
        <w:jc w:val="both"/>
      </w:pPr>
      <w:r>
        <w:t>-za vjerovnike koji su prihvatili Plan financijskog restrukturiranja:</w:t>
      </w:r>
    </w:p>
    <w:p w:rsidRDefault="0040710E" w:rsidP="00101B9E" w:rsidR="0040710E">
      <w:pPr>
        <w:jc w:val="both"/>
      </w:pPr>
    </w:p>
    <w:p w:rsidRDefault="00133CAE" w:rsidP="00133CAE" w:rsidR="00711211" w:rsidRPr="003E15FE">
      <w:pPr>
        <w:pStyle w:val="Odlomakpopisa"/>
        <w:numPr>
          <w:ilvl w:val="0"/>
          <w:numId w:val="19"/>
        </w:numPr>
        <w:jc w:val="both"/>
        <w:rPr>
          <w:rFonts w:hAnsi="Times New Roman" w:ascii="Times New Roman"/>
          <w:sz w:val="24"/>
          <w:szCs w:val="24"/>
        </w:rPr>
      </w:pPr>
      <w:r w:rsidRPr="00133CAE">
        <w:rPr>
          <w:rFonts w:hAnsi="Times New Roman" w:ascii="Times New Roman"/>
          <w:sz w:val="24"/>
          <w:szCs w:val="24"/>
        </w:rPr>
        <w:t xml:space="preserve">SBERBANK </w:t>
      </w:r>
      <w:r>
        <w:rPr>
          <w:rFonts w:hAnsi="Times New Roman" w:ascii="Times New Roman"/>
          <w:sz w:val="24"/>
          <w:szCs w:val="24"/>
        </w:rPr>
        <w:t xml:space="preserve">d.d. iz Zagreba, Varšavska 9, </w:t>
      </w:r>
      <w:r w:rsidR="0013272F">
        <w:rPr>
          <w:rFonts w:hAnsi="Times New Roman" w:ascii="Times New Roman"/>
          <w:sz w:val="24"/>
          <w:szCs w:val="24"/>
        </w:rPr>
        <w:t>OIB: 78427478595</w:t>
      </w:r>
      <w:r w:rsidR="004B7368">
        <w:rPr>
          <w:rFonts w:hAnsi="Times New Roman" w:ascii="Times New Roman"/>
          <w:sz w:val="24"/>
          <w:szCs w:val="24"/>
        </w:rPr>
        <w:t xml:space="preserve">, </w:t>
      </w:r>
      <w:r w:rsidR="003E15FE">
        <w:rPr>
          <w:rFonts w:hAnsi="Times New Roman" w:ascii="Times New Roman"/>
          <w:sz w:val="24"/>
          <w:szCs w:val="24"/>
        </w:rPr>
        <w:t xml:space="preserve">zastupano po </w:t>
      </w:r>
      <w:r w:rsidR="004B7368">
        <w:rPr>
          <w:rFonts w:hAnsi="Times New Roman" w:ascii="Times New Roman"/>
          <w:sz w:val="24"/>
          <w:szCs w:val="24"/>
        </w:rPr>
        <w:t>Martina Plejić, Su</w:t>
      </w:r>
      <w:r w:rsidR="004B7368" w:rsidRPr="003E15FE">
        <w:rPr>
          <w:rFonts w:hAnsi="Times New Roman" w:ascii="Times New Roman"/>
          <w:sz w:val="24"/>
          <w:szCs w:val="24"/>
        </w:rPr>
        <w:t>-1106/16</w:t>
      </w:r>
    </w:p>
    <w:p w:rsidRDefault="004B7368" w:rsidP="004B7368" w:rsidR="004B7368" w:rsidRPr="003E15FE">
      <w:pPr>
        <w:pStyle w:val="Odlomakpopisa"/>
        <w:numPr>
          <w:ilvl w:val="0"/>
          <w:numId w:val="19"/>
        </w:numPr>
        <w:jc w:val="both"/>
        <w:rPr>
          <w:rFonts w:hAnsi="Times New Roman" w:ascii="Times New Roman"/>
          <w:sz w:val="24"/>
          <w:szCs w:val="24"/>
        </w:rPr>
      </w:pPr>
      <w:r w:rsidRPr="003E15FE">
        <w:rPr>
          <w:rFonts w:hAnsi="Times New Roman" w:ascii="Times New Roman"/>
          <w:sz w:val="24"/>
          <w:szCs w:val="24"/>
        </w:rPr>
        <w:t>ADRIA GRUPA d.o.o.,  Zagreb, Heinzelova 53/a, OIB: 06637660960, zastupano po Ana Dunda, odvj. vježbenica u Odvjetničkom društvu Buterin i Posavec</w:t>
      </w:r>
    </w:p>
    <w:p w:rsidRDefault="004B7368" w:rsidP="004B7368" w:rsidR="004B7368" w:rsidRPr="004B7368">
      <w:pPr>
        <w:jc w:val="both"/>
      </w:pPr>
    </w:p>
    <w:p w:rsidRDefault="007D5BD2" w:rsidP="00AD7E5F" w:rsidR="007D5BD2">
      <w:pPr>
        <w:jc w:val="both"/>
      </w:pPr>
      <w:r>
        <w:t>Rješenjem</w:t>
      </w:r>
      <w:r w:rsidR="00AD7E5F">
        <w:t xml:space="preserve"> FINA-e, RC Zagreb, Nagodbeno vi</w:t>
      </w:r>
      <w:r w:rsidR="0013272F">
        <w:t>jeće ZG03</w:t>
      </w:r>
      <w:r w:rsidR="009B60BB">
        <w:t xml:space="preserve">, </w:t>
      </w:r>
      <w:r w:rsidR="0013272F">
        <w:rPr>
          <w:noProof/>
          <w:lang w:eastAsia="hr-HR"/>
        </w:rPr>
        <w:t>Klasa: UP-I/110/07/15-01/8444, Ur. Broj: 04-06-16-8444-89</w:t>
      </w:r>
      <w:r w:rsidR="00D65A4C">
        <w:rPr>
          <w:noProof/>
          <w:lang w:eastAsia="hr-HR"/>
        </w:rPr>
        <w:t xml:space="preserve"> </w:t>
      </w:r>
      <w:r w:rsidR="0013272F">
        <w:t>od 26. kolovoza</w:t>
      </w:r>
      <w:r w:rsidR="00531983">
        <w:t xml:space="preserve"> 2016</w:t>
      </w:r>
      <w:r w:rsidR="00AD7E5F">
        <w:t xml:space="preserve">., </w:t>
      </w:r>
      <w:r w:rsidR="00EB4F83">
        <w:t xml:space="preserve">a koje je postalo </w:t>
      </w:r>
      <w:r w:rsidR="00AD7E5F">
        <w:t xml:space="preserve">izvršno </w:t>
      </w:r>
      <w:r w:rsidR="0013272F">
        <w:t>14</w:t>
      </w:r>
      <w:r w:rsidR="00AD7E5F">
        <w:t xml:space="preserve">. </w:t>
      </w:r>
      <w:r w:rsidR="0013272F">
        <w:t>srpnja 2017</w:t>
      </w:r>
      <w:r w:rsidR="00531983">
        <w:t>.</w:t>
      </w:r>
      <w:r w:rsidR="00AD7E5F">
        <w:t xml:space="preserve">, utvrđeno </w:t>
      </w:r>
      <w:r>
        <w:t xml:space="preserve">je </w:t>
      </w:r>
      <w:r w:rsidR="00C87A66">
        <w:t xml:space="preserve">da su za </w:t>
      </w:r>
      <w:r w:rsidR="00D54740">
        <w:t xml:space="preserve">izmijenjeni </w:t>
      </w:r>
      <w:r w:rsidR="00C87A66">
        <w:t>P</w:t>
      </w:r>
      <w:r w:rsidR="00AD7E5F">
        <w:t>la</w:t>
      </w:r>
      <w:r>
        <w:t xml:space="preserve">n financijskog restrukturiranja </w:t>
      </w:r>
      <w:r w:rsidR="00AD7E5F">
        <w:t>glasovali vjerovnici čije tražbine prelaze 2/3 vrijednosti</w:t>
      </w:r>
      <w:r w:rsidR="003C5D40">
        <w:t xml:space="preserve"> svih utvrđenih tražbina, pa je, </w:t>
      </w:r>
      <w:r w:rsidR="00AD7E5F">
        <w:t>stoga</w:t>
      </w:r>
      <w:r w:rsidR="003C5D40">
        <w:t>,</w:t>
      </w:r>
      <w:r w:rsidR="00AD7E5F">
        <w:t xml:space="preserve"> dužnik dostavio predmet </w:t>
      </w:r>
      <w:r w:rsidR="00EB4F83">
        <w:t>ovom</w:t>
      </w:r>
      <w:r w:rsidR="00AD7E5F">
        <w:t xml:space="preserve"> sudu</w:t>
      </w:r>
      <w:r w:rsidR="00EB4F83">
        <w:t xml:space="preserve">, kao nadležnom sudu, </w:t>
      </w:r>
      <w:r>
        <w:t xml:space="preserve"> radi sklapanja predstečajne nagodbe </w:t>
      </w:r>
      <w:r w:rsidRPr="007D5BD2">
        <w:t xml:space="preserve">dana </w:t>
      </w:r>
      <w:r w:rsidR="0013272F">
        <w:t>18.07. 2017</w:t>
      </w:r>
      <w:r w:rsidRPr="007D5BD2">
        <w:t xml:space="preserve">., </w:t>
      </w:r>
      <w:r w:rsidR="004434F8">
        <w:t>dakle, u zakonskom roku</w:t>
      </w:r>
      <w:r w:rsidR="004434F8" w:rsidRPr="004434F8">
        <w:t xml:space="preserve"> od petnaest dana od izvršnosti </w:t>
      </w:r>
      <w:r w:rsidR="004434F8">
        <w:t xml:space="preserve">navedenog </w:t>
      </w:r>
      <w:r w:rsidR="004434F8" w:rsidRPr="004434F8">
        <w:t>rješenja</w:t>
      </w:r>
      <w:r w:rsidR="00C87A66">
        <w:t>, sve sukladno članku 66</w:t>
      </w:r>
      <w:r w:rsidR="004434F8">
        <w:t xml:space="preserve"> </w:t>
      </w:r>
      <w:r w:rsidR="00C87A66">
        <w:t xml:space="preserve">stavku 1 </w:t>
      </w:r>
      <w:r w:rsidR="004434F8">
        <w:t xml:space="preserve"> </w:t>
      </w:r>
      <w:r w:rsidR="00C87A66" w:rsidRPr="00C87A66">
        <w:t>Zakona o financijskom poslovanju i predstečajnoj nagodbi</w:t>
      </w:r>
      <w:r w:rsidR="00C87A66">
        <w:t xml:space="preserve"> (NN 108/12 do 81/13 dalje: ZFPP</w:t>
      </w:r>
      <w:r w:rsidR="00C87A66" w:rsidRPr="00C87A66">
        <w:t>N)</w:t>
      </w:r>
      <w:r w:rsidR="00C87A66">
        <w:t>.</w:t>
      </w:r>
    </w:p>
    <w:p w:rsidRDefault="007D5BD2" w:rsidP="00AD7E5F" w:rsidR="007D5BD2">
      <w:pPr>
        <w:jc w:val="both"/>
      </w:pPr>
    </w:p>
    <w:p w:rsidRDefault="007D5BD2" w:rsidP="00AD7E5F" w:rsidR="00AD7E5F">
      <w:pPr>
        <w:jc w:val="both"/>
      </w:pPr>
      <w:r>
        <w:t>Današnje</w:t>
      </w:r>
      <w:r w:rsidRPr="007D5BD2">
        <w:t xml:space="preserve"> ročište radi sklapanja predstečajne nagodbe određeno je rješenjem </w:t>
      </w:r>
      <w:r w:rsidR="0013272F">
        <w:t>ovog suda, broj gornji od  24</w:t>
      </w:r>
      <w:r w:rsidR="00531983">
        <w:t xml:space="preserve">. </w:t>
      </w:r>
      <w:r w:rsidR="0013272F">
        <w:t>srpnja</w:t>
      </w:r>
      <w:r w:rsidRPr="007D5BD2">
        <w:t xml:space="preserve"> 2017.g.</w:t>
      </w:r>
    </w:p>
    <w:p w:rsidRDefault="007D5BD2" w:rsidP="00AD7E5F" w:rsidR="007D5BD2">
      <w:pPr>
        <w:jc w:val="both"/>
      </w:pPr>
    </w:p>
    <w:p w:rsidRDefault="0013272F" w:rsidP="00AD7E5F" w:rsidR="0013272F">
      <w:pPr>
        <w:jc w:val="both"/>
      </w:pPr>
    </w:p>
    <w:p w:rsidRDefault="00AD7E5F" w:rsidP="00AD7E5F" w:rsidR="00AD7E5F">
      <w:pPr>
        <w:jc w:val="both"/>
      </w:pPr>
      <w:r>
        <w:t>O ročištu radi sklapanja predstečajne nagodbe dužnik i svi vjerovnici koji su prihvatili Plan financijskog restrukturiranja obaviješteni</w:t>
      </w:r>
      <w:r w:rsidR="00437BB0">
        <w:t xml:space="preserve"> su O</w:t>
      </w:r>
      <w:r>
        <w:t>glasom objavljenim na e-oglasnoj ploči suda</w:t>
      </w:r>
      <w:r w:rsidR="00EB4F83">
        <w:t xml:space="preserve"> </w:t>
      </w:r>
      <w:r w:rsidR="0013272F">
        <w:t>24.7</w:t>
      </w:r>
      <w:r w:rsidR="00EB4F83" w:rsidRPr="003C5D40">
        <w:t>.2017.</w:t>
      </w:r>
      <w:r w:rsidR="00EB4F83">
        <w:t xml:space="preserve"> te na web str</w:t>
      </w:r>
      <w:r w:rsidR="0013272F">
        <w:t>anicama FINA-e 31.7</w:t>
      </w:r>
      <w:r w:rsidR="00EB4F83">
        <w:t>.2017.</w:t>
      </w:r>
    </w:p>
    <w:p w:rsidRDefault="00AD7E5F" w:rsidP="00AD7E5F" w:rsidR="00AD7E5F">
      <w:pPr>
        <w:jc w:val="both"/>
      </w:pPr>
    </w:p>
    <w:p w:rsidRDefault="00AD7E5F" w:rsidP="003E15FE" w:rsidR="00A47382">
      <w:pPr>
        <w:jc w:val="both"/>
      </w:pPr>
      <w:r>
        <w:t xml:space="preserve">Utvrđuje se da je </w:t>
      </w:r>
      <w:r w:rsidR="007D5BD2">
        <w:t xml:space="preserve">rješenje o prihvaćanju </w:t>
      </w:r>
      <w:r w:rsidR="00D54740">
        <w:t xml:space="preserve">izmijenjenog </w:t>
      </w:r>
      <w:r w:rsidR="007D5BD2">
        <w:t>P</w:t>
      </w:r>
      <w:r w:rsidR="00EB4F83">
        <w:t>lan</w:t>
      </w:r>
      <w:r w:rsidR="007D5BD2">
        <w:t>a</w:t>
      </w:r>
      <w:r w:rsidR="00EB4F83">
        <w:t xml:space="preserve"> </w:t>
      </w:r>
      <w:r>
        <w:t>financijskog restrukturiranja</w:t>
      </w:r>
      <w:r w:rsidR="007D5BD2" w:rsidRPr="007D5BD2">
        <w:t xml:space="preserve"> FINA-e, RC Zagreb, </w:t>
      </w:r>
      <w:r w:rsidR="00474346" w:rsidRPr="00474346">
        <w:t>RC Zagreb, Nagodbeno vijeće ZG03, Klasa: UP-I/110/07/15-01/8444, Ur. Broj: 04-06-16-8444-89 od 26. kolovoza 2016., a koje je po</w:t>
      </w:r>
      <w:r w:rsidR="00474346">
        <w:t>stalo izvršno 14. srpnja 2017.,</w:t>
      </w:r>
      <w:r w:rsidR="00D54740">
        <w:t xml:space="preserve"> </w:t>
      </w:r>
      <w:r w:rsidR="007D5BD2">
        <w:t>s k</w:t>
      </w:r>
      <w:r w:rsidR="00D54740">
        <w:t xml:space="preserve">lauzulom izvršnosti </w:t>
      </w:r>
      <w:r w:rsidR="007D5BD2">
        <w:t>objavljeno</w:t>
      </w:r>
      <w:r>
        <w:t xml:space="preserve"> </w:t>
      </w:r>
      <w:r w:rsidR="00474346">
        <w:t>20</w:t>
      </w:r>
      <w:r w:rsidR="00531983">
        <w:t>.</w:t>
      </w:r>
      <w:r w:rsidR="00474346">
        <w:t>07.2017</w:t>
      </w:r>
      <w:r w:rsidR="007D5BD2">
        <w:t>.</w:t>
      </w:r>
      <w:r w:rsidR="00E34374">
        <w:t xml:space="preserve"> </w:t>
      </w:r>
      <w:r>
        <w:t xml:space="preserve">na web stranici FINA-e, </w:t>
      </w:r>
      <w:r w:rsidR="007D5BD2">
        <w:t xml:space="preserve">a </w:t>
      </w:r>
      <w:r>
        <w:t xml:space="preserve">odnosi </w:t>
      </w:r>
      <w:r w:rsidR="00D54740">
        <w:t xml:space="preserve">se </w:t>
      </w:r>
      <w:r>
        <w:t>na sve vjerovnike čije su tražbine utvrđene rješenjem FI</w:t>
      </w:r>
      <w:r w:rsidR="00A47382">
        <w:t xml:space="preserve">NA-e </w:t>
      </w:r>
      <w:r w:rsidR="00474346">
        <w:t xml:space="preserve">Klasa: UP - I/110/07/15-01/8444 Zagreb, Ur. br: 04-06-16-8444-75 od </w:t>
      </w:r>
      <w:r w:rsidR="00474346" w:rsidRPr="00474346">
        <w:t>20.07.2016</w:t>
      </w:r>
      <w:r w:rsidR="00474346">
        <w:t>.</w:t>
      </w:r>
      <w:r w:rsidR="00A47382">
        <w:t xml:space="preserve">         </w:t>
      </w:r>
    </w:p>
    <w:p w:rsidRDefault="00A47382" w:rsidP="003E15FE" w:rsidR="00A47382">
      <w:pPr>
        <w:jc w:val="both"/>
      </w:pPr>
      <w:r w:rsidRPr="00A47382">
        <w:t>Predmet današnjeg ročišta je glasovanje o predsteča</w:t>
      </w:r>
      <w:r w:rsidR="00C87A66">
        <w:t xml:space="preserve">jnoj nagodbi, a nakon što </w:t>
      </w:r>
      <w:r w:rsidRPr="00A47382">
        <w:t xml:space="preserve">su vjerovnici kod </w:t>
      </w:r>
      <w:r w:rsidR="00C87A66">
        <w:t>FINE prihvatili P</w:t>
      </w:r>
      <w:r w:rsidRPr="00A47382">
        <w:t>lan financijskog i operativnog restrukturiranja u otvorenom postupku predstečajne nagodbe</w:t>
      </w:r>
      <w:r w:rsidR="00C87A66">
        <w:t>,</w:t>
      </w:r>
      <w:r w:rsidRPr="00A47382">
        <w:t xml:space="preserve"> sukladno odredbama čl. 39. do 66. </w:t>
      </w:r>
      <w:r w:rsidR="00C87A66">
        <w:t>ZFPPN</w:t>
      </w:r>
      <w:r w:rsidRPr="00A47382">
        <w:t xml:space="preserve"> te nakon što je dužnik ovome sudu podnio prijedlog za sklapanje predstečajne nagod</w:t>
      </w:r>
      <w:r w:rsidR="00C87A66">
        <w:t>be sukladno odredbi čl. 66. ZFPP</w:t>
      </w:r>
      <w:r w:rsidRPr="00A47382">
        <w:t>N.</w:t>
      </w:r>
    </w:p>
    <w:p w:rsidRDefault="00A47382" w:rsidP="003E15FE" w:rsidR="00A47382">
      <w:pPr>
        <w:jc w:val="both"/>
      </w:pPr>
      <w:r>
        <w:t xml:space="preserve">              </w:t>
      </w:r>
    </w:p>
    <w:p w:rsidRDefault="00A47382" w:rsidP="003E15FE" w:rsidR="00A47382" w:rsidRPr="00A47382">
      <w:pPr>
        <w:jc w:val="both"/>
      </w:pPr>
      <w:r w:rsidRPr="00A47382">
        <w:t>Pravo glasa na današnjem ročištu imaj</w:t>
      </w:r>
      <w:r w:rsidR="00C87A66">
        <w:t>u, sukladno odredbi čl. 62. ZFPP</w:t>
      </w:r>
      <w:r w:rsidRPr="00A47382">
        <w:t>N, vjerovnici čije su tražbine utvrđene u postupku kod FINA-e, a temeljem odredbe čl. 66. s</w:t>
      </w:r>
      <w:r w:rsidR="00C87A66">
        <w:t>t. 9  ZFPP</w:t>
      </w:r>
      <w:r w:rsidRPr="00A47382">
        <w:t>N sud će rješenjem odobriti sklapanje predstečajne nagodbe</w:t>
      </w:r>
      <w:r w:rsidR="00C87A66">
        <w:t>,</w:t>
      </w:r>
      <w:r w:rsidRPr="00A47382">
        <w:t xml:space="preserve"> ako su na današnjem ročištu svoj pristanak dali dužnik i vjerovnici čije tražbine čine</w:t>
      </w:r>
      <w:r w:rsidR="00C87A66">
        <w:t xml:space="preserve"> potrebnu većinu iz čl. 63. ZFPP</w:t>
      </w:r>
      <w:r w:rsidRPr="00A47382">
        <w:t xml:space="preserve">N, a koji propisuje da je predstečajnu nagodbu moguće zaključiti samo ukoliko glasuju vjerovnici čije tražbine prelaze polovinu vrijednosti utvrđenih tražbina za svaku </w:t>
      </w:r>
      <w:r w:rsidR="00C87A66">
        <w:t>grupu vjerovnika iz čl. 62. ZFPP</w:t>
      </w:r>
      <w:r w:rsidRPr="00A47382">
        <w:t xml:space="preserve">N  ili ako za istu glasuju vjerovnici čije tražbine prelaze 2/3 vrijednosti svih utvrđenih tražbina, </w:t>
      </w:r>
      <w:r w:rsidR="006B4988">
        <w:t>time</w:t>
      </w:r>
      <w:r w:rsidRPr="00A47382">
        <w:t xml:space="preserve"> da će se smatrati da su protiv iste glasali vjerovnici koji imaju pravo glasa</w:t>
      </w:r>
      <w:r w:rsidR="006B4988">
        <w:t>,</w:t>
      </w:r>
      <w:r w:rsidRPr="00A47382">
        <w:t xml:space="preserve"> a nisu glas</w:t>
      </w:r>
      <w:r w:rsidR="00C87A66">
        <w:t>ovali sukladno čl. 63.st 3. ZFPP</w:t>
      </w:r>
      <w:r w:rsidRPr="00A47382">
        <w:t>N</w:t>
      </w:r>
      <w:r w:rsidR="00D54740">
        <w:t>.</w:t>
      </w:r>
      <w:r w:rsidRPr="00A47382">
        <w:t xml:space="preserve"> </w:t>
      </w:r>
    </w:p>
    <w:p w:rsidRDefault="00A47382" w:rsidP="00A47382" w:rsidR="00A47382">
      <w:pPr>
        <w:jc w:val="both"/>
      </w:pPr>
    </w:p>
    <w:p w:rsidRDefault="00437BB0" w:rsidP="00531983" w:rsidR="00531983">
      <w:pPr>
        <w:jc w:val="both"/>
      </w:pPr>
      <w:r>
        <w:t xml:space="preserve">Prije glasovanja </w:t>
      </w:r>
      <w:r w:rsidR="00A47382">
        <w:t>sud konstatira da j</w:t>
      </w:r>
      <w:r>
        <w:t xml:space="preserve">e uvidom u web stranice FINA-e </w:t>
      </w:r>
      <w:r w:rsidR="00A47382">
        <w:t xml:space="preserve">te u Rješenje o utvrđenim tražbinama nagodbenog vijeća FINA-e, utvrdio da ukupno utvrđene tražbine vjerovnika ovog dužnika iznose </w:t>
      </w:r>
      <w:r w:rsidR="00474346">
        <w:t>1.820.360,21</w:t>
      </w:r>
      <w:r w:rsidR="00711211">
        <w:t xml:space="preserve"> kn</w:t>
      </w:r>
      <w:r w:rsidR="00D54740">
        <w:t xml:space="preserve">, </w:t>
      </w:r>
      <w:r w:rsidR="00474346">
        <w:t>osporene tražbine</w:t>
      </w:r>
      <w:r w:rsidR="00D54740">
        <w:t xml:space="preserve"> </w:t>
      </w:r>
      <w:r w:rsidR="00474346">
        <w:t>iznose 66.552,02 kn</w:t>
      </w:r>
      <w:r w:rsidR="00531983">
        <w:t xml:space="preserve"> te </w:t>
      </w:r>
      <w:r w:rsidR="00D54740">
        <w:t xml:space="preserve">da </w:t>
      </w:r>
      <w:r w:rsidR="0077484E">
        <w:t xml:space="preserve">je </w:t>
      </w:r>
      <w:r w:rsidR="00531983">
        <w:t>ukupan izn</w:t>
      </w:r>
      <w:r w:rsidR="0077484E">
        <w:t xml:space="preserve">os prijavljenih tražbina </w:t>
      </w:r>
      <w:r w:rsidR="00474346">
        <w:t>1.565.103,51</w:t>
      </w:r>
      <w:r w:rsidR="00711211">
        <w:t xml:space="preserve"> kn</w:t>
      </w:r>
      <w:r w:rsidR="00531983">
        <w:t>.</w:t>
      </w:r>
    </w:p>
    <w:p w:rsidRDefault="00531983" w:rsidP="00531983" w:rsidR="00531983">
      <w:pPr>
        <w:jc w:val="both"/>
      </w:pPr>
    </w:p>
    <w:p w:rsidRDefault="00437BB0" w:rsidP="00531983" w:rsidR="00A47382">
      <w:pPr>
        <w:jc w:val="both"/>
      </w:pPr>
      <w:r>
        <w:t>Dužnik izlaže N</w:t>
      </w:r>
      <w:r w:rsidR="00A47382">
        <w:t>acrt predstečajne nagodb</w:t>
      </w:r>
      <w:r>
        <w:t>e, sukladno prijedlogu, a koji N</w:t>
      </w:r>
      <w:r w:rsidR="00A47382">
        <w:t>acrt je dostavio i elektronskim putem ovome sudu.</w:t>
      </w:r>
    </w:p>
    <w:p w:rsidRDefault="00A47382" w:rsidP="00A47382" w:rsidR="00A47382">
      <w:pPr>
        <w:jc w:val="both"/>
      </w:pPr>
    </w:p>
    <w:p w:rsidRDefault="00A47382" w:rsidP="00A47382" w:rsidR="00A47382">
      <w:pPr>
        <w:jc w:val="both"/>
      </w:pPr>
      <w:r>
        <w:t xml:space="preserve">Dužnik navodi da daje svoj pristanak na predloženu predstečajnu nagodbu. </w:t>
      </w:r>
    </w:p>
    <w:p w:rsidRDefault="00A47382" w:rsidP="00A47382" w:rsidR="00A47382">
      <w:pPr>
        <w:jc w:val="both"/>
      </w:pPr>
      <w:r>
        <w:tab/>
      </w:r>
    </w:p>
    <w:p w:rsidRDefault="00474346" w:rsidP="00A47382" w:rsidR="006B4988">
      <w:pPr>
        <w:jc w:val="both"/>
      </w:pPr>
      <w:r>
        <w:t>Prisutni vjerovnik izjašnjava se na način da daje</w:t>
      </w:r>
      <w:r w:rsidR="00A47382">
        <w:t xml:space="preserve"> svoj pristanak na predloženu predstečajnu nagodbu</w:t>
      </w:r>
      <w:r w:rsidR="006B4988">
        <w:t xml:space="preserve"> kako slijedi:</w:t>
      </w:r>
    </w:p>
    <w:p w:rsidRDefault="00711211" w:rsidP="00A47382" w:rsidR="00711211">
      <w:pPr>
        <w:jc w:val="both"/>
      </w:pPr>
    </w:p>
    <w:p w:rsidRDefault="00711211" w:rsidP="00711211" w:rsidR="00711211">
      <w:pPr>
        <w:jc w:val="both"/>
      </w:pPr>
      <w:r>
        <w:tab/>
      </w:r>
    </w:p>
    <w:p w:rsidRDefault="00474346" w:rsidP="00A47382" w:rsidR="00711211">
      <w:pPr>
        <w:jc w:val="both"/>
      </w:pPr>
      <w:r w:rsidRPr="00474346">
        <w:t>-</w:t>
      </w:r>
      <w:r w:rsidRPr="00474346">
        <w:tab/>
        <w:t>SBERBANK d.d. iz Zagreba, Varšavska 9, OIB: 78427478595</w:t>
      </w:r>
      <w:r>
        <w:t>, s tražbinom u iznosu od 1.224.633,29 kn</w:t>
      </w:r>
    </w:p>
    <w:p w:rsidRDefault="00711211" w:rsidP="00A47382" w:rsidR="00711211">
      <w:pPr>
        <w:jc w:val="both"/>
      </w:pPr>
    </w:p>
    <w:p w:rsidRDefault="00A47382" w:rsidP="00AD7E5F" w:rsidR="00474346">
      <w:pPr>
        <w:jc w:val="both"/>
      </w:pPr>
      <w:r>
        <w:t>Zbrajanjem glasova istih</w:t>
      </w:r>
      <w:r w:rsidR="00437BB0">
        <w:t>,</w:t>
      </w:r>
      <w:r>
        <w:t xml:space="preserve"> tj iznosa pojedinih utvrđenih tražbina vjerovnika koji su dali svoj pristanak</w:t>
      </w:r>
      <w:r w:rsidR="00437BB0">
        <w:t>, utvrđuje se da su</w:t>
      </w:r>
      <w:r>
        <w:t xml:space="preserve"> „ZA“ predložen</w:t>
      </w:r>
      <w:r w:rsidR="00437BB0">
        <w:t>u predstečajnu nagodbu glasovali vjerovnici čije tražbine</w:t>
      </w:r>
      <w:r>
        <w:t xml:space="preserve"> </w:t>
      </w:r>
      <w:r w:rsidR="00437BB0">
        <w:t>ukupno iznose</w:t>
      </w:r>
      <w:r w:rsidR="00DC0D74">
        <w:t xml:space="preserve"> </w:t>
      </w:r>
      <w:r w:rsidR="00474346" w:rsidRPr="00474346">
        <w:t>1.224.633,29 kn</w:t>
      </w:r>
      <w:r>
        <w:t xml:space="preserve">, a kako je uvidom na web stranicu FINE i uvidom u rješenje o utvrđenim tražbinama kod ovog dužnika utvrđeno da ukupno utvrđene tražbine </w:t>
      </w:r>
    </w:p>
    <w:p w:rsidRDefault="00474346" w:rsidP="00AD7E5F" w:rsidR="00474346">
      <w:pPr>
        <w:jc w:val="both"/>
      </w:pPr>
    </w:p>
    <w:p w:rsidRDefault="00474346" w:rsidP="00AD7E5F" w:rsidR="00474346">
      <w:pPr>
        <w:jc w:val="both"/>
      </w:pPr>
    </w:p>
    <w:p w:rsidRDefault="00A47382" w:rsidP="00AD7E5F" w:rsidR="00A47382">
      <w:pPr>
        <w:jc w:val="both"/>
      </w:pPr>
      <w:r>
        <w:t xml:space="preserve">vjerovnika iznose </w:t>
      </w:r>
      <w:r w:rsidR="00474346" w:rsidRPr="00474346">
        <w:t>1.820.360,21 kn</w:t>
      </w:r>
      <w:r w:rsidR="00711211">
        <w:t xml:space="preserve"> kn</w:t>
      </w:r>
      <w:r>
        <w:t xml:space="preserve">, to dakle proizlazi da je pristanak za predstečajnu nagodbu dalo </w:t>
      </w:r>
      <w:r w:rsidR="00474346">
        <w:t>67,27</w:t>
      </w:r>
      <w:r w:rsidR="00DC0D74">
        <w:t xml:space="preserve"> % </w:t>
      </w:r>
      <w:r>
        <w:t>vjerovnika</w:t>
      </w:r>
      <w:r w:rsidR="00BA7ACB">
        <w:t>.</w:t>
      </w:r>
    </w:p>
    <w:p w:rsidRDefault="00437BB0" w:rsidP="00AD7E5F" w:rsidR="00437BB0">
      <w:pPr>
        <w:jc w:val="both"/>
      </w:pPr>
    </w:p>
    <w:p w:rsidRDefault="00AD7E5F" w:rsidP="00AD7E5F" w:rsidR="00BA7ACB">
      <w:pPr>
        <w:jc w:val="both"/>
      </w:pPr>
      <w:r>
        <w:t>Utvrđuje se</w:t>
      </w:r>
      <w:r w:rsidR="00437BB0">
        <w:t>, stoga,</w:t>
      </w:r>
      <w:r>
        <w:t xml:space="preserve"> da su pristanak za sklapanje predstečajne nagodbe dali dužnik  i vjerovnici koji su prihvatili Plan financijskog restrukturiranja, a čije tražbine prelaze 2/3 vrij</w:t>
      </w:r>
      <w:r w:rsidR="00BA7ACB">
        <w:t>ednosti svih utvrđenih tražbina.</w:t>
      </w:r>
      <w:r>
        <w:t xml:space="preserve"> </w:t>
      </w:r>
    </w:p>
    <w:p w:rsidRDefault="00BA7ACB" w:rsidP="00AD7E5F" w:rsidR="00BA7ACB">
      <w:pPr>
        <w:jc w:val="both"/>
      </w:pPr>
    </w:p>
    <w:p w:rsidRDefault="003C5D40" w:rsidP="00AD7E5F" w:rsidR="003C5D40">
      <w:pPr>
        <w:jc w:val="both"/>
      </w:pPr>
    </w:p>
    <w:p w:rsidRDefault="004434F8" w:rsidP="00AD7E5F" w:rsidR="00AD7E5F">
      <w:pPr>
        <w:jc w:val="both"/>
      </w:pPr>
      <w:r>
        <w:t>S</w:t>
      </w:r>
      <w:r w:rsidR="00AD7E5F">
        <w:t xml:space="preserve">udac donosi i javno objavljuje </w:t>
      </w:r>
    </w:p>
    <w:p w:rsidRDefault="00AD7E5F" w:rsidP="00AD7E5F" w:rsidR="00AD7E5F">
      <w:pPr>
        <w:jc w:val="both"/>
      </w:pPr>
      <w:r>
        <w:t xml:space="preserve"> </w:t>
      </w:r>
    </w:p>
    <w:p w:rsidRDefault="00BA7ACB" w:rsidP="00AD7E5F" w:rsidR="00AD7E5F">
      <w:pPr>
        <w:jc w:val="both"/>
      </w:pPr>
      <w:r>
        <w:t xml:space="preserve">                                                                      </w:t>
      </w:r>
      <w:r w:rsidR="00AD7E5F">
        <w:t>r j e š e n j e</w:t>
      </w:r>
    </w:p>
    <w:p w:rsidRDefault="00AD7E5F" w:rsidP="00AD7E5F" w:rsidR="00AD7E5F">
      <w:pPr>
        <w:jc w:val="both"/>
      </w:pPr>
    </w:p>
    <w:p w:rsidRDefault="00AD7E5F" w:rsidP="00AD7E5F" w:rsidR="00AD7E5F">
      <w:pPr>
        <w:jc w:val="both"/>
      </w:pPr>
      <w:r>
        <w:t xml:space="preserve">Odobrava se sklapanje predstečajne nagodbe u postupku nad </w:t>
      </w:r>
      <w:r w:rsidR="00474346" w:rsidRPr="00474346">
        <w:t>SVESA NATURA d.o.o., Ivanec Bistranski, Ivana Pintarića 29, OIB: 85557588753</w:t>
      </w:r>
      <w:r w:rsidR="00BA7ACB">
        <w:t>.</w:t>
      </w:r>
      <w:r>
        <w:t xml:space="preserve"> </w:t>
      </w:r>
    </w:p>
    <w:p w:rsidRDefault="00AD7E5F" w:rsidP="00101B9E" w:rsidR="00AD7E5F">
      <w:pPr>
        <w:jc w:val="both"/>
      </w:pPr>
    </w:p>
    <w:p w:rsidRDefault="00BA7ACB" w:rsidP="00BA7ACB" w:rsidR="00817035">
      <w:pPr>
        <w:widowControl w:val="false"/>
        <w:autoSpaceDE w:val="false"/>
        <w:autoSpaceDN w:val="false"/>
        <w:adjustRightInd w:val="false"/>
        <w:spacing w:after="80"/>
        <w:ind w:left="360"/>
        <w:rPr>
          <w:rFonts w:cs="Tahoma"/>
        </w:rPr>
      </w:pPr>
      <w:r>
        <w:t xml:space="preserve">                                                                </w:t>
      </w:r>
      <w:r w:rsidR="00817035">
        <w:rPr>
          <w:rFonts w:cs="Tahoma"/>
        </w:rPr>
        <w:t>Obrazloženje</w:t>
      </w:r>
    </w:p>
    <w:p w:rsidRDefault="00817035" w:rsidP="00817035" w:rsidR="00817035">
      <w:pPr>
        <w:widowControl w:val="false"/>
        <w:autoSpaceDE w:val="false"/>
        <w:autoSpaceDN w:val="false"/>
        <w:adjustRightInd w:val="false"/>
        <w:spacing w:after="80"/>
        <w:ind w:firstLine="360"/>
        <w:jc w:val="both"/>
        <w:rPr>
          <w:rFonts w:cs="Tahoma"/>
        </w:rPr>
      </w:pPr>
      <w:r>
        <w:rPr>
          <w:rFonts w:cs="Tahoma"/>
        </w:rPr>
        <w:t>Kako su u kon</w:t>
      </w:r>
      <w:r w:rsidR="00437BB0">
        <w:rPr>
          <w:rFonts w:cs="Tahoma"/>
        </w:rPr>
        <w:t xml:space="preserve">kretnom slučaju za prihvaćanje </w:t>
      </w:r>
      <w:r w:rsidR="007F26BC">
        <w:rPr>
          <w:rFonts w:cs="Tahoma"/>
        </w:rPr>
        <w:t xml:space="preserve">izmijenjenog </w:t>
      </w:r>
      <w:r w:rsidR="00437BB0">
        <w:rPr>
          <w:rFonts w:cs="Tahoma"/>
        </w:rPr>
        <w:t>P</w:t>
      </w:r>
      <w:r>
        <w:rPr>
          <w:rFonts w:cs="Tahoma"/>
        </w:rPr>
        <w:t>lana financijskog restrukturir</w:t>
      </w:r>
      <w:r w:rsidR="00BA7ACB">
        <w:rPr>
          <w:rFonts w:cs="Tahoma"/>
        </w:rPr>
        <w:t>anja svoj pristanak dali dužnik</w:t>
      </w:r>
      <w:r>
        <w:rPr>
          <w:rFonts w:cs="Tahoma"/>
        </w:rPr>
        <w:t xml:space="preserve"> te vjerovnici čije tražbine iznose</w:t>
      </w:r>
      <w:r w:rsidR="00474346">
        <w:rPr>
          <w:rFonts w:cs="Tahoma"/>
        </w:rPr>
        <w:t xml:space="preserve"> </w:t>
      </w:r>
      <w:r w:rsidR="00474346" w:rsidRPr="00474346">
        <w:rPr>
          <w:rFonts w:cs="Tahoma"/>
        </w:rPr>
        <w:t>1.224.633,29</w:t>
      </w:r>
      <w:r>
        <w:rPr>
          <w:rFonts w:cs="Tahoma"/>
        </w:rPr>
        <w:t xml:space="preserve"> </w:t>
      </w:r>
      <w:r w:rsidR="00711211" w:rsidRPr="00711211">
        <w:rPr>
          <w:rFonts w:cs="Tahoma"/>
        </w:rPr>
        <w:t>kn</w:t>
      </w:r>
      <w:r w:rsidR="00437BB0">
        <w:rPr>
          <w:rFonts w:cs="Tahoma"/>
        </w:rPr>
        <w:t>,</w:t>
      </w:r>
      <w:r>
        <w:rPr>
          <w:rFonts w:cs="Tahoma"/>
        </w:rPr>
        <w:t xml:space="preserve"> što predstavlja više od 2/3 ukupno utvrđenih tražb</w:t>
      </w:r>
      <w:r w:rsidR="00437BB0">
        <w:rPr>
          <w:rFonts w:cs="Tahoma"/>
        </w:rPr>
        <w:t>ina</w:t>
      </w:r>
      <w:r>
        <w:rPr>
          <w:rFonts w:cs="Tahoma"/>
        </w:rPr>
        <w:t xml:space="preserve"> te kako je sadržaj predložene nagodbe u skladu s općim pravilima o sudskoj nagodbi, a u bitnim sastojci</w:t>
      </w:r>
      <w:r w:rsidR="00437BB0">
        <w:rPr>
          <w:rFonts w:cs="Tahoma"/>
        </w:rPr>
        <w:t>ma je odgovarajući prihvaćenom P</w:t>
      </w:r>
      <w:r>
        <w:rPr>
          <w:rFonts w:cs="Tahoma"/>
        </w:rPr>
        <w:t>lanu financijskog i operativnog restrukturiranja, to je</w:t>
      </w:r>
      <w:r w:rsidR="00BA7ACB">
        <w:rPr>
          <w:rFonts w:cs="Tahoma"/>
        </w:rPr>
        <w:t>,</w:t>
      </w:r>
      <w:r>
        <w:rPr>
          <w:rFonts w:cs="Tahoma"/>
        </w:rPr>
        <w:t xml:space="preserve"> temeljem članka 66. stavak 9</w:t>
      </w:r>
      <w:r w:rsidR="00C87A66">
        <w:rPr>
          <w:rFonts w:cs="Tahoma"/>
        </w:rPr>
        <w:t xml:space="preserve">., u vezi članka 63. stavak 2. </w:t>
      </w:r>
      <w:r>
        <w:t xml:space="preserve">Zakona o financijskom poslovanju i predstečajnoj nagodbi  </w:t>
      </w:r>
      <w:r w:rsidR="00C87A66">
        <w:t xml:space="preserve">(NN 108/12., 81/13. i 112/13), </w:t>
      </w:r>
      <w:r>
        <w:t xml:space="preserve">sud donio rješenje kojim odobrava sklapanje naprijed navedene predstečajne nagodbe </w:t>
      </w:r>
    </w:p>
    <w:p w:rsidRDefault="00817035" w:rsidP="00817035" w:rsidR="00817035">
      <w:pPr>
        <w:widowControl w:val="false"/>
        <w:autoSpaceDE w:val="false"/>
        <w:autoSpaceDN w:val="false"/>
        <w:adjustRightInd w:val="false"/>
        <w:spacing w:after="80"/>
        <w:ind w:left="360"/>
        <w:jc w:val="both"/>
        <w:rPr>
          <w:rFonts w:cs="Tahoma"/>
        </w:rPr>
      </w:pPr>
    </w:p>
    <w:p w:rsidRDefault="00817035" w:rsidP="00817035" w:rsidR="00817035">
      <w:pPr>
        <w:jc w:val="both"/>
      </w:pPr>
      <w:r>
        <w:t>UPUTA O PRAVNOM LIJEKU:</w:t>
      </w:r>
    </w:p>
    <w:p w:rsidRDefault="00817035" w:rsidP="00817035" w:rsidR="00817035">
      <w:pPr>
        <w:jc w:val="both"/>
      </w:pPr>
      <w:r>
        <w:t xml:space="preserve">Protiv ovog rješenja kojim sud dopušta sklapanje predstečajne nagodbe može se izjaviti žalba Visokom trgovačkom sudu Republike Hrvatske, u roku od 8 dana  Žalba se podnosi putem ovog suda u tri primjerka. </w:t>
      </w:r>
    </w:p>
    <w:p w:rsidRDefault="00817035" w:rsidP="00817035" w:rsidR="00817035">
      <w:pPr>
        <w:jc w:val="right"/>
        <w:rPr>
          <w:rFonts w:cs="Tahoma"/>
        </w:rPr>
      </w:pPr>
      <w:r>
        <w:rPr>
          <w:rFonts w:cs="Tahoma"/>
        </w:rPr>
        <w:t>Sudac:</w:t>
      </w:r>
    </w:p>
    <w:p w:rsidRDefault="00BA7ACB" w:rsidP="00817035" w:rsidR="00817035">
      <w:pPr>
        <w:jc w:val="right"/>
        <w:rPr>
          <w:rFonts w:cs="Tahoma"/>
        </w:rPr>
      </w:pPr>
      <w:r>
        <w:rPr>
          <w:rFonts w:cs="Tahoma"/>
        </w:rPr>
        <w:t>Vesna Sremac Šoštar</w:t>
      </w:r>
    </w:p>
    <w:p w:rsidRDefault="0013272F" w:rsidP="00817035" w:rsidR="0013272F">
      <w:pPr>
        <w:widowControl w:val="false"/>
        <w:autoSpaceDE w:val="false"/>
        <w:autoSpaceDN w:val="false"/>
        <w:adjustRightInd w:val="false"/>
        <w:spacing w:after="80"/>
        <w:jc w:val="both"/>
        <w:rPr>
          <w:rFonts w:cs="Tahoma"/>
        </w:rPr>
      </w:pPr>
    </w:p>
    <w:p w:rsidRDefault="00474346" w:rsidP="00817035" w:rsidR="00474346">
      <w:pPr>
        <w:widowControl w:val="false"/>
        <w:autoSpaceDE w:val="false"/>
        <w:autoSpaceDN w:val="false"/>
        <w:adjustRightInd w:val="false"/>
        <w:spacing w:after="80"/>
        <w:jc w:val="both"/>
        <w:rPr>
          <w:rFonts w:cs="Tahoma"/>
        </w:rPr>
      </w:pPr>
    </w:p>
    <w:p w:rsidRDefault="00BA7ACB" w:rsidP="00817035" w:rsidR="00BA7ACB">
      <w:pPr>
        <w:widowControl w:val="false"/>
        <w:autoSpaceDE w:val="false"/>
        <w:autoSpaceDN w:val="false"/>
        <w:adjustRightInd w:val="false"/>
        <w:spacing w:after="80"/>
        <w:jc w:val="both"/>
        <w:rPr>
          <w:rFonts w:cs="Tahoma"/>
        </w:rPr>
      </w:pPr>
    </w:p>
    <w:p w:rsidRDefault="00BA7ACB" w:rsidP="00817035" w:rsidR="00817035">
      <w:pPr>
        <w:widowControl w:val="false"/>
        <w:autoSpaceDE w:val="false"/>
        <w:autoSpaceDN w:val="false"/>
        <w:adjustRightInd w:val="false"/>
        <w:spacing w:after="80"/>
        <w:jc w:val="both"/>
        <w:rPr>
          <w:rFonts w:cs="Tahoma"/>
        </w:rPr>
      </w:pPr>
      <w:r>
        <w:rPr>
          <w:rFonts w:cs="Tahoma"/>
        </w:rPr>
        <w:t xml:space="preserve">Nakon toga stranke pristupaju potpisivanju </w:t>
      </w:r>
      <w:r w:rsidR="00817035">
        <w:rPr>
          <w:rFonts w:cs="Tahoma"/>
        </w:rPr>
        <w:t xml:space="preserve">sljedeće: </w:t>
      </w:r>
    </w:p>
    <w:p w:rsidRDefault="00817035" w:rsidP="00817035" w:rsidR="00817035">
      <w:pPr>
        <w:widowControl w:val="false"/>
        <w:autoSpaceDE w:val="false"/>
        <w:autoSpaceDN w:val="false"/>
        <w:adjustRightInd w:val="false"/>
        <w:spacing w:after="80"/>
        <w:jc w:val="both"/>
        <w:rPr>
          <w:rFonts w:cs="Tahoma"/>
        </w:rPr>
      </w:pPr>
    </w:p>
    <w:p w:rsidRDefault="00817035" w:rsidP="00817035" w:rsidR="00817035" w:rsidRPr="00AC7C5C">
      <w:pPr>
        <w:widowControl w:val="false"/>
        <w:autoSpaceDE w:val="false"/>
        <w:autoSpaceDN w:val="false"/>
        <w:adjustRightInd w:val="false"/>
        <w:spacing w:after="80"/>
        <w:jc w:val="center"/>
        <w:outlineLvl w:val="0"/>
        <w:rPr>
          <w:rFonts w:cs="Tahoma"/>
          <w:b/>
        </w:rPr>
      </w:pPr>
      <w:r w:rsidRPr="00AC7C5C">
        <w:rPr>
          <w:rFonts w:cs="Tahoma"/>
          <w:b/>
        </w:rPr>
        <w:t>PREDSTEČAJN</w:t>
      </w:r>
      <w:r>
        <w:rPr>
          <w:rFonts w:cs="Tahoma"/>
          <w:b/>
        </w:rPr>
        <w:t>E</w:t>
      </w:r>
      <w:r w:rsidRPr="00AC7C5C">
        <w:rPr>
          <w:rFonts w:cs="Tahoma"/>
          <w:b/>
        </w:rPr>
        <w:t xml:space="preserve"> NAGODB</w:t>
      </w:r>
      <w:r>
        <w:rPr>
          <w:rFonts w:cs="Tahoma"/>
          <w:b/>
        </w:rPr>
        <w:t>E</w:t>
      </w:r>
    </w:p>
    <w:p w:rsidRDefault="00817035" w:rsidP="00817035" w:rsidR="00817035" w:rsidRPr="00AC7C5C">
      <w:pPr>
        <w:widowControl w:val="false"/>
        <w:autoSpaceDE w:val="false"/>
        <w:autoSpaceDN w:val="false"/>
        <w:adjustRightInd w:val="false"/>
        <w:spacing w:after="80"/>
        <w:jc w:val="both"/>
        <w:rPr>
          <w:rFonts w:cs="Tahoma"/>
          <w:b/>
          <w:highlight w:val="yellow"/>
        </w:rPr>
      </w:pPr>
    </w:p>
    <w:p w:rsidRDefault="001D56F9" w:rsidP="006E6B7E" w:rsidR="001D56F9">
      <w:pPr>
        <w:ind w:firstLine="720"/>
        <w:jc w:val="both"/>
        <w:rPr>
          <w:rFonts w:cs="Tahoma"/>
        </w:rPr>
      </w:pPr>
    </w:p>
    <w:p w:rsidRDefault="00101B9E" w:rsidP="00101B9E" w:rsidR="00101B9E">
      <w:r w:rsidRPr="004259B2">
        <w:t xml:space="preserve">I     Odobrava se predstečajna nagodba sklopljena između dužnika </w:t>
      </w:r>
      <w:r w:rsidR="00474346" w:rsidRPr="00474346">
        <w:t>SVESA NATURA d.o.o., Ivanec Bistranski, Ivana Pintarića 29, OIB: 85557588753</w:t>
      </w:r>
      <w:r w:rsidR="007F26BC">
        <w:t xml:space="preserve"> </w:t>
      </w:r>
      <w:r w:rsidRPr="004259B2">
        <w:t xml:space="preserve">i </w:t>
      </w:r>
      <w:r w:rsidR="007F26BC">
        <w:t>vjerovnika predstečajne nagodbe.</w:t>
      </w:r>
    </w:p>
    <w:p w:rsidRDefault="00133CAE" w:rsidP="00133CAE" w:rsidR="00133CAE" w:rsidRPr="0017719E"/>
    <w:p w:rsidRDefault="00133CAE" w:rsidP="00133CAE" w:rsidR="007F26BC">
      <w:r w:rsidRPr="0017719E">
        <w:t>Predlagatelj-dužnik, Svesa natura d.o.o., Ivana Pintarića 29 10290, Ivanec Bistranski 10 290 Zaprešić, OIB 85557588753</w:t>
      </w:r>
      <w:r>
        <w:t xml:space="preserve"> </w:t>
      </w:r>
      <w:r w:rsidRPr="0017719E">
        <w:t xml:space="preserve">zastupan  po članu Uprave Sven Opravić, </w:t>
      </w:r>
      <w:r>
        <w:t xml:space="preserve"> sukladno čl. 60</w:t>
      </w:r>
      <w:r w:rsidRPr="0017719E">
        <w:t xml:space="preserve">. Zakona o </w:t>
      </w:r>
    </w:p>
    <w:p w:rsidRDefault="007F26BC" w:rsidP="00133CAE" w:rsidR="007F26BC"/>
    <w:p w:rsidRDefault="007F26BC" w:rsidP="00133CAE" w:rsidR="007F26BC"/>
    <w:p w:rsidRDefault="007F26BC" w:rsidP="00133CAE" w:rsidR="007F26BC"/>
    <w:p w:rsidRDefault="00133CAE" w:rsidP="00133CAE" w:rsidR="00133CAE" w:rsidRPr="0017719E">
      <w:r w:rsidRPr="0017719E">
        <w:t>financijskom poslovanju  i predstečajnoj nagodbi  u roku određenom Zakonom, nadležnom Trgovačkom sudu  u Zagrebu podnosi</w:t>
      </w:r>
      <w:r>
        <w:t xml:space="preserve">  P</w:t>
      </w:r>
      <w:r w:rsidRPr="0017719E">
        <w:t>rijedlog za sklapanje  predstečajne nagodbe.</w:t>
      </w:r>
    </w:p>
    <w:p w:rsidRDefault="00133CAE" w:rsidP="00133CAE" w:rsidR="00133CAE" w:rsidRPr="0017719E"/>
    <w:p w:rsidRDefault="00133CAE" w:rsidP="00133CAE" w:rsidR="00133CAE">
      <w:pPr>
        <w:autoSpaceDE w:val="false"/>
        <w:autoSpaceDN w:val="false"/>
        <w:adjustRightInd w:val="false"/>
        <w:jc w:val="both"/>
      </w:pPr>
      <w:r w:rsidRPr="0017719E">
        <w:t>U postupku predstečajne nagodbe</w:t>
      </w:r>
      <w:r>
        <w:t xml:space="preserve"> koji </w:t>
      </w:r>
      <w:r w:rsidRPr="0017719E">
        <w:t xml:space="preserve">vodio pred FINANCIJSKOM AGENCIJOM, Regionalni centar: Zagreb, Nagodbeno vijeće ZG03 nad dužnikom SVESA NATURA d.o.o. za proizvodnju, trgovinu i usluge, OIB 85557588753, Ivana Pintarića 29, Ivanec Bistranski 10290 (dalje: dužnik SVESA NATURA d.o.o.), na ročištu 26.08.2016.g. proveddeno je glasanje o </w:t>
      </w:r>
      <w:r w:rsidRPr="0017719E">
        <w:rPr>
          <w:i/>
        </w:rPr>
        <w:t>Planu financijskog restrukturiranja</w:t>
      </w:r>
      <w:r w:rsidRPr="0017719E">
        <w:t xml:space="preserve"> dužnika SVESA NATURA d.o.o.</w:t>
      </w:r>
      <w:r>
        <w:t>,</w:t>
      </w:r>
      <w:r w:rsidRPr="0017719E">
        <w:t>.  u FINA-i, Regionalni centar Zagreb (daljer: Plan financijskog restrukturiranja), o čemu je 26.08.2016.g., FINANCIJSKA AGENCIJA, Regionalni centar: Zagreb, Nagodbeno vijeće: ZG03, na temelju članka 60. st. 13. Zakona o financijskom poslovanju i prtedstečajnoj nagodbi (NN 108/12, 144/12 i 81/13, dalje: Zakon) donijelo rješenje: Klasa: UP - I/110/07/15-01/8444 Ur. br.: 04-06-16-8444-89 (dalje: Rješenje) kojim je utvrdilo da je na to</w:t>
      </w:r>
      <w:r>
        <w:t>m ročištu postignuta potrebna v</w:t>
      </w:r>
      <w:r w:rsidRPr="0017719E">
        <w:t>ećina za prihvaćanje Plana financijskog restrukturiranja, tako da su za dužnikov Plan financijskog restrukturiranja glasali vjerovnici čije tražbine prelaze dvije trećine vrijednosti svih utvrđenih tražbina svih vjerovnika i to:</w:t>
      </w:r>
    </w:p>
    <w:p w:rsidRDefault="00133CAE" w:rsidP="00133CAE" w:rsidR="00133CAE" w:rsidRPr="0017719E">
      <w:pPr>
        <w:autoSpaceDE w:val="false"/>
        <w:autoSpaceDN w:val="false"/>
        <w:adjustRightInd w:val="false"/>
        <w:jc w:val="both"/>
      </w:pPr>
    </w:p>
    <w:p w:rsidRDefault="00133CAE" w:rsidP="00133CAE" w:rsidR="00133CAE" w:rsidRPr="0017719E">
      <w:pPr>
        <w:autoSpaceDE w:val="false"/>
        <w:autoSpaceDN w:val="false"/>
        <w:adjustRightInd w:val="false"/>
        <w:rPr>
          <w:b/>
          <w:bCs/>
        </w:rPr>
      </w:pPr>
    </w:p>
    <w:tbl>
      <w:tblPr>
        <w:tblW w:type="dxa" w:w="9400"/>
        <w:tblInd w:type="dxa" w:w="93"/>
        <w:tblLook w:val="04A0" w:noVBand="1" w:noHBand="0" w:lastColumn="0" w:firstColumn="1" w:lastRow="0" w:firstRow="1"/>
      </w:tblPr>
      <w:tblGrid>
        <w:gridCol w:w="760"/>
        <w:gridCol w:w="1700"/>
        <w:gridCol w:w="6940"/>
      </w:tblGrid>
      <w:tr w:rsidTr="004B7368" w:rsidR="00133CAE" w:rsidRPr="009D3484">
        <w:trPr>
          <w:trHeight w:val="900"/>
        </w:trPr>
        <w:tc>
          <w:tcPr>
            <w:tcW w:type="dxa" w:w="760"/>
            <w:tcBorders>
              <w:top w:space="0" w:sz="4" w:color="auto" w:val="single"/>
              <w:left w:space="0" w:sz="4" w:color="auto" w:val="single"/>
              <w:bottom w:space="0" w:sz="6" w:color="auto" w:val="double"/>
              <w:right w:space="0" w:sz="4" w:color="auto" w:val="single"/>
            </w:tcBorders>
            <w:shd w:fill="D9D9D9" w:color="000000" w:val="clear"/>
            <w:noWrap/>
            <w:vAlign w:val="center"/>
            <w:hideMark/>
          </w:tcPr>
          <w:p w:rsidRDefault="00133CAE" w:rsidP="004B7368" w:rsidR="00133CAE" w:rsidRPr="009D3484">
            <w:pPr>
              <w:jc w:val="center"/>
              <w:rPr>
                <w:rFonts w:cs="Arial" w:hAnsi="Arial" w:ascii="Arial"/>
                <w:b/>
                <w:bCs/>
                <w:color w:val="000000"/>
                <w:sz w:val="20"/>
                <w:szCs w:val="20"/>
              </w:rPr>
            </w:pPr>
            <w:r w:rsidRPr="009D3484">
              <w:rPr>
                <w:rFonts w:cs="Arial" w:hAnsi="Arial" w:ascii="Arial"/>
                <w:b/>
                <w:bCs/>
                <w:color w:val="000000"/>
                <w:sz w:val="20"/>
                <w:szCs w:val="20"/>
              </w:rPr>
              <w:t>RBR</w:t>
            </w:r>
          </w:p>
        </w:tc>
        <w:tc>
          <w:tcPr>
            <w:tcW w:type="dxa" w:w="1700"/>
            <w:tcBorders>
              <w:top w:space="0" w:sz="4" w:color="auto" w:val="single"/>
              <w:left w:val="nil"/>
              <w:bottom w:space="0" w:sz="6" w:color="auto" w:val="double"/>
              <w:right w:space="0" w:sz="4" w:color="auto" w:val="single"/>
            </w:tcBorders>
            <w:shd w:fill="D9D9D9" w:color="000000" w:val="clear"/>
            <w:noWrap/>
            <w:vAlign w:val="center"/>
            <w:hideMark/>
          </w:tcPr>
          <w:p w:rsidRDefault="00133CAE" w:rsidP="004B7368" w:rsidR="00133CAE" w:rsidRPr="009D3484">
            <w:pPr>
              <w:jc w:val="center"/>
              <w:rPr>
                <w:rFonts w:cs="Arial" w:hAnsi="Arial" w:ascii="Arial"/>
                <w:b/>
                <w:bCs/>
                <w:color w:val="000000"/>
                <w:sz w:val="20"/>
                <w:szCs w:val="20"/>
              </w:rPr>
            </w:pPr>
            <w:r w:rsidRPr="009D3484">
              <w:rPr>
                <w:rFonts w:cs="Arial" w:hAnsi="Arial" w:ascii="Arial"/>
                <w:b/>
                <w:bCs/>
                <w:color w:val="000000"/>
                <w:sz w:val="20"/>
                <w:szCs w:val="20"/>
              </w:rPr>
              <w:t>OIB</w:t>
            </w:r>
          </w:p>
        </w:tc>
        <w:tc>
          <w:tcPr>
            <w:tcW w:type="dxa" w:w="6940"/>
            <w:tcBorders>
              <w:top w:space="0" w:sz="4" w:color="auto" w:val="single"/>
              <w:left w:val="nil"/>
              <w:bottom w:space="0" w:sz="6" w:color="auto" w:val="double"/>
              <w:right w:space="0" w:sz="4" w:color="auto" w:val="single"/>
            </w:tcBorders>
            <w:shd w:fill="D9D9D9" w:color="000000" w:val="clear"/>
            <w:vAlign w:val="center"/>
            <w:hideMark/>
          </w:tcPr>
          <w:p w:rsidRDefault="00133CAE" w:rsidP="004B7368" w:rsidR="00133CAE" w:rsidRPr="009D3484">
            <w:pPr>
              <w:jc w:val="center"/>
              <w:rPr>
                <w:rFonts w:cs="Arial" w:hAnsi="Arial" w:ascii="Arial"/>
                <w:b/>
                <w:bCs/>
                <w:color w:val="000000"/>
                <w:sz w:val="20"/>
                <w:szCs w:val="20"/>
              </w:rPr>
            </w:pPr>
            <w:r w:rsidRPr="009D3484">
              <w:rPr>
                <w:rFonts w:cs="Arial" w:hAnsi="Arial" w:ascii="Arial"/>
                <w:b/>
                <w:bCs/>
                <w:color w:val="000000"/>
                <w:sz w:val="20"/>
                <w:szCs w:val="20"/>
              </w:rPr>
              <w:t>NAZIV VJEROVNIKA</w:t>
            </w:r>
          </w:p>
        </w:tc>
      </w:tr>
      <w:tr w:rsidTr="004B7368" w:rsidR="00133CAE" w:rsidRPr="009D3484">
        <w:trPr>
          <w:trHeight w:val="300"/>
        </w:trPr>
        <w:tc>
          <w:tcPr>
            <w:tcW w:type="dxa" w:w="76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9D3484">
            <w:pPr>
              <w:jc w:val="center"/>
              <w:rPr>
                <w:rFonts w:cs="Arial" w:hAnsi="Arial" w:ascii="Arial"/>
                <w:color w:val="000000"/>
                <w:sz w:val="20"/>
                <w:szCs w:val="20"/>
              </w:rPr>
            </w:pPr>
            <w:r>
              <w:rPr>
                <w:rFonts w:cs="Arial" w:hAnsi="Arial" w:ascii="Arial"/>
                <w:color w:val="000000"/>
                <w:sz w:val="20"/>
                <w:szCs w:val="20"/>
              </w:rPr>
              <w:t>1</w:t>
            </w:r>
          </w:p>
        </w:tc>
        <w:tc>
          <w:tcPr>
            <w:tcW w:type="dxa" w:w="1700"/>
            <w:tcBorders>
              <w:top w:val="nil"/>
              <w:left w:val="nil"/>
              <w:bottom w:space="0" w:sz="4" w:color="auto" w:val="single"/>
              <w:right w:space="0" w:sz="4" w:color="auto" w:val="single"/>
            </w:tcBorders>
            <w:shd w:fill="auto" w:color="auto" w:val="clear"/>
            <w:noWrap/>
            <w:vAlign w:val="center"/>
            <w:hideMark/>
          </w:tcPr>
          <w:p w:rsidRDefault="00133CAE" w:rsidP="004B7368" w:rsidR="00133CAE" w:rsidRPr="009D3484">
            <w:pPr>
              <w:jc w:val="center"/>
              <w:rPr>
                <w:rFonts w:cs="Arial" w:hAnsi="Arial" w:ascii="Arial"/>
                <w:color w:val="000000"/>
                <w:sz w:val="20"/>
                <w:szCs w:val="20"/>
              </w:rPr>
            </w:pPr>
            <w:r w:rsidRPr="009D3484">
              <w:rPr>
                <w:rFonts w:cs="Arial" w:hAnsi="Arial" w:ascii="Arial"/>
                <w:color w:val="000000"/>
                <w:sz w:val="20"/>
                <w:szCs w:val="20"/>
              </w:rPr>
              <w:t>78427478595</w:t>
            </w:r>
          </w:p>
        </w:tc>
        <w:tc>
          <w:tcPr>
            <w:tcW w:type="dxa" w:w="6940"/>
            <w:tcBorders>
              <w:top w:val="nil"/>
              <w:left w:val="nil"/>
              <w:bottom w:space="0" w:sz="4" w:color="auto" w:val="single"/>
              <w:right w:space="0" w:sz="4" w:color="auto" w:val="single"/>
            </w:tcBorders>
            <w:shd w:fill="auto" w:color="auto" w:val="clear"/>
            <w:vAlign w:val="center"/>
            <w:hideMark/>
          </w:tcPr>
          <w:p w:rsidRDefault="00133CAE" w:rsidP="004B7368" w:rsidR="00133CAE" w:rsidRPr="009D3484">
            <w:pPr>
              <w:rPr>
                <w:rFonts w:cs="Arial" w:hAnsi="Arial" w:ascii="Arial"/>
                <w:color w:val="000000"/>
                <w:sz w:val="20"/>
                <w:szCs w:val="20"/>
              </w:rPr>
            </w:pPr>
            <w:r w:rsidRPr="009D3484">
              <w:rPr>
                <w:rFonts w:cs="Arial" w:hAnsi="Arial" w:ascii="Arial"/>
                <w:color w:val="000000"/>
                <w:sz w:val="20"/>
                <w:szCs w:val="20"/>
              </w:rPr>
              <w:t>Sberbank d.d.</w:t>
            </w:r>
            <w:r>
              <w:rPr>
                <w:rFonts w:cs="Arial" w:hAnsi="Arial" w:ascii="Arial"/>
                <w:color w:val="000000"/>
                <w:sz w:val="20"/>
                <w:szCs w:val="20"/>
              </w:rPr>
              <w:t>, Zagreb, Varšavska 9</w:t>
            </w:r>
          </w:p>
        </w:tc>
      </w:tr>
    </w:tbl>
    <w:p w:rsidRDefault="00133CAE" w:rsidP="00133CAE" w:rsidR="00133CAE">
      <w:pPr>
        <w:autoSpaceDE w:val="false"/>
        <w:autoSpaceDN w:val="false"/>
        <w:adjustRightInd w:val="false"/>
        <w:rPr>
          <w:rFonts w:cs="Arial" w:hAnsi="Arial" w:ascii="Arial"/>
          <w:b/>
          <w:bCs/>
        </w:rPr>
      </w:pPr>
    </w:p>
    <w:p w:rsidRDefault="00133CAE" w:rsidP="00133CAE" w:rsidR="00133CAE">
      <w:pPr>
        <w:autoSpaceDE w:val="false"/>
        <w:autoSpaceDN w:val="false"/>
        <w:adjustRightInd w:val="false"/>
        <w:jc w:val="both"/>
        <w:rPr>
          <w:rFonts w:cs="Arial" w:hAnsi="Arial" w:ascii="Arial"/>
          <w:bCs/>
        </w:rPr>
      </w:pPr>
    </w:p>
    <w:p w:rsidRDefault="00133CAE" w:rsidP="00133CAE" w:rsidR="00133CAE">
      <w:pPr>
        <w:autoSpaceDE w:val="false"/>
        <w:autoSpaceDN w:val="false"/>
        <w:adjustRightInd w:val="false"/>
        <w:jc w:val="both"/>
        <w:rPr>
          <w:rFonts w:cs="Arial" w:hAnsi="Arial" w:ascii="Arial"/>
          <w:bCs/>
        </w:rPr>
      </w:pPr>
    </w:p>
    <w:p w:rsidRDefault="00133CAE" w:rsidP="00133CAE" w:rsidR="00133CAE" w:rsidRPr="0017719E">
      <w:pPr>
        <w:autoSpaceDE w:val="false"/>
        <w:autoSpaceDN w:val="false"/>
        <w:adjustRightInd w:val="false"/>
        <w:jc w:val="both"/>
        <w:rPr>
          <w:bCs/>
        </w:rPr>
      </w:pPr>
      <w:r w:rsidRPr="0017719E">
        <w:rPr>
          <w:bCs/>
        </w:rPr>
        <w:t>Utvrđuju se tražbine vjerovnika prema tablicama koje su sastavni dio ovog Prijedloga i to kako slijedi:</w:t>
      </w:r>
    </w:p>
    <w:p w:rsidRDefault="00133CAE" w:rsidP="00133CAE" w:rsidR="00133CAE" w:rsidRPr="0017719E">
      <w:pPr>
        <w:autoSpaceDE w:val="false"/>
        <w:autoSpaceDN w:val="false"/>
        <w:adjustRightInd w:val="false"/>
        <w:jc w:val="both"/>
        <w:rPr>
          <w:bCs/>
        </w:rPr>
      </w:pPr>
    </w:p>
    <w:p w:rsidRDefault="00133CAE" w:rsidP="00133CAE" w:rsidR="00133CAE" w:rsidRPr="0017719E">
      <w:pPr>
        <w:autoSpaceDE w:val="false"/>
        <w:autoSpaceDN w:val="false"/>
        <w:adjustRightInd w:val="false"/>
        <w:jc w:val="both"/>
        <w:rPr>
          <w:bCs/>
        </w:rPr>
      </w:pPr>
      <w:r w:rsidRPr="0017719E">
        <w:t xml:space="preserve">- </w:t>
      </w:r>
      <w:r w:rsidRPr="0017719E">
        <w:rPr>
          <w:b/>
          <w:bCs/>
        </w:rPr>
        <w:t>grupa Tijela javne uprave i trgovačka društva u većinskom državnom vlasništvu</w:t>
      </w:r>
    </w:p>
    <w:p w:rsidRDefault="00133CAE" w:rsidP="00133CAE" w:rsidR="00133CAE" w:rsidRPr="0017719E">
      <w:pPr>
        <w:autoSpaceDE w:val="false"/>
        <w:autoSpaceDN w:val="false"/>
        <w:adjustRightInd w:val="false"/>
        <w:jc w:val="both"/>
      </w:pPr>
      <w:r w:rsidRPr="0017719E">
        <w:t xml:space="preserve">– iznos tražbine za koju vjerovnici imaju pravo glasa </w:t>
      </w:r>
      <w:r w:rsidRPr="0017719E">
        <w:rPr>
          <w:b/>
          <w:bCs/>
        </w:rPr>
        <w:t xml:space="preserve">66.907,90 </w:t>
      </w:r>
      <w:r w:rsidRPr="0017719E">
        <w:t xml:space="preserve">kuna, od čega je ukupan iznos glasova ZA </w:t>
      </w:r>
      <w:r w:rsidRPr="0017719E">
        <w:rPr>
          <w:b/>
          <w:bCs/>
        </w:rPr>
        <w:t xml:space="preserve">0,00 </w:t>
      </w:r>
      <w:r w:rsidRPr="0017719E">
        <w:t xml:space="preserve">kuna, što znači da je za prihvaćanje Plana glasovalo </w:t>
      </w:r>
      <w:r w:rsidRPr="0017719E">
        <w:rPr>
          <w:b/>
          <w:bCs/>
        </w:rPr>
        <w:t xml:space="preserve">0,00 %, </w:t>
      </w:r>
      <w:r w:rsidRPr="0017719E">
        <w:t xml:space="preserve">a PROTIV Plana </w:t>
      </w:r>
      <w:r w:rsidRPr="0017719E">
        <w:rPr>
          <w:b/>
          <w:bCs/>
        </w:rPr>
        <w:t>100,00 %,</w:t>
      </w:r>
    </w:p>
    <w:p w:rsidRDefault="00133CAE" w:rsidP="00133CAE" w:rsidR="00133CAE" w:rsidRPr="0017719E">
      <w:pPr>
        <w:autoSpaceDE w:val="false"/>
        <w:autoSpaceDN w:val="false"/>
        <w:adjustRightInd w:val="false"/>
        <w:jc w:val="both"/>
        <w:rPr>
          <w:b/>
          <w:bCs/>
        </w:rPr>
      </w:pPr>
    </w:p>
    <w:p w:rsidRDefault="00133CAE" w:rsidP="00133CAE" w:rsidR="00133CAE" w:rsidRPr="0017719E">
      <w:pPr>
        <w:autoSpaceDE w:val="false"/>
        <w:autoSpaceDN w:val="false"/>
        <w:adjustRightInd w:val="false"/>
        <w:jc w:val="both"/>
        <w:rPr>
          <w:b/>
          <w:bCs/>
        </w:rPr>
      </w:pPr>
      <w:r w:rsidRPr="0017719E">
        <w:t xml:space="preserve">- </w:t>
      </w:r>
      <w:r w:rsidRPr="0017719E">
        <w:rPr>
          <w:b/>
          <w:bCs/>
        </w:rPr>
        <w:t>grupa Financijske institucije</w:t>
      </w:r>
    </w:p>
    <w:p w:rsidRDefault="00133CAE" w:rsidP="00133CAE" w:rsidR="00133CAE" w:rsidRPr="0017719E">
      <w:pPr>
        <w:autoSpaceDE w:val="false"/>
        <w:autoSpaceDN w:val="false"/>
        <w:adjustRightInd w:val="false"/>
        <w:jc w:val="both"/>
      </w:pPr>
      <w:r w:rsidRPr="0017719E">
        <w:t xml:space="preserve">– iznos tražbine za koju vjerovnici imaju pravo glasa </w:t>
      </w:r>
      <w:r w:rsidRPr="0017719E">
        <w:rPr>
          <w:b/>
          <w:bCs/>
        </w:rPr>
        <w:t xml:space="preserve">1.401.544,05 </w:t>
      </w:r>
      <w:r w:rsidRPr="0017719E">
        <w:t xml:space="preserve">kuna, od čega je ukupan iznos glasova ZA </w:t>
      </w:r>
      <w:r w:rsidRPr="0017719E">
        <w:rPr>
          <w:b/>
          <w:bCs/>
        </w:rPr>
        <w:t xml:space="preserve">1.224.633,29 </w:t>
      </w:r>
      <w:r w:rsidRPr="0017719E">
        <w:t xml:space="preserve">kuna, što znači da je za prihvaćanje Plana glasovalo </w:t>
      </w:r>
      <w:r w:rsidRPr="0017719E">
        <w:rPr>
          <w:b/>
          <w:bCs/>
        </w:rPr>
        <w:t xml:space="preserve">87,38%, </w:t>
      </w:r>
      <w:r w:rsidRPr="0017719E">
        <w:t xml:space="preserve">a PROTIV Plana </w:t>
      </w:r>
      <w:r w:rsidRPr="0017719E">
        <w:rPr>
          <w:b/>
          <w:bCs/>
        </w:rPr>
        <w:t>12,62%,</w:t>
      </w:r>
    </w:p>
    <w:p w:rsidRDefault="00133CAE" w:rsidP="00133CAE" w:rsidR="00133CAE" w:rsidRPr="0017719E">
      <w:pPr>
        <w:autoSpaceDE w:val="false"/>
        <w:autoSpaceDN w:val="false"/>
        <w:adjustRightInd w:val="false"/>
        <w:jc w:val="both"/>
        <w:rPr>
          <w:b/>
          <w:bCs/>
        </w:rPr>
      </w:pPr>
    </w:p>
    <w:p w:rsidRDefault="00133CAE" w:rsidP="00133CAE" w:rsidR="00133CAE" w:rsidRPr="0017719E">
      <w:pPr>
        <w:autoSpaceDE w:val="false"/>
        <w:autoSpaceDN w:val="false"/>
        <w:adjustRightInd w:val="false"/>
        <w:jc w:val="both"/>
        <w:rPr>
          <w:b/>
          <w:bCs/>
        </w:rPr>
      </w:pPr>
      <w:r w:rsidRPr="0017719E">
        <w:t xml:space="preserve">- </w:t>
      </w:r>
      <w:r w:rsidRPr="0017719E">
        <w:rPr>
          <w:b/>
          <w:bCs/>
        </w:rPr>
        <w:t>grupa Ostali vjerovnici</w:t>
      </w:r>
    </w:p>
    <w:p w:rsidRDefault="00133CAE" w:rsidP="00133CAE" w:rsidR="00133CAE">
      <w:pPr>
        <w:autoSpaceDE w:val="false"/>
        <w:autoSpaceDN w:val="false"/>
        <w:adjustRightInd w:val="false"/>
        <w:jc w:val="both"/>
        <w:rPr>
          <w:b/>
          <w:bCs/>
        </w:rPr>
      </w:pPr>
      <w:r w:rsidRPr="0017719E">
        <w:t xml:space="preserve">– iznos tražbine za koju vjerovnici imaju pravo glasa </w:t>
      </w:r>
      <w:r w:rsidRPr="0017719E">
        <w:rPr>
          <w:b/>
          <w:bCs/>
        </w:rPr>
        <w:t xml:space="preserve">351.908,26 </w:t>
      </w:r>
      <w:r w:rsidRPr="0017719E">
        <w:t xml:space="preserve">kuna, od čega je ukupan iznos glasova ZA </w:t>
      </w:r>
      <w:r w:rsidRPr="0017719E">
        <w:rPr>
          <w:b/>
          <w:bCs/>
        </w:rPr>
        <w:t xml:space="preserve">0,00 </w:t>
      </w:r>
      <w:r w:rsidRPr="0017719E">
        <w:t xml:space="preserve">kuna, što znači da je za prihvaćanje Plana glasovalo </w:t>
      </w:r>
      <w:r w:rsidRPr="0017719E">
        <w:rPr>
          <w:b/>
          <w:bCs/>
        </w:rPr>
        <w:t xml:space="preserve">0,00 %, </w:t>
      </w:r>
      <w:r w:rsidRPr="0017719E">
        <w:t xml:space="preserve">a PROTIV Plana </w:t>
      </w:r>
      <w:r w:rsidRPr="0017719E">
        <w:rPr>
          <w:b/>
          <w:bCs/>
        </w:rPr>
        <w:t>100,00 %,</w:t>
      </w:r>
    </w:p>
    <w:p w:rsidRDefault="007F26BC" w:rsidP="00133CAE" w:rsidR="007F26BC">
      <w:pPr>
        <w:autoSpaceDE w:val="false"/>
        <w:autoSpaceDN w:val="false"/>
        <w:adjustRightInd w:val="false"/>
        <w:jc w:val="both"/>
        <w:rPr>
          <w:b/>
          <w:bCs/>
        </w:rPr>
      </w:pPr>
    </w:p>
    <w:p w:rsidRDefault="007F26BC" w:rsidP="00133CAE" w:rsidR="007F26BC">
      <w:pPr>
        <w:autoSpaceDE w:val="false"/>
        <w:autoSpaceDN w:val="false"/>
        <w:adjustRightInd w:val="false"/>
        <w:jc w:val="both"/>
        <w:rPr>
          <w:b/>
          <w:bCs/>
        </w:rPr>
      </w:pPr>
    </w:p>
    <w:p w:rsidRDefault="007F26BC" w:rsidP="00133CAE" w:rsidR="007F26BC">
      <w:pPr>
        <w:autoSpaceDE w:val="false"/>
        <w:autoSpaceDN w:val="false"/>
        <w:adjustRightInd w:val="false"/>
        <w:jc w:val="both"/>
        <w:rPr>
          <w:b/>
          <w:bCs/>
        </w:rPr>
      </w:pPr>
    </w:p>
    <w:p w:rsidRDefault="007F26BC" w:rsidP="00133CAE" w:rsidR="007F26BC">
      <w:pPr>
        <w:autoSpaceDE w:val="false"/>
        <w:autoSpaceDN w:val="false"/>
        <w:adjustRightInd w:val="false"/>
        <w:jc w:val="both"/>
        <w:rPr>
          <w:b/>
          <w:bCs/>
        </w:rPr>
      </w:pPr>
    </w:p>
    <w:p w:rsidRDefault="007F26BC" w:rsidP="00133CAE" w:rsidR="007F26BC">
      <w:pPr>
        <w:autoSpaceDE w:val="false"/>
        <w:autoSpaceDN w:val="false"/>
        <w:adjustRightInd w:val="false"/>
        <w:jc w:val="both"/>
        <w:rPr>
          <w:b/>
          <w:bCs/>
        </w:rPr>
      </w:pPr>
    </w:p>
    <w:p w:rsidRDefault="007F26BC" w:rsidP="00133CAE" w:rsidR="007F26BC" w:rsidRPr="0017719E">
      <w:pPr>
        <w:autoSpaceDE w:val="false"/>
        <w:autoSpaceDN w:val="false"/>
        <w:adjustRightInd w:val="false"/>
        <w:jc w:val="both"/>
      </w:pPr>
    </w:p>
    <w:p w:rsidRDefault="00133CAE" w:rsidP="00133CAE" w:rsidR="00133CAE" w:rsidRPr="0017719E">
      <w:pPr>
        <w:autoSpaceDE w:val="false"/>
        <w:autoSpaceDN w:val="false"/>
        <w:adjustRightInd w:val="false"/>
        <w:jc w:val="both"/>
        <w:rPr>
          <w:b/>
          <w:bCs/>
        </w:rPr>
      </w:pPr>
    </w:p>
    <w:p w:rsidRDefault="00133CAE" w:rsidP="00133CAE" w:rsidR="00133CAE" w:rsidRPr="0017719E">
      <w:pPr>
        <w:autoSpaceDE w:val="false"/>
        <w:autoSpaceDN w:val="false"/>
        <w:adjustRightInd w:val="false"/>
        <w:jc w:val="both"/>
        <w:rPr>
          <w:b/>
          <w:bCs/>
        </w:rPr>
      </w:pPr>
      <w:r w:rsidRPr="0017719E">
        <w:t xml:space="preserve">- </w:t>
      </w:r>
      <w:r w:rsidRPr="0017719E">
        <w:rPr>
          <w:b/>
          <w:bCs/>
        </w:rPr>
        <w:t>ukupan omjer glasova</w:t>
      </w:r>
    </w:p>
    <w:p w:rsidRDefault="00133CAE" w:rsidP="00133CAE" w:rsidR="00133CAE" w:rsidRPr="0017719E">
      <w:pPr>
        <w:autoSpaceDE w:val="false"/>
        <w:autoSpaceDN w:val="false"/>
        <w:adjustRightInd w:val="false"/>
        <w:jc w:val="both"/>
      </w:pPr>
      <w:r w:rsidRPr="0017719E">
        <w:t xml:space="preserve">– iznos tražbine za koju vjerovnici imaju pravo glasa </w:t>
      </w:r>
      <w:r w:rsidRPr="0017719E">
        <w:rPr>
          <w:b/>
          <w:bCs/>
        </w:rPr>
        <w:t xml:space="preserve">1.820.360,21 </w:t>
      </w:r>
      <w:r w:rsidRPr="0017719E">
        <w:t xml:space="preserve">kuna, od čega je ukupan iznos glasova ZA </w:t>
      </w:r>
      <w:r w:rsidRPr="0017719E">
        <w:rPr>
          <w:b/>
          <w:bCs/>
        </w:rPr>
        <w:t xml:space="preserve">1.224.633,29 </w:t>
      </w:r>
      <w:r w:rsidRPr="0017719E">
        <w:t xml:space="preserve">kuna, što znači da je za prihvaćanje Plana glasovalo </w:t>
      </w:r>
      <w:r w:rsidRPr="0017719E">
        <w:rPr>
          <w:b/>
          <w:bCs/>
        </w:rPr>
        <w:t xml:space="preserve">67,27%, </w:t>
      </w:r>
      <w:r w:rsidRPr="0017719E">
        <w:t xml:space="preserve">a PROTIV Plana  </w:t>
      </w:r>
      <w:r w:rsidRPr="0017719E">
        <w:rPr>
          <w:b/>
          <w:bCs/>
        </w:rPr>
        <w:t>32,73%.</w:t>
      </w:r>
    </w:p>
    <w:p w:rsidRDefault="00133CAE" w:rsidP="00133CAE" w:rsidR="00133CAE" w:rsidRPr="0017719E">
      <w:pPr>
        <w:autoSpaceDE w:val="false"/>
        <w:autoSpaceDN w:val="false"/>
        <w:adjustRightInd w:val="false"/>
        <w:jc w:val="both"/>
      </w:pPr>
    </w:p>
    <w:p w:rsidRDefault="00133CAE" w:rsidP="00133CAE" w:rsidR="00133CAE" w:rsidRPr="0017719E">
      <w:pPr>
        <w:autoSpaceDE w:val="false"/>
        <w:autoSpaceDN w:val="false"/>
        <w:adjustRightInd w:val="false"/>
        <w:jc w:val="both"/>
      </w:pPr>
      <w:r w:rsidRPr="0017719E">
        <w:t xml:space="preserve">S obzirom da su ZA prihvaćanje Plana financijskog restrukturiranja glasovali vjerovnici čije tražbine </w:t>
      </w:r>
      <w:r w:rsidRPr="0017719E">
        <w:rPr>
          <w:b/>
          <w:bCs/>
        </w:rPr>
        <w:t>prelaze 2/3 svih utvrđenih potraživanja</w:t>
      </w:r>
      <w:r w:rsidRPr="0017719E">
        <w:t xml:space="preserve">, te se sukladno čl.63 st.2. Zakona o financijskom poslovanju i predstečajnoj nagodbi, Plan financijskog restrukturiranja </w:t>
      </w:r>
      <w:r w:rsidRPr="0017719E">
        <w:rPr>
          <w:b/>
          <w:bCs/>
        </w:rPr>
        <w:t xml:space="preserve">smatra </w:t>
      </w:r>
      <w:r>
        <w:rPr>
          <w:b/>
          <w:bCs/>
        </w:rPr>
        <w:t xml:space="preserve">se </w:t>
      </w:r>
      <w:r w:rsidRPr="0017719E">
        <w:rPr>
          <w:b/>
          <w:bCs/>
        </w:rPr>
        <w:t>prihvaćenim</w:t>
      </w:r>
      <w:r w:rsidRPr="0017719E">
        <w:t>.</w:t>
      </w:r>
    </w:p>
    <w:p w:rsidRDefault="00133CAE" w:rsidP="00133CAE" w:rsidR="00133CAE" w:rsidRPr="0017719E">
      <w:pPr>
        <w:autoSpaceDE w:val="false"/>
        <w:autoSpaceDN w:val="false"/>
        <w:adjustRightInd w:val="false"/>
        <w:jc w:val="both"/>
      </w:pPr>
    </w:p>
    <w:p w:rsidRDefault="00133CAE" w:rsidP="00133CAE" w:rsidR="00133CAE" w:rsidRPr="0017719E">
      <w:pPr>
        <w:autoSpaceDE w:val="false"/>
        <w:autoSpaceDN w:val="false"/>
        <w:adjustRightInd w:val="false"/>
        <w:jc w:val="both"/>
        <w:rPr>
          <w:bCs/>
        </w:rPr>
      </w:pPr>
      <w:r w:rsidRPr="0017719E">
        <w:rPr>
          <w:bCs/>
        </w:rPr>
        <w:t>Nagodbeno vijeće je uputilo dužnika SVESA NATURA d.o.o. da u roku od 15 dana od dana izvršnosti Rješenja podnese nadležnom Trgovačkom sudu prijedlog za sklapanje predstečajne nagodbe.</w:t>
      </w:r>
    </w:p>
    <w:p w:rsidRDefault="00133CAE" w:rsidP="00133CAE" w:rsidR="00133CAE" w:rsidRPr="0017719E">
      <w:pPr>
        <w:autoSpaceDE w:val="false"/>
        <w:autoSpaceDN w:val="false"/>
        <w:adjustRightInd w:val="false"/>
        <w:jc w:val="both"/>
        <w:rPr>
          <w:bCs/>
        </w:rPr>
      </w:pPr>
    </w:p>
    <w:p w:rsidRDefault="00133CAE" w:rsidP="00133CAE" w:rsidR="00133CAE" w:rsidRPr="0017719E">
      <w:pPr>
        <w:autoSpaceDE w:val="false"/>
        <w:autoSpaceDN w:val="false"/>
        <w:adjustRightInd w:val="false"/>
        <w:jc w:val="both"/>
        <w:rPr>
          <w:bCs/>
        </w:rPr>
      </w:pPr>
    </w:p>
    <w:p w:rsidRDefault="00133CAE" w:rsidP="00133CAE" w:rsidR="00133CAE" w:rsidRPr="0017719E">
      <w:pPr>
        <w:autoSpaceDE w:val="false"/>
        <w:autoSpaceDN w:val="false"/>
        <w:adjustRightInd w:val="false"/>
        <w:jc w:val="both"/>
        <w:rPr>
          <w:b/>
          <w:bCs/>
        </w:rPr>
      </w:pPr>
      <w:r w:rsidRPr="0017719E">
        <w:rPr>
          <w:b/>
          <w:bCs/>
        </w:rPr>
        <w:t>II</w:t>
      </w:r>
    </w:p>
    <w:p w:rsidRDefault="00133CAE" w:rsidP="00133CAE" w:rsidR="00133CAE" w:rsidRPr="0017719E">
      <w:pPr>
        <w:autoSpaceDE w:val="false"/>
        <w:autoSpaceDN w:val="false"/>
        <w:adjustRightInd w:val="false"/>
        <w:jc w:val="both"/>
        <w:rPr>
          <w:bCs/>
        </w:rPr>
      </w:pPr>
      <w:r w:rsidRPr="0017719E">
        <w:rPr>
          <w:bCs/>
        </w:rPr>
        <w:t>Prihvaćenim Planom financijskog restrukturiranja dužnik je predložio</w:t>
      </w:r>
      <w:r>
        <w:rPr>
          <w:bCs/>
        </w:rPr>
        <w:t xml:space="preserve"> da se </w:t>
      </w:r>
      <w:r w:rsidRPr="0017719E">
        <w:t>isplati dug u iznosima, rokovima i na način sukladno prihvaćenom Planu financijskog restrukturiranja, kako slijedi:</w:t>
      </w:r>
    </w:p>
    <w:p w:rsidRDefault="00133CAE" w:rsidP="00133CAE" w:rsidR="00133CAE" w:rsidRPr="0017719E">
      <w:pPr>
        <w:autoSpaceDE w:val="false"/>
        <w:autoSpaceDN w:val="false"/>
        <w:adjustRightInd w:val="false"/>
        <w:rPr>
          <w:sz w:val="20"/>
          <w:szCs w:val="20"/>
        </w:rPr>
      </w:pPr>
    </w:p>
    <w:p w:rsidRDefault="00133CAE" w:rsidP="00133CAE" w:rsidR="00133CAE" w:rsidRPr="0017719E">
      <w:pPr>
        <w:autoSpaceDE w:val="false"/>
        <w:autoSpaceDN w:val="false"/>
        <w:adjustRightInd w:val="false"/>
        <w:rPr>
          <w:sz w:val="20"/>
          <w:szCs w:val="20"/>
        </w:rPr>
      </w:pPr>
    </w:p>
    <w:p w:rsidRDefault="00133CAE" w:rsidP="00133CAE" w:rsidR="00133CAE" w:rsidRPr="0017719E">
      <w:pPr>
        <w:autoSpaceDE w:val="false"/>
        <w:autoSpaceDN w:val="false"/>
        <w:adjustRightInd w:val="false"/>
        <w:jc w:val="both"/>
        <w:rPr>
          <w:b/>
          <w:bCs/>
          <w:sz w:val="20"/>
          <w:szCs w:val="20"/>
        </w:rPr>
      </w:pPr>
    </w:p>
    <w:p w:rsidRDefault="00133CAE" w:rsidP="00133CAE" w:rsidR="00133CAE" w:rsidRPr="0017719E">
      <w:pPr>
        <w:autoSpaceDE w:val="false"/>
        <w:autoSpaceDN w:val="false"/>
        <w:adjustRightInd w:val="false"/>
        <w:jc w:val="both"/>
        <w:rPr>
          <w:b/>
          <w:bCs/>
          <w:sz w:val="20"/>
          <w:szCs w:val="20"/>
        </w:rPr>
      </w:pPr>
      <w:r w:rsidRPr="0017719E">
        <w:rPr>
          <w:b/>
          <w:bCs/>
          <w:sz w:val="20"/>
          <w:szCs w:val="20"/>
        </w:rPr>
        <w:t>1. TIJELA JAVNE UPRAVE I TRGOVAČKA DRUŠTVA U VEĆINSKOM DRŽAVNOM VLASNIŠTVU</w:t>
      </w:r>
    </w:p>
    <w:p w:rsidRDefault="00133CAE" w:rsidP="00133CAE" w:rsidR="00133CAE" w:rsidRPr="0017719E">
      <w:pPr>
        <w:autoSpaceDE w:val="false"/>
        <w:autoSpaceDN w:val="false"/>
        <w:adjustRightInd w:val="false"/>
        <w:jc w:val="both"/>
        <w:rPr>
          <w:sz w:val="20"/>
          <w:szCs w:val="20"/>
        </w:rPr>
      </w:pPr>
    </w:p>
    <w:p w:rsidRDefault="00133CAE" w:rsidP="00133CAE" w:rsidR="00133CAE" w:rsidRPr="0017719E">
      <w:pPr>
        <w:autoSpaceDE w:val="false"/>
        <w:autoSpaceDN w:val="false"/>
        <w:adjustRightInd w:val="false"/>
        <w:jc w:val="both"/>
      </w:pPr>
      <w:r w:rsidRPr="0017719E">
        <w:t>Obveze na dan 20.07.2016,g, sukladno utvrđenim tražbinama iznose 64.182,74 Kn; obveze će se izmiriti na slijedeći način:</w:t>
      </w:r>
    </w:p>
    <w:p w:rsidRDefault="00133CAE" w:rsidP="00133CAE" w:rsidR="00133CAE" w:rsidRPr="0017719E">
      <w:pPr>
        <w:autoSpaceDE w:val="false"/>
        <w:autoSpaceDN w:val="false"/>
        <w:adjustRightInd w:val="false"/>
        <w:jc w:val="both"/>
        <w:rPr>
          <w:sz w:val="20"/>
          <w:szCs w:val="20"/>
        </w:rPr>
      </w:pPr>
    </w:p>
    <w:p w:rsidRDefault="00133CAE" w:rsidP="00133CAE" w:rsidR="00133CAE" w:rsidRPr="0017719E">
      <w:pPr>
        <w:pStyle w:val="Standard"/>
        <w:numPr>
          <w:ilvl w:val="0"/>
          <w:numId w:val="16"/>
        </w:numPr>
        <w:ind w:left="360"/>
        <w:jc w:val="both"/>
        <w:rPr>
          <w:rFonts w:cs="Times New Roman"/>
          <w:lang w:val="pl-PL"/>
        </w:rPr>
      </w:pPr>
      <w:r w:rsidRPr="0017719E">
        <w:rPr>
          <w:rFonts w:cs="Times New Roman"/>
          <w:lang w:val="pl-PL"/>
        </w:rPr>
        <w:t>Ministarstvu financija; ove obveze izmirit će se na način da se ukupni iznos isplati jednokratno uz jednu godinu počeka i beskamatno u 2017.g..</w:t>
      </w:r>
    </w:p>
    <w:p w:rsidRDefault="00133CAE" w:rsidP="00133CAE" w:rsidR="00133CAE" w:rsidRPr="0017719E">
      <w:pPr>
        <w:pStyle w:val="Standard"/>
        <w:ind w:left="360"/>
        <w:jc w:val="both"/>
        <w:rPr>
          <w:rFonts w:cs="Times New Roman"/>
          <w:lang w:val="pl-PL"/>
        </w:rPr>
      </w:pPr>
      <w:r w:rsidRPr="0017719E">
        <w:rPr>
          <w:rFonts w:cs="Times New Roman"/>
          <w:lang w:val="pl-PL"/>
        </w:rPr>
        <w:t>Poček počinje od dana pravomoćnosti sudskog Rješenja o predstečajnoj nagodbi.</w:t>
      </w:r>
    </w:p>
    <w:p w:rsidRDefault="00133CAE" w:rsidP="00133CAE" w:rsidR="00133CAE" w:rsidRPr="0017719E">
      <w:pPr>
        <w:pStyle w:val="Standard"/>
        <w:ind w:left="360"/>
        <w:jc w:val="both"/>
        <w:rPr>
          <w:rFonts w:cs="Times New Roman"/>
          <w:lang w:val="pl-PL"/>
        </w:rPr>
      </w:pPr>
    </w:p>
    <w:p w:rsidRDefault="00133CAE" w:rsidP="00133CAE" w:rsidR="00133CAE" w:rsidRPr="0017719E">
      <w:pPr>
        <w:pStyle w:val="Standard"/>
        <w:numPr>
          <w:ilvl w:val="0"/>
          <w:numId w:val="16"/>
        </w:numPr>
        <w:ind w:left="360"/>
        <w:jc w:val="both"/>
        <w:rPr>
          <w:rFonts w:cs="Times New Roman"/>
          <w:lang w:val="pl-PL"/>
        </w:rPr>
      </w:pPr>
      <w:r w:rsidRPr="0017719E">
        <w:rPr>
          <w:rFonts w:cs="Times New Roman"/>
          <w:lang w:val="pl-PL"/>
        </w:rPr>
        <w:t>Obveze prema trgovačkim društvima izmirit će se na način da se obveza umanji za 70%, a preostali iznos isplati u jednakim tromjesečnim ratama tokom pet godina uz jednu godinu počeka, beskamatno.</w:t>
      </w:r>
    </w:p>
    <w:p w:rsidRDefault="00133CAE" w:rsidP="00133CAE" w:rsidR="00133CAE" w:rsidRPr="0017719E">
      <w:pPr>
        <w:pStyle w:val="Standard"/>
        <w:ind w:left="360"/>
        <w:jc w:val="both"/>
        <w:rPr>
          <w:rFonts w:cs="Times New Roman"/>
          <w:lang w:val="pl-PL"/>
        </w:rPr>
      </w:pPr>
      <w:r w:rsidRPr="0017719E">
        <w:rPr>
          <w:rFonts w:cs="Times New Roman"/>
          <w:lang w:val="pl-PL"/>
        </w:rPr>
        <w:t>Poček počinje od dana pravomoćnosti sudskog Rješenja o predstečajnoj nagodbi.</w:t>
      </w:r>
    </w:p>
    <w:p w:rsidRDefault="00133CAE" w:rsidP="00133CAE" w:rsidR="00133CAE" w:rsidRPr="00075203">
      <w:pPr>
        <w:pStyle w:val="Standard"/>
        <w:ind w:left="360"/>
        <w:jc w:val="both"/>
        <w:rPr>
          <w:rFonts w:cs="Arial" w:hAnsi="Arial" w:ascii="Arial"/>
          <w:lang w:val="pl-PL"/>
        </w:rPr>
      </w:pPr>
    </w:p>
    <w:p w:rsidRDefault="00133CAE" w:rsidP="00133CAE" w:rsidR="00133CAE" w:rsidRPr="00075203">
      <w:pPr>
        <w:pStyle w:val="Standard"/>
        <w:jc w:val="both"/>
        <w:rPr>
          <w:rFonts w:cs="Arial" w:hAnsi="Arial" w:ascii="Arial"/>
          <w:lang w:val="pl-PL"/>
        </w:rPr>
      </w:pPr>
    </w:p>
    <w:tbl>
      <w:tblPr>
        <w:tblW w:type="dxa" w:w="9678"/>
        <w:tblLook w:val="04A0" w:noVBand="1" w:noHBand="0" w:lastColumn="0" w:firstColumn="1" w:lastRow="0" w:firstRow="1"/>
      </w:tblPr>
      <w:tblGrid>
        <w:gridCol w:w="650"/>
        <w:gridCol w:w="1613"/>
        <w:gridCol w:w="3119"/>
        <w:gridCol w:w="1559"/>
        <w:gridCol w:w="1276"/>
        <w:gridCol w:w="1461"/>
      </w:tblGrid>
      <w:tr w:rsidTr="004B7368" w:rsidR="00133CAE" w:rsidRPr="00075203">
        <w:trPr>
          <w:trHeight w:val="900"/>
        </w:trPr>
        <w:tc>
          <w:tcPr>
            <w:tcW w:type="dxa" w:w="650"/>
            <w:tcBorders>
              <w:top w:space="0" w:sz="4" w:color="auto" w:val="single"/>
              <w:left w:space="0" w:sz="4" w:color="auto" w:val="single"/>
              <w:bottom w:space="0" w:sz="6" w:color="auto" w:val="double"/>
              <w:right w:space="0" w:sz="4" w:color="auto" w:val="single"/>
            </w:tcBorders>
            <w:shd w:fill="D9D9D9" w:color="000000" w:val="clear"/>
            <w:noWrap/>
            <w:vAlign w:val="center"/>
            <w:hideMark/>
          </w:tcPr>
          <w:p w:rsidRDefault="00133CAE" w:rsidP="004B7368" w:rsidR="00133CAE" w:rsidRPr="00075203">
            <w:pPr>
              <w:jc w:val="center"/>
              <w:rPr>
                <w:rFonts w:cs="Arial" w:hAnsi="Arial" w:ascii="Arial"/>
                <w:b/>
                <w:bCs/>
                <w:sz w:val="20"/>
                <w:szCs w:val="20"/>
              </w:rPr>
            </w:pPr>
            <w:r w:rsidRPr="00075203">
              <w:rPr>
                <w:rFonts w:cs="Arial" w:hAnsi="Arial" w:ascii="Arial"/>
                <w:b/>
                <w:bCs/>
                <w:sz w:val="20"/>
                <w:szCs w:val="20"/>
              </w:rPr>
              <w:t>RBR</w:t>
            </w:r>
          </w:p>
        </w:tc>
        <w:tc>
          <w:tcPr>
            <w:tcW w:type="dxa" w:w="1613"/>
            <w:tcBorders>
              <w:top w:space="0" w:sz="4" w:color="auto" w:val="single"/>
              <w:left w:val="nil"/>
              <w:bottom w:space="0" w:sz="6" w:color="auto" w:val="double"/>
              <w:right w:space="0" w:sz="4" w:color="auto" w:val="single"/>
            </w:tcBorders>
            <w:shd w:fill="D9D9D9" w:color="000000" w:val="clear"/>
            <w:noWrap/>
            <w:vAlign w:val="center"/>
            <w:hideMark/>
          </w:tcPr>
          <w:p w:rsidRDefault="00133CAE" w:rsidP="004B7368" w:rsidR="00133CAE" w:rsidRPr="00075203">
            <w:pPr>
              <w:jc w:val="center"/>
              <w:rPr>
                <w:rFonts w:cs="Arial" w:hAnsi="Arial" w:ascii="Arial"/>
                <w:b/>
                <w:bCs/>
                <w:sz w:val="20"/>
                <w:szCs w:val="20"/>
              </w:rPr>
            </w:pPr>
            <w:r w:rsidRPr="00075203">
              <w:rPr>
                <w:rFonts w:cs="Arial" w:hAnsi="Arial" w:ascii="Arial"/>
                <w:b/>
                <w:bCs/>
                <w:sz w:val="20"/>
                <w:szCs w:val="20"/>
              </w:rPr>
              <w:t>OIB</w:t>
            </w:r>
          </w:p>
        </w:tc>
        <w:tc>
          <w:tcPr>
            <w:tcW w:type="dxa" w:w="3119"/>
            <w:tcBorders>
              <w:top w:space="0" w:sz="4" w:color="auto" w:val="single"/>
              <w:left w:val="nil"/>
              <w:bottom w:space="0" w:sz="6" w:color="auto" w:val="double"/>
              <w:right w:space="0" w:sz="4" w:color="auto" w:val="single"/>
            </w:tcBorders>
            <w:shd w:fill="D9D9D9" w:color="000000" w:val="clear"/>
            <w:vAlign w:val="center"/>
            <w:hideMark/>
          </w:tcPr>
          <w:p w:rsidRDefault="00133CAE" w:rsidP="004B7368" w:rsidR="00133CAE" w:rsidRPr="00075203">
            <w:pPr>
              <w:jc w:val="center"/>
              <w:rPr>
                <w:rFonts w:cs="Arial" w:hAnsi="Arial" w:ascii="Arial"/>
                <w:b/>
                <w:bCs/>
                <w:sz w:val="20"/>
                <w:szCs w:val="20"/>
              </w:rPr>
            </w:pPr>
            <w:r w:rsidRPr="00075203">
              <w:rPr>
                <w:rFonts w:cs="Arial" w:hAnsi="Arial" w:ascii="Arial"/>
                <w:b/>
                <w:bCs/>
                <w:sz w:val="20"/>
                <w:szCs w:val="20"/>
              </w:rPr>
              <w:t>NAZIV VJEROVNIKA</w:t>
            </w:r>
          </w:p>
        </w:tc>
        <w:tc>
          <w:tcPr>
            <w:tcW w:type="dxa" w:w="1559"/>
            <w:tcBorders>
              <w:top w:space="0" w:sz="4" w:color="auto" w:val="single"/>
              <w:left w:val="nil"/>
              <w:bottom w:space="0" w:sz="6" w:color="auto" w:val="double"/>
              <w:right w:space="0" w:sz="4" w:color="auto" w:val="single"/>
            </w:tcBorders>
            <w:shd w:fill="D9D9D9" w:color="000000" w:val="clear"/>
            <w:vAlign w:val="center"/>
            <w:hideMark/>
          </w:tcPr>
          <w:p w:rsidRDefault="00133CAE" w:rsidP="004B7368" w:rsidR="00133CAE" w:rsidRPr="00075203">
            <w:pPr>
              <w:jc w:val="center"/>
              <w:rPr>
                <w:rFonts w:cs="Arial" w:hAnsi="Arial" w:ascii="Arial"/>
                <w:b/>
                <w:bCs/>
                <w:sz w:val="20"/>
                <w:szCs w:val="20"/>
              </w:rPr>
            </w:pPr>
            <w:r w:rsidRPr="00075203">
              <w:rPr>
                <w:rFonts w:cs="Arial" w:hAnsi="Arial" w:ascii="Arial"/>
                <w:b/>
                <w:bCs/>
                <w:sz w:val="20"/>
                <w:szCs w:val="20"/>
              </w:rPr>
              <w:t>UTVRĐENI</w:t>
            </w:r>
            <w:r w:rsidRPr="00075203">
              <w:rPr>
                <w:rFonts w:cs="Arial" w:hAnsi="Arial" w:ascii="Arial"/>
                <w:b/>
                <w:bCs/>
                <w:sz w:val="20"/>
                <w:szCs w:val="20"/>
              </w:rPr>
              <w:br/>
              <w:t>IZNOS</w:t>
            </w:r>
            <w:r w:rsidRPr="00075203">
              <w:rPr>
                <w:rFonts w:cs="Arial" w:hAnsi="Arial" w:ascii="Arial"/>
                <w:b/>
                <w:bCs/>
                <w:sz w:val="20"/>
                <w:szCs w:val="20"/>
              </w:rPr>
              <w:br/>
              <w:t>TRAŽBINE</w:t>
            </w:r>
          </w:p>
        </w:tc>
        <w:tc>
          <w:tcPr>
            <w:tcW w:type="dxa" w:w="1276"/>
            <w:tcBorders>
              <w:top w:space="0" w:sz="4" w:color="auto" w:val="single"/>
              <w:left w:val="nil"/>
              <w:bottom w:space="0" w:sz="6" w:color="auto" w:val="double"/>
              <w:right w:space="0" w:sz="4" w:color="auto" w:val="single"/>
            </w:tcBorders>
            <w:shd w:fill="D9D9D9" w:color="000000" w:val="clear"/>
            <w:noWrap/>
            <w:vAlign w:val="center"/>
            <w:hideMark/>
          </w:tcPr>
          <w:p w:rsidRDefault="00133CAE" w:rsidP="004B7368" w:rsidR="00133CAE" w:rsidRPr="00075203">
            <w:pPr>
              <w:jc w:val="center"/>
              <w:rPr>
                <w:rFonts w:cs="Arial" w:hAnsi="Arial" w:ascii="Arial"/>
                <w:b/>
                <w:bCs/>
                <w:sz w:val="20"/>
                <w:szCs w:val="20"/>
              </w:rPr>
            </w:pPr>
            <w:r w:rsidRPr="00075203">
              <w:rPr>
                <w:rFonts w:cs="Arial" w:hAnsi="Arial" w:ascii="Arial"/>
                <w:b/>
                <w:bCs/>
                <w:sz w:val="20"/>
                <w:szCs w:val="20"/>
              </w:rPr>
              <w:t>OTPIS</w:t>
            </w:r>
          </w:p>
        </w:tc>
        <w:tc>
          <w:tcPr>
            <w:tcW w:type="dxa" w:w="1461"/>
            <w:tcBorders>
              <w:top w:space="0" w:sz="4" w:color="auto" w:val="single"/>
              <w:left w:val="nil"/>
              <w:bottom w:space="0" w:sz="6" w:color="auto" w:val="double"/>
              <w:right w:space="0" w:sz="4" w:color="auto" w:val="single"/>
            </w:tcBorders>
            <w:shd w:fill="D9D9D9" w:color="000000" w:val="clear"/>
            <w:vAlign w:val="center"/>
            <w:hideMark/>
          </w:tcPr>
          <w:p w:rsidRDefault="00133CAE" w:rsidP="004B7368" w:rsidR="00133CAE" w:rsidRPr="00075203">
            <w:pPr>
              <w:jc w:val="center"/>
              <w:rPr>
                <w:rFonts w:cs="Arial" w:hAnsi="Arial" w:ascii="Arial"/>
                <w:b/>
                <w:bCs/>
                <w:sz w:val="20"/>
                <w:szCs w:val="20"/>
              </w:rPr>
            </w:pPr>
            <w:r w:rsidRPr="00075203">
              <w:rPr>
                <w:rFonts w:cs="Arial" w:hAnsi="Arial" w:ascii="Arial"/>
                <w:b/>
                <w:bCs/>
                <w:sz w:val="20"/>
                <w:szCs w:val="20"/>
              </w:rPr>
              <w:t>PREOSTALO</w:t>
            </w:r>
            <w:r w:rsidRPr="00075203">
              <w:rPr>
                <w:rFonts w:cs="Arial" w:hAnsi="Arial" w:ascii="Arial"/>
                <w:b/>
                <w:bCs/>
                <w:sz w:val="20"/>
                <w:szCs w:val="20"/>
              </w:rPr>
              <w:br/>
              <w:t>ZA OTPLATU</w:t>
            </w:r>
          </w:p>
        </w:tc>
      </w:tr>
      <w:tr w:rsidTr="004B7368" w:rsidR="00133CAE" w:rsidRPr="00075203">
        <w:trPr>
          <w:trHeight w:val="516"/>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075203">
            <w:pPr>
              <w:jc w:val="center"/>
              <w:rPr>
                <w:rFonts w:cs="Arial" w:hAnsi="Arial" w:ascii="Arial"/>
                <w:sz w:val="20"/>
                <w:szCs w:val="20"/>
              </w:rPr>
            </w:pPr>
            <w:r w:rsidRPr="00075203">
              <w:rPr>
                <w:rFonts w:cs="Arial" w:hAnsi="Arial" w:ascii="Arial"/>
                <w:sz w:val="20"/>
                <w:szCs w:val="20"/>
              </w:rPr>
              <w:t>1</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075203">
            <w:pPr>
              <w:jc w:val="center"/>
              <w:rPr>
                <w:rFonts w:cs="Arial" w:hAnsi="Arial" w:ascii="Arial"/>
                <w:sz w:val="20"/>
                <w:szCs w:val="20"/>
              </w:rPr>
            </w:pPr>
            <w:r w:rsidRPr="00075203">
              <w:rPr>
                <w:rFonts w:cs="Arial" w:hAnsi="Arial" w:ascii="Arial"/>
                <w:sz w:val="20"/>
                <w:szCs w:val="20"/>
              </w:rPr>
              <w:t>18683136487</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075203">
            <w:pPr>
              <w:rPr>
                <w:rFonts w:cs="Arial" w:hAnsi="Arial" w:ascii="Arial"/>
                <w:sz w:val="20"/>
                <w:szCs w:val="20"/>
              </w:rPr>
            </w:pPr>
            <w:r w:rsidRPr="00075203">
              <w:rPr>
                <w:rFonts w:cs="Arial" w:hAnsi="Arial" w:ascii="Arial"/>
                <w:sz w:val="20"/>
                <w:szCs w:val="20"/>
              </w:rPr>
              <w:t>Republika Hrvatska, Ministarstvo financija, Porezna uprava</w:t>
            </w:r>
          </w:p>
        </w:tc>
        <w:tc>
          <w:tcPr>
            <w:tcW w:type="dxa" w:w="1559"/>
            <w:tcBorders>
              <w:top w:val="nil"/>
              <w:left w:val="nil"/>
              <w:bottom w:space="0" w:sz="4" w:color="auto" w:val="single"/>
              <w:right w:space="0" w:sz="4" w:color="auto" w:val="single"/>
            </w:tcBorders>
            <w:shd w:fill="auto" w:color="auto" w:val="clear"/>
            <w:noWrap/>
            <w:vAlign w:val="center"/>
            <w:hideMark/>
          </w:tcPr>
          <w:p w:rsidRDefault="00133CAE" w:rsidP="004B7368" w:rsidR="00133CAE" w:rsidRPr="00075203">
            <w:pPr>
              <w:jc w:val="right"/>
              <w:rPr>
                <w:rFonts w:cs="Arial" w:hAnsi="Arial" w:ascii="Arial"/>
                <w:sz w:val="20"/>
                <w:szCs w:val="20"/>
              </w:rPr>
            </w:pPr>
            <w:r w:rsidRPr="00075203">
              <w:rPr>
                <w:rFonts w:cs="Arial" w:hAnsi="Arial" w:ascii="Arial"/>
                <w:sz w:val="20"/>
                <w:szCs w:val="20"/>
              </w:rPr>
              <w:t>49.166,69</w:t>
            </w:r>
          </w:p>
        </w:tc>
        <w:tc>
          <w:tcPr>
            <w:tcW w:type="dxa" w:w="1276"/>
            <w:tcBorders>
              <w:top w:val="nil"/>
              <w:left w:val="nil"/>
              <w:bottom w:space="0" w:sz="4" w:color="auto" w:val="single"/>
              <w:right w:space="0" w:sz="4" w:color="auto" w:val="single"/>
            </w:tcBorders>
            <w:shd w:fill="auto" w:color="auto" w:val="clear"/>
            <w:noWrap/>
            <w:vAlign w:val="center"/>
            <w:hideMark/>
          </w:tcPr>
          <w:p w:rsidRDefault="00133CAE" w:rsidP="004B7368" w:rsidR="00133CAE" w:rsidRPr="00075203">
            <w:pPr>
              <w:jc w:val="right"/>
              <w:rPr>
                <w:rFonts w:cs="Arial" w:hAnsi="Arial" w:ascii="Arial"/>
                <w:sz w:val="20"/>
                <w:szCs w:val="20"/>
              </w:rPr>
            </w:pPr>
            <w:r w:rsidRPr="00075203">
              <w:rPr>
                <w:rFonts w:cs="Arial" w:hAnsi="Arial" w:ascii="Arial"/>
                <w:sz w:val="20"/>
                <w:szCs w:val="20"/>
              </w:rPr>
              <w:t> </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075203">
            <w:pPr>
              <w:jc w:val="right"/>
              <w:rPr>
                <w:rFonts w:cs="Arial" w:hAnsi="Arial" w:ascii="Arial"/>
                <w:sz w:val="20"/>
                <w:szCs w:val="20"/>
              </w:rPr>
            </w:pPr>
            <w:r w:rsidRPr="00075203">
              <w:rPr>
                <w:rFonts w:cs="Arial" w:hAnsi="Arial" w:ascii="Arial"/>
                <w:sz w:val="20"/>
                <w:szCs w:val="20"/>
              </w:rPr>
              <w:t>49.166,69</w:t>
            </w:r>
          </w:p>
        </w:tc>
      </w:tr>
      <w:tr w:rsidTr="004B7368" w:rsidR="00133CAE" w:rsidRPr="00075203">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075203">
            <w:pPr>
              <w:jc w:val="center"/>
              <w:rPr>
                <w:rFonts w:cs="Arial" w:hAnsi="Arial" w:ascii="Arial"/>
                <w:sz w:val="20"/>
                <w:szCs w:val="20"/>
              </w:rPr>
            </w:pPr>
            <w:r w:rsidRPr="00075203">
              <w:rPr>
                <w:rFonts w:cs="Arial" w:hAnsi="Arial" w:ascii="Arial"/>
                <w:sz w:val="20"/>
                <w:szCs w:val="20"/>
              </w:rPr>
              <w:t>2</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075203">
            <w:pPr>
              <w:jc w:val="center"/>
              <w:rPr>
                <w:rFonts w:cs="Arial" w:hAnsi="Arial" w:ascii="Arial"/>
                <w:sz w:val="20"/>
                <w:szCs w:val="20"/>
              </w:rPr>
            </w:pPr>
            <w:r w:rsidRPr="00075203">
              <w:rPr>
                <w:rFonts w:cs="Arial" w:hAnsi="Arial" w:ascii="Arial"/>
                <w:sz w:val="20"/>
                <w:szCs w:val="20"/>
              </w:rPr>
              <w:t>85584865987</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075203">
            <w:pPr>
              <w:rPr>
                <w:rFonts w:cs="Arial" w:hAnsi="Arial" w:ascii="Arial"/>
                <w:sz w:val="20"/>
                <w:szCs w:val="20"/>
              </w:rPr>
            </w:pPr>
            <w:r w:rsidRPr="00075203">
              <w:rPr>
                <w:rFonts w:cs="Arial" w:hAnsi="Arial" w:ascii="Arial"/>
                <w:sz w:val="20"/>
                <w:szCs w:val="20"/>
              </w:rPr>
              <w:t>Zagrebački holding d.o.o.</w:t>
            </w:r>
          </w:p>
        </w:tc>
        <w:tc>
          <w:tcPr>
            <w:tcW w:type="dxa" w:w="1559"/>
            <w:tcBorders>
              <w:top w:val="nil"/>
              <w:left w:val="nil"/>
              <w:bottom w:space="0" w:sz="4" w:color="auto" w:val="single"/>
              <w:right w:space="0" w:sz="4" w:color="auto" w:val="single"/>
            </w:tcBorders>
            <w:shd w:fill="auto" w:color="auto" w:val="clear"/>
            <w:noWrap/>
            <w:vAlign w:val="center"/>
            <w:hideMark/>
          </w:tcPr>
          <w:p w:rsidRDefault="00133CAE" w:rsidP="004B7368" w:rsidR="00133CAE" w:rsidRPr="00075203">
            <w:pPr>
              <w:jc w:val="right"/>
              <w:rPr>
                <w:rFonts w:cs="Arial" w:hAnsi="Arial" w:ascii="Arial"/>
                <w:sz w:val="20"/>
                <w:szCs w:val="20"/>
              </w:rPr>
            </w:pPr>
            <w:r w:rsidRPr="00075203">
              <w:rPr>
                <w:rFonts w:cs="Arial" w:hAnsi="Arial" w:ascii="Arial"/>
                <w:sz w:val="20"/>
                <w:szCs w:val="20"/>
              </w:rPr>
              <w:t>15.016,05</w:t>
            </w:r>
          </w:p>
        </w:tc>
        <w:tc>
          <w:tcPr>
            <w:tcW w:type="dxa" w:w="1276"/>
            <w:tcBorders>
              <w:top w:val="nil"/>
              <w:left w:val="nil"/>
              <w:bottom w:space="0" w:sz="4" w:color="auto" w:val="single"/>
              <w:right w:space="0" w:sz="4" w:color="auto" w:val="single"/>
            </w:tcBorders>
            <w:shd w:fill="auto" w:color="auto" w:val="clear"/>
            <w:noWrap/>
            <w:vAlign w:val="center"/>
            <w:hideMark/>
          </w:tcPr>
          <w:p w:rsidRDefault="00133CAE" w:rsidP="004B7368" w:rsidR="00133CAE" w:rsidRPr="00075203">
            <w:pPr>
              <w:jc w:val="right"/>
              <w:rPr>
                <w:rFonts w:cs="Arial" w:hAnsi="Arial" w:ascii="Arial"/>
                <w:sz w:val="20"/>
                <w:szCs w:val="20"/>
              </w:rPr>
            </w:pPr>
            <w:r w:rsidRPr="00075203">
              <w:rPr>
                <w:rFonts w:cs="Arial" w:hAnsi="Arial" w:ascii="Arial"/>
                <w:sz w:val="20"/>
                <w:szCs w:val="20"/>
              </w:rPr>
              <w:t>10.511,24 </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075203">
            <w:pPr>
              <w:jc w:val="right"/>
              <w:rPr>
                <w:rFonts w:cs="Arial" w:hAnsi="Arial" w:ascii="Arial"/>
                <w:sz w:val="20"/>
                <w:szCs w:val="20"/>
              </w:rPr>
            </w:pPr>
            <w:r w:rsidRPr="00075203">
              <w:rPr>
                <w:rFonts w:cs="Arial" w:hAnsi="Arial" w:ascii="Arial"/>
                <w:sz w:val="20"/>
                <w:szCs w:val="20"/>
              </w:rPr>
              <w:t>4.504,82</w:t>
            </w:r>
          </w:p>
        </w:tc>
      </w:tr>
      <w:tr w:rsidTr="004B7368" w:rsidR="00133CAE" w:rsidRPr="00075203">
        <w:trPr>
          <w:trHeight w:val="300"/>
        </w:trPr>
        <w:tc>
          <w:tcPr>
            <w:tcW w:type="dxa" w:w="650"/>
            <w:tcBorders>
              <w:top w:val="nil"/>
              <w:left w:val="nil"/>
              <w:bottom w:val="nil"/>
              <w:right w:val="nil"/>
            </w:tcBorders>
            <w:shd w:fill="auto" w:color="auto" w:val="clear"/>
            <w:noWrap/>
            <w:vAlign w:val="center"/>
            <w:hideMark/>
          </w:tcPr>
          <w:p w:rsidRDefault="00133CAE" w:rsidP="004B7368" w:rsidR="00133CAE" w:rsidRPr="00075203">
            <w:pPr>
              <w:jc w:val="right"/>
              <w:rPr>
                <w:rFonts w:cs="Arial" w:hAnsi="Arial" w:ascii="Arial"/>
                <w:sz w:val="20"/>
                <w:szCs w:val="20"/>
              </w:rPr>
            </w:pPr>
          </w:p>
        </w:tc>
        <w:tc>
          <w:tcPr>
            <w:tcW w:type="dxa" w:w="1613"/>
            <w:tcBorders>
              <w:top w:val="nil"/>
              <w:left w:val="nil"/>
              <w:bottom w:val="nil"/>
              <w:right w:val="nil"/>
            </w:tcBorders>
            <w:shd w:fill="auto" w:color="auto" w:val="clear"/>
            <w:noWrap/>
            <w:vAlign w:val="center"/>
            <w:hideMark/>
          </w:tcPr>
          <w:p w:rsidRDefault="00133CAE" w:rsidP="004B7368" w:rsidR="00133CAE" w:rsidRPr="00075203">
            <w:pPr>
              <w:jc w:val="center"/>
              <w:rPr>
                <w:sz w:val="20"/>
                <w:szCs w:val="20"/>
              </w:rPr>
            </w:pPr>
          </w:p>
        </w:tc>
        <w:tc>
          <w:tcPr>
            <w:tcW w:type="dxa" w:w="3119"/>
            <w:tcBorders>
              <w:top w:val="nil"/>
              <w:left w:val="nil"/>
              <w:bottom w:val="nil"/>
              <w:right w:val="nil"/>
            </w:tcBorders>
            <w:shd w:fill="auto" w:color="auto" w:val="clear"/>
            <w:vAlign w:val="center"/>
            <w:hideMark/>
          </w:tcPr>
          <w:p w:rsidRDefault="00133CAE" w:rsidP="004B7368" w:rsidR="00133CAE" w:rsidRPr="00075203">
            <w:pPr>
              <w:rPr>
                <w:rFonts w:cs="Arial" w:hAnsi="Arial" w:ascii="Arial"/>
                <w:b/>
                <w:bCs/>
                <w:sz w:val="20"/>
                <w:szCs w:val="20"/>
              </w:rPr>
            </w:pPr>
            <w:r w:rsidRPr="00075203">
              <w:rPr>
                <w:rFonts w:cs="Arial" w:hAnsi="Arial" w:ascii="Arial"/>
                <w:b/>
                <w:bCs/>
                <w:sz w:val="20"/>
                <w:szCs w:val="20"/>
              </w:rPr>
              <w:t>UKUPNO</w:t>
            </w:r>
          </w:p>
        </w:tc>
        <w:tc>
          <w:tcPr>
            <w:tcW w:type="dxa" w:w="1559"/>
            <w:tcBorders>
              <w:top w:val="nil"/>
              <w:left w:val="nil"/>
              <w:bottom w:val="nil"/>
              <w:right w:val="nil"/>
            </w:tcBorders>
            <w:shd w:fill="auto" w:color="auto" w:val="clear"/>
            <w:noWrap/>
            <w:vAlign w:val="center"/>
            <w:hideMark/>
          </w:tcPr>
          <w:p w:rsidRDefault="00133CAE" w:rsidP="004B7368" w:rsidR="00133CAE" w:rsidRPr="00075203">
            <w:pPr>
              <w:jc w:val="right"/>
              <w:rPr>
                <w:rFonts w:cs="Arial" w:hAnsi="Arial" w:ascii="Arial"/>
                <w:b/>
                <w:bCs/>
                <w:sz w:val="20"/>
                <w:szCs w:val="20"/>
              </w:rPr>
            </w:pPr>
            <w:r w:rsidRPr="00075203">
              <w:rPr>
                <w:rFonts w:cs="Arial" w:hAnsi="Arial" w:ascii="Arial"/>
                <w:b/>
                <w:bCs/>
                <w:sz w:val="20"/>
                <w:szCs w:val="20"/>
              </w:rPr>
              <w:t>64.182,74</w:t>
            </w:r>
          </w:p>
        </w:tc>
        <w:tc>
          <w:tcPr>
            <w:tcW w:type="dxa" w:w="1276"/>
            <w:tcBorders>
              <w:top w:val="nil"/>
              <w:left w:val="nil"/>
              <w:bottom w:val="nil"/>
              <w:right w:val="nil"/>
            </w:tcBorders>
            <w:shd w:fill="auto" w:color="auto" w:val="clear"/>
            <w:noWrap/>
            <w:vAlign w:val="center"/>
            <w:hideMark/>
          </w:tcPr>
          <w:p w:rsidRDefault="00133CAE" w:rsidP="004B7368" w:rsidR="00133CAE" w:rsidRPr="00075203">
            <w:pPr>
              <w:jc w:val="right"/>
              <w:rPr>
                <w:rFonts w:cs="Arial" w:hAnsi="Arial" w:ascii="Arial"/>
                <w:b/>
                <w:bCs/>
                <w:sz w:val="20"/>
                <w:szCs w:val="20"/>
              </w:rPr>
            </w:pPr>
          </w:p>
        </w:tc>
        <w:tc>
          <w:tcPr>
            <w:tcW w:type="dxa" w:w="1461"/>
            <w:tcBorders>
              <w:top w:val="nil"/>
              <w:left w:val="nil"/>
              <w:bottom w:val="nil"/>
              <w:right w:val="nil"/>
            </w:tcBorders>
            <w:shd w:fill="auto" w:color="auto" w:val="clear"/>
            <w:noWrap/>
            <w:vAlign w:val="center"/>
            <w:hideMark/>
          </w:tcPr>
          <w:p w:rsidRDefault="00133CAE" w:rsidP="004B7368" w:rsidR="00133CAE" w:rsidRPr="00075203">
            <w:pPr>
              <w:jc w:val="right"/>
              <w:rPr>
                <w:rFonts w:cs="Arial" w:hAnsi="Arial" w:ascii="Arial"/>
                <w:b/>
                <w:bCs/>
                <w:sz w:val="20"/>
                <w:szCs w:val="20"/>
              </w:rPr>
            </w:pPr>
            <w:r w:rsidRPr="00075203">
              <w:rPr>
                <w:rFonts w:cs="Arial" w:hAnsi="Arial" w:ascii="Arial"/>
                <w:b/>
                <w:bCs/>
                <w:sz w:val="20"/>
                <w:szCs w:val="20"/>
              </w:rPr>
              <w:t>53.671,51</w:t>
            </w:r>
          </w:p>
        </w:tc>
      </w:tr>
    </w:tbl>
    <w:p w:rsidRDefault="00133CAE" w:rsidP="00133CAE" w:rsidR="00133CAE" w:rsidRPr="00075203">
      <w:pPr>
        <w:pStyle w:val="Standard"/>
        <w:jc w:val="both"/>
        <w:rPr>
          <w:rFonts w:cs="Arial" w:hAnsi="Arial" w:ascii="Arial"/>
          <w:lang w:val="pl-PL"/>
        </w:rPr>
      </w:pPr>
    </w:p>
    <w:p w:rsidRDefault="00133CAE" w:rsidP="00133CAE" w:rsidR="00133CAE" w:rsidRPr="00075203">
      <w:pPr>
        <w:pStyle w:val="Standard"/>
        <w:jc w:val="both"/>
        <w:rPr>
          <w:rFonts w:cs="Arial" w:hAnsi="Arial" w:ascii="Arial"/>
          <w:lang w:val="pl-PL"/>
        </w:rPr>
      </w:pPr>
    </w:p>
    <w:p w:rsidRDefault="00133CAE" w:rsidP="00133CAE" w:rsidR="00133CAE">
      <w:pPr>
        <w:autoSpaceDE w:val="false"/>
        <w:autoSpaceDN w:val="false"/>
        <w:adjustRightInd w:val="false"/>
        <w:rPr>
          <w:rFonts w:cs="Arial" w:hAnsi="Arial" w:ascii="Arial"/>
          <w:sz w:val="20"/>
          <w:szCs w:val="20"/>
        </w:rPr>
      </w:pPr>
    </w:p>
    <w:p w:rsidRDefault="00133CAE" w:rsidP="00133CAE" w:rsidR="00133CAE">
      <w:pPr>
        <w:autoSpaceDE w:val="false"/>
        <w:autoSpaceDN w:val="false"/>
        <w:adjustRightInd w:val="false"/>
        <w:rPr>
          <w:rFonts w:cs="Arial" w:hAnsi="Arial" w:ascii="Arial"/>
          <w:sz w:val="20"/>
          <w:szCs w:val="20"/>
        </w:rPr>
      </w:pPr>
    </w:p>
    <w:p w:rsidRDefault="00133CAE" w:rsidP="00133CAE" w:rsidR="00133CAE" w:rsidRPr="0017719E">
      <w:pPr>
        <w:autoSpaceDE w:val="false"/>
        <w:autoSpaceDN w:val="false"/>
        <w:adjustRightInd w:val="false"/>
        <w:rPr>
          <w:sz w:val="20"/>
          <w:szCs w:val="20"/>
        </w:rPr>
      </w:pPr>
    </w:p>
    <w:p w:rsidRDefault="00133CAE" w:rsidP="00133CAE" w:rsidR="00133CAE" w:rsidRPr="0017719E">
      <w:pPr>
        <w:autoSpaceDE w:val="false"/>
        <w:autoSpaceDN w:val="false"/>
        <w:adjustRightInd w:val="false"/>
        <w:rPr>
          <w:b/>
          <w:bCs/>
          <w:sz w:val="20"/>
          <w:szCs w:val="20"/>
        </w:rPr>
      </w:pPr>
      <w:r w:rsidRPr="0017719E">
        <w:rPr>
          <w:b/>
          <w:bCs/>
          <w:sz w:val="20"/>
          <w:szCs w:val="20"/>
        </w:rPr>
        <w:t>2. FINANCIJSKE INSTITUCIJE</w:t>
      </w:r>
    </w:p>
    <w:p w:rsidRDefault="00133CAE" w:rsidP="00133CAE" w:rsidR="00133CAE" w:rsidRPr="0017719E">
      <w:pPr>
        <w:autoSpaceDE w:val="false"/>
        <w:autoSpaceDN w:val="false"/>
        <w:adjustRightInd w:val="false"/>
        <w:rPr>
          <w:sz w:val="20"/>
          <w:szCs w:val="20"/>
        </w:rPr>
      </w:pPr>
    </w:p>
    <w:p w:rsidRDefault="00133CAE" w:rsidP="00133CAE" w:rsidR="00133CAE" w:rsidRPr="0017719E">
      <w:pPr>
        <w:autoSpaceDE w:val="false"/>
        <w:autoSpaceDN w:val="false"/>
        <w:adjustRightInd w:val="false"/>
      </w:pPr>
      <w:r w:rsidRPr="0017719E">
        <w:t>Obveze na dan 20.07.2016,g, sukladno utvrđenim tražbinama iznosi 1.277.860,63 Kn; obveze će se izmiriti na slijedeći način:</w:t>
      </w:r>
    </w:p>
    <w:p w:rsidRDefault="00133CAE" w:rsidP="00133CAE" w:rsidR="00133CAE" w:rsidRPr="0017719E">
      <w:pPr>
        <w:autoSpaceDE w:val="false"/>
        <w:autoSpaceDN w:val="false"/>
        <w:adjustRightInd w:val="false"/>
      </w:pPr>
    </w:p>
    <w:p w:rsidRDefault="00133CAE" w:rsidP="00133CAE" w:rsidR="00133CAE" w:rsidRPr="0017719E">
      <w:pPr>
        <w:pStyle w:val="Standard"/>
        <w:numPr>
          <w:ilvl w:val="0"/>
          <w:numId w:val="17"/>
        </w:numPr>
        <w:ind w:left="375"/>
        <w:jc w:val="both"/>
        <w:rPr>
          <w:rFonts w:cs="Times New Roman"/>
          <w:lang w:val="pl-PL"/>
        </w:rPr>
      </w:pPr>
      <w:r w:rsidRPr="0017719E">
        <w:rPr>
          <w:rFonts w:cs="Times New Roman"/>
          <w:lang w:val="pl-PL"/>
        </w:rPr>
        <w:t>Obveze prema poslovnoj banci izmirit će se sukladno potpisanom sporazumu sa Bankom na način da se otpiše akumulirana kamata po svim osnovama a glavnica isplati u mjesečnim anuitetima u pet godina uz jednu godinu počeka i kamatnu stopu od 6% godišnje – sve prema planu otplate kredita.</w:t>
      </w:r>
    </w:p>
    <w:p w:rsidRDefault="00133CAE" w:rsidP="00133CAE" w:rsidR="00133CAE" w:rsidRPr="0017719E">
      <w:pPr>
        <w:pStyle w:val="Standard"/>
        <w:ind w:left="375"/>
        <w:jc w:val="both"/>
        <w:rPr>
          <w:rFonts w:cs="Times New Roman"/>
          <w:lang w:val="pl-PL"/>
        </w:rPr>
      </w:pPr>
    </w:p>
    <w:p w:rsidRDefault="00133CAE" w:rsidP="00133CAE" w:rsidR="00133CAE" w:rsidRPr="0017719E">
      <w:pPr>
        <w:pStyle w:val="Standard"/>
        <w:numPr>
          <w:ilvl w:val="0"/>
          <w:numId w:val="18"/>
        </w:numPr>
        <w:ind w:left="364"/>
        <w:jc w:val="both"/>
        <w:rPr>
          <w:rFonts w:cs="Times New Roman"/>
          <w:lang w:val="pl-PL"/>
        </w:rPr>
      </w:pPr>
      <w:r w:rsidRPr="0017719E">
        <w:rPr>
          <w:rFonts w:cs="Times New Roman"/>
          <w:lang w:val="pl-PL"/>
        </w:rPr>
        <w:t>Obveze prema ostalim financijskim institucijama izmirit će se na način da se obveza umanji za 70%, a preostali iznos isplati u jednakim tromjesečnim ratama tokom pet godina uz jednu godinu počeka, beskamatno.</w:t>
      </w:r>
    </w:p>
    <w:p w:rsidRDefault="00133CAE" w:rsidP="00133CAE" w:rsidR="00133CAE" w:rsidRPr="0017719E">
      <w:pPr>
        <w:pStyle w:val="Standard"/>
        <w:ind w:left="364"/>
        <w:jc w:val="both"/>
        <w:rPr>
          <w:rFonts w:cs="Times New Roman"/>
          <w:lang w:val="pl-PL"/>
        </w:rPr>
      </w:pPr>
      <w:r w:rsidRPr="0017719E">
        <w:rPr>
          <w:rFonts w:cs="Times New Roman"/>
          <w:lang w:val="pl-PL"/>
        </w:rPr>
        <w:t>Poček počinje od dana pravomoćnosti sudskog Rješenja o predstečajnoj nagodbi.</w:t>
      </w:r>
    </w:p>
    <w:p w:rsidRDefault="00133CAE" w:rsidP="00133CAE" w:rsidR="00133CAE" w:rsidRPr="00075203">
      <w:pPr>
        <w:autoSpaceDE w:val="false"/>
        <w:autoSpaceDN w:val="false"/>
        <w:adjustRightInd w:val="false"/>
        <w:rPr>
          <w:rFonts w:cs="Arial" w:hAnsi="Arial" w:ascii="Arial"/>
        </w:rPr>
      </w:pPr>
    </w:p>
    <w:p w:rsidRDefault="00133CAE" w:rsidP="00133CAE" w:rsidR="00133CAE" w:rsidRPr="00075203">
      <w:pPr>
        <w:autoSpaceDE w:val="false"/>
        <w:autoSpaceDN w:val="false"/>
        <w:adjustRightInd w:val="false"/>
        <w:rPr>
          <w:rFonts w:cs="Arial" w:hAnsi="Arial" w:ascii="Arial"/>
          <w:sz w:val="20"/>
          <w:szCs w:val="20"/>
        </w:rPr>
      </w:pPr>
    </w:p>
    <w:p w:rsidRDefault="00133CAE" w:rsidP="00133CAE" w:rsidR="00133CAE" w:rsidRPr="00075203">
      <w:pPr>
        <w:autoSpaceDE w:val="false"/>
        <w:autoSpaceDN w:val="false"/>
        <w:adjustRightInd w:val="false"/>
        <w:rPr>
          <w:rFonts w:cs="Arial" w:hAnsi="Arial" w:ascii="Arial"/>
          <w:sz w:val="20"/>
          <w:szCs w:val="20"/>
        </w:rPr>
      </w:pPr>
    </w:p>
    <w:tbl>
      <w:tblPr>
        <w:tblW w:type="dxa" w:w="9678"/>
        <w:tblLook w:val="04A0" w:noVBand="1" w:noHBand="0" w:lastColumn="0" w:firstColumn="1" w:lastRow="0" w:firstRow="1"/>
      </w:tblPr>
      <w:tblGrid>
        <w:gridCol w:w="650"/>
        <w:gridCol w:w="1613"/>
        <w:gridCol w:w="3119"/>
        <w:gridCol w:w="1417"/>
        <w:gridCol w:w="1418"/>
        <w:gridCol w:w="1461"/>
      </w:tblGrid>
      <w:tr w:rsidTr="004B7368" w:rsidR="00133CAE" w:rsidRPr="00075203">
        <w:trPr>
          <w:trHeight w:val="900"/>
        </w:trPr>
        <w:tc>
          <w:tcPr>
            <w:tcW w:type="dxa" w:w="650"/>
            <w:tcBorders>
              <w:top w:space="0" w:sz="4" w:color="auto" w:val="single"/>
              <w:left w:space="0" w:sz="4" w:color="auto" w:val="single"/>
              <w:bottom w:space="0" w:sz="6" w:color="auto" w:val="double"/>
              <w:right w:space="0" w:sz="4" w:color="auto" w:val="single"/>
            </w:tcBorders>
            <w:shd w:fill="D9D9D9" w:color="000000" w:val="clear"/>
            <w:noWrap/>
            <w:vAlign w:val="center"/>
            <w:hideMark/>
          </w:tcPr>
          <w:p w:rsidRDefault="00133CAE" w:rsidP="004B7368" w:rsidR="00133CAE" w:rsidRPr="00DA6FFB">
            <w:pPr>
              <w:jc w:val="center"/>
              <w:rPr>
                <w:rFonts w:cs="Arial" w:hAnsi="Arial" w:ascii="Arial"/>
                <w:b/>
                <w:bCs/>
                <w:sz w:val="20"/>
                <w:szCs w:val="20"/>
              </w:rPr>
            </w:pPr>
            <w:r w:rsidRPr="00DA6FFB">
              <w:rPr>
                <w:rFonts w:cs="Arial" w:hAnsi="Arial" w:ascii="Arial"/>
                <w:b/>
                <w:bCs/>
                <w:sz w:val="20"/>
                <w:szCs w:val="20"/>
              </w:rPr>
              <w:t>RBR</w:t>
            </w:r>
          </w:p>
        </w:tc>
        <w:tc>
          <w:tcPr>
            <w:tcW w:type="dxa" w:w="1613"/>
            <w:tcBorders>
              <w:top w:space="0" w:sz="4" w:color="auto" w:val="single"/>
              <w:left w:val="nil"/>
              <w:bottom w:space="0" w:sz="6" w:color="auto" w:val="double"/>
              <w:right w:space="0" w:sz="4" w:color="auto" w:val="single"/>
            </w:tcBorders>
            <w:shd w:fill="D9D9D9" w:color="000000" w:val="clear"/>
            <w:noWrap/>
            <w:vAlign w:val="center"/>
            <w:hideMark/>
          </w:tcPr>
          <w:p w:rsidRDefault="00133CAE" w:rsidP="004B7368" w:rsidR="00133CAE" w:rsidRPr="00DA6FFB">
            <w:pPr>
              <w:jc w:val="center"/>
              <w:rPr>
                <w:rFonts w:cs="Arial" w:hAnsi="Arial" w:ascii="Arial"/>
                <w:b/>
                <w:bCs/>
                <w:sz w:val="20"/>
                <w:szCs w:val="20"/>
              </w:rPr>
            </w:pPr>
            <w:r w:rsidRPr="00DA6FFB">
              <w:rPr>
                <w:rFonts w:cs="Arial" w:hAnsi="Arial" w:ascii="Arial"/>
                <w:b/>
                <w:bCs/>
                <w:sz w:val="20"/>
                <w:szCs w:val="20"/>
              </w:rPr>
              <w:t>OIB</w:t>
            </w:r>
          </w:p>
        </w:tc>
        <w:tc>
          <w:tcPr>
            <w:tcW w:type="dxa" w:w="3119"/>
            <w:tcBorders>
              <w:top w:space="0" w:sz="4" w:color="auto" w:val="single"/>
              <w:left w:val="nil"/>
              <w:bottom w:space="0" w:sz="6" w:color="auto" w:val="double"/>
              <w:right w:space="0" w:sz="4" w:color="auto" w:val="single"/>
            </w:tcBorders>
            <w:shd w:fill="D9D9D9" w:color="000000" w:val="clear"/>
            <w:vAlign w:val="center"/>
            <w:hideMark/>
          </w:tcPr>
          <w:p w:rsidRDefault="00133CAE" w:rsidP="004B7368" w:rsidR="00133CAE" w:rsidRPr="00DA6FFB">
            <w:pPr>
              <w:jc w:val="center"/>
              <w:rPr>
                <w:rFonts w:cs="Arial" w:hAnsi="Arial" w:ascii="Arial"/>
                <w:b/>
                <w:bCs/>
                <w:sz w:val="20"/>
                <w:szCs w:val="20"/>
              </w:rPr>
            </w:pPr>
            <w:r w:rsidRPr="00DA6FFB">
              <w:rPr>
                <w:rFonts w:cs="Arial" w:hAnsi="Arial" w:ascii="Arial"/>
                <w:b/>
                <w:bCs/>
                <w:sz w:val="20"/>
                <w:szCs w:val="20"/>
              </w:rPr>
              <w:t>NAZIV VJEROVNIKA</w:t>
            </w:r>
          </w:p>
        </w:tc>
        <w:tc>
          <w:tcPr>
            <w:tcW w:type="dxa" w:w="1417"/>
            <w:tcBorders>
              <w:top w:space="0" w:sz="4" w:color="auto" w:val="single"/>
              <w:left w:val="nil"/>
              <w:bottom w:space="0" w:sz="6" w:color="auto" w:val="double"/>
              <w:right w:space="0" w:sz="4" w:color="auto" w:val="single"/>
            </w:tcBorders>
            <w:shd w:fill="D9D9D9" w:color="000000" w:val="clear"/>
            <w:vAlign w:val="center"/>
            <w:hideMark/>
          </w:tcPr>
          <w:p w:rsidRDefault="00133CAE" w:rsidP="004B7368" w:rsidR="00133CAE" w:rsidRPr="00DA6FFB">
            <w:pPr>
              <w:jc w:val="center"/>
              <w:rPr>
                <w:rFonts w:cs="Arial" w:hAnsi="Arial" w:ascii="Arial"/>
                <w:b/>
                <w:bCs/>
                <w:sz w:val="20"/>
                <w:szCs w:val="20"/>
              </w:rPr>
            </w:pPr>
            <w:r w:rsidRPr="00DA6FFB">
              <w:rPr>
                <w:rFonts w:cs="Arial" w:hAnsi="Arial" w:ascii="Arial"/>
                <w:b/>
                <w:bCs/>
                <w:sz w:val="20"/>
                <w:szCs w:val="20"/>
              </w:rPr>
              <w:t>UTVRĐENI</w:t>
            </w:r>
            <w:r w:rsidRPr="00DA6FFB">
              <w:rPr>
                <w:rFonts w:cs="Arial" w:hAnsi="Arial" w:ascii="Arial"/>
                <w:b/>
                <w:bCs/>
                <w:sz w:val="20"/>
                <w:szCs w:val="20"/>
              </w:rPr>
              <w:br/>
              <w:t>IZNOS</w:t>
            </w:r>
            <w:r w:rsidRPr="00DA6FFB">
              <w:rPr>
                <w:rFonts w:cs="Arial" w:hAnsi="Arial" w:ascii="Arial"/>
                <w:b/>
                <w:bCs/>
                <w:sz w:val="20"/>
                <w:szCs w:val="20"/>
              </w:rPr>
              <w:br/>
              <w:t>TRAŽBINE</w:t>
            </w:r>
          </w:p>
        </w:tc>
        <w:tc>
          <w:tcPr>
            <w:tcW w:type="dxa" w:w="1418"/>
            <w:tcBorders>
              <w:top w:space="0" w:sz="4" w:color="auto" w:val="single"/>
              <w:left w:val="nil"/>
              <w:bottom w:space="0" w:sz="6" w:color="auto" w:val="double"/>
              <w:right w:space="0" w:sz="4" w:color="auto" w:val="single"/>
            </w:tcBorders>
            <w:shd w:fill="D9D9D9" w:color="000000" w:val="clear"/>
            <w:noWrap/>
            <w:vAlign w:val="center"/>
            <w:hideMark/>
          </w:tcPr>
          <w:p w:rsidRDefault="00133CAE" w:rsidP="004B7368" w:rsidR="00133CAE" w:rsidRPr="00DA6FFB">
            <w:pPr>
              <w:jc w:val="center"/>
              <w:rPr>
                <w:rFonts w:cs="Arial" w:hAnsi="Arial" w:ascii="Arial"/>
                <w:b/>
                <w:bCs/>
                <w:sz w:val="20"/>
                <w:szCs w:val="20"/>
              </w:rPr>
            </w:pPr>
            <w:r w:rsidRPr="00DA6FFB">
              <w:rPr>
                <w:rFonts w:cs="Arial" w:hAnsi="Arial" w:ascii="Arial"/>
                <w:b/>
                <w:bCs/>
                <w:sz w:val="20"/>
                <w:szCs w:val="20"/>
              </w:rPr>
              <w:t>OTPIS</w:t>
            </w:r>
          </w:p>
        </w:tc>
        <w:tc>
          <w:tcPr>
            <w:tcW w:type="dxa" w:w="1461"/>
            <w:tcBorders>
              <w:top w:space="0" w:sz="4" w:color="auto" w:val="single"/>
              <w:left w:val="nil"/>
              <w:bottom w:space="0" w:sz="6" w:color="auto" w:val="double"/>
              <w:right w:space="0" w:sz="4" w:color="auto" w:val="single"/>
            </w:tcBorders>
            <w:shd w:fill="D9D9D9" w:color="000000" w:val="clear"/>
            <w:vAlign w:val="center"/>
            <w:hideMark/>
          </w:tcPr>
          <w:p w:rsidRDefault="00133CAE" w:rsidP="004B7368" w:rsidR="00133CAE" w:rsidRPr="00DA6FFB">
            <w:pPr>
              <w:jc w:val="center"/>
              <w:rPr>
                <w:rFonts w:cs="Arial" w:hAnsi="Arial" w:ascii="Arial"/>
                <w:b/>
                <w:bCs/>
                <w:sz w:val="20"/>
                <w:szCs w:val="20"/>
              </w:rPr>
            </w:pPr>
            <w:r w:rsidRPr="00DA6FFB">
              <w:rPr>
                <w:rFonts w:cs="Arial" w:hAnsi="Arial" w:ascii="Arial"/>
                <w:b/>
                <w:bCs/>
                <w:sz w:val="20"/>
                <w:szCs w:val="20"/>
              </w:rPr>
              <w:t>PREOSTALO</w:t>
            </w:r>
            <w:r w:rsidRPr="00DA6FFB">
              <w:rPr>
                <w:rFonts w:cs="Arial" w:hAnsi="Arial" w:ascii="Arial"/>
                <w:b/>
                <w:bCs/>
                <w:sz w:val="20"/>
                <w:szCs w:val="20"/>
              </w:rPr>
              <w:br/>
              <w:t>ZA OTPLATU</w:t>
            </w:r>
          </w:p>
        </w:tc>
      </w:tr>
      <w:tr w:rsidTr="004B7368" w:rsidR="00133CAE" w:rsidRPr="00DA6FFB">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DA6FFB">
            <w:pPr>
              <w:jc w:val="center"/>
              <w:rPr>
                <w:rFonts w:cs="Arial" w:hAnsi="Arial" w:ascii="Arial"/>
                <w:sz w:val="20"/>
                <w:szCs w:val="20"/>
              </w:rPr>
            </w:pPr>
            <w:r w:rsidRPr="00DA6FFB">
              <w:rPr>
                <w:rFonts w:cs="Arial" w:hAnsi="Arial" w:ascii="Arial"/>
                <w:sz w:val="20"/>
                <w:szCs w:val="20"/>
              </w:rPr>
              <w:t>1</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DA6FFB">
            <w:pPr>
              <w:jc w:val="center"/>
              <w:rPr>
                <w:rFonts w:cs="Arial" w:hAnsi="Arial" w:ascii="Arial"/>
                <w:sz w:val="20"/>
                <w:szCs w:val="20"/>
              </w:rPr>
            </w:pPr>
            <w:r w:rsidRPr="00DA6FFB">
              <w:rPr>
                <w:rFonts w:cs="Arial" w:hAnsi="Arial" w:ascii="Arial"/>
                <w:sz w:val="20"/>
                <w:szCs w:val="20"/>
              </w:rPr>
              <w:t>99681708224</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DA6FFB">
            <w:pPr>
              <w:rPr>
                <w:rFonts w:cs="Arial" w:hAnsi="Arial" w:ascii="Arial"/>
                <w:sz w:val="20"/>
                <w:szCs w:val="20"/>
              </w:rPr>
            </w:pPr>
            <w:r w:rsidRPr="00DA6FFB">
              <w:rPr>
                <w:rFonts w:cs="Arial" w:hAnsi="Arial" w:ascii="Arial"/>
                <w:sz w:val="20"/>
                <w:szCs w:val="20"/>
              </w:rPr>
              <w:t>Euroagram TIS</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DA6FFB">
            <w:pPr>
              <w:jc w:val="right"/>
              <w:rPr>
                <w:rFonts w:cs="Arial" w:hAnsi="Arial" w:ascii="Arial"/>
                <w:sz w:val="20"/>
                <w:szCs w:val="20"/>
              </w:rPr>
            </w:pPr>
            <w:r w:rsidRPr="00DA6FFB">
              <w:rPr>
                <w:rFonts w:cs="Arial" w:hAnsi="Arial" w:ascii="Arial"/>
                <w:sz w:val="20"/>
                <w:szCs w:val="20"/>
              </w:rPr>
              <w:t>2.273,69</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DA6FFB">
            <w:pPr>
              <w:jc w:val="right"/>
              <w:rPr>
                <w:rFonts w:cs="Arial" w:hAnsi="Arial" w:ascii="Arial"/>
                <w:sz w:val="20"/>
                <w:szCs w:val="20"/>
              </w:rPr>
            </w:pPr>
            <w:r w:rsidRPr="00DA6FFB">
              <w:rPr>
                <w:rFonts w:cs="Arial" w:hAnsi="Arial" w:ascii="Arial"/>
                <w:sz w:val="20"/>
                <w:szCs w:val="20"/>
              </w:rPr>
              <w:t>1.591,58</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DA6FFB">
            <w:pPr>
              <w:jc w:val="right"/>
              <w:rPr>
                <w:rFonts w:cs="Arial" w:hAnsi="Arial" w:ascii="Arial"/>
                <w:sz w:val="20"/>
                <w:szCs w:val="20"/>
              </w:rPr>
            </w:pPr>
            <w:r w:rsidRPr="00DA6FFB">
              <w:rPr>
                <w:rFonts w:cs="Arial" w:hAnsi="Arial" w:ascii="Arial"/>
                <w:sz w:val="20"/>
                <w:szCs w:val="20"/>
              </w:rPr>
              <w:t>682,11</w:t>
            </w:r>
          </w:p>
        </w:tc>
      </w:tr>
      <w:tr w:rsidTr="004B7368" w:rsidR="00133CAE" w:rsidRPr="00DA6FFB">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DA6FFB">
            <w:pPr>
              <w:jc w:val="center"/>
              <w:rPr>
                <w:rFonts w:cs="Arial" w:hAnsi="Arial" w:ascii="Arial"/>
                <w:sz w:val="20"/>
                <w:szCs w:val="20"/>
              </w:rPr>
            </w:pPr>
            <w:r w:rsidRPr="00DA6FFB">
              <w:rPr>
                <w:rFonts w:cs="Arial" w:hAnsi="Arial" w:ascii="Arial"/>
                <w:sz w:val="20"/>
                <w:szCs w:val="20"/>
              </w:rPr>
              <w:t>2</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DA6FFB">
            <w:pPr>
              <w:jc w:val="center"/>
              <w:rPr>
                <w:rFonts w:cs="Arial" w:hAnsi="Arial" w:ascii="Arial"/>
                <w:sz w:val="20"/>
                <w:szCs w:val="20"/>
              </w:rPr>
            </w:pPr>
            <w:r w:rsidRPr="00DA6FFB">
              <w:rPr>
                <w:rFonts w:cs="Arial" w:hAnsi="Arial" w:ascii="Arial"/>
                <w:sz w:val="20"/>
                <w:szCs w:val="20"/>
              </w:rPr>
              <w:t>22694857747</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DA6FFB">
            <w:pPr>
              <w:rPr>
                <w:rFonts w:cs="Arial" w:hAnsi="Arial" w:ascii="Arial"/>
                <w:sz w:val="20"/>
                <w:szCs w:val="20"/>
              </w:rPr>
            </w:pPr>
            <w:r w:rsidRPr="00DA6FFB">
              <w:rPr>
                <w:rFonts w:cs="Arial" w:hAnsi="Arial" w:ascii="Arial"/>
                <w:sz w:val="20"/>
                <w:szCs w:val="20"/>
              </w:rPr>
              <w:t>Euroherc, podružnica Karlovac</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DA6FFB">
            <w:pPr>
              <w:jc w:val="right"/>
              <w:rPr>
                <w:rFonts w:cs="Arial" w:hAnsi="Arial" w:ascii="Arial"/>
                <w:sz w:val="20"/>
                <w:szCs w:val="20"/>
              </w:rPr>
            </w:pPr>
            <w:r w:rsidRPr="00DA6FFB">
              <w:rPr>
                <w:rFonts w:cs="Arial" w:hAnsi="Arial" w:ascii="Arial"/>
                <w:sz w:val="20"/>
                <w:szCs w:val="20"/>
              </w:rPr>
              <w:t>24.790,94</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DA6FFB">
            <w:pPr>
              <w:jc w:val="right"/>
              <w:rPr>
                <w:rFonts w:cs="Arial" w:hAnsi="Arial" w:ascii="Arial"/>
                <w:sz w:val="20"/>
                <w:szCs w:val="20"/>
              </w:rPr>
            </w:pPr>
            <w:r w:rsidRPr="00DA6FFB">
              <w:rPr>
                <w:rFonts w:cs="Arial" w:hAnsi="Arial" w:ascii="Arial"/>
                <w:sz w:val="20"/>
                <w:szCs w:val="20"/>
              </w:rPr>
              <w:t>17.353,66</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DA6FFB">
            <w:pPr>
              <w:jc w:val="right"/>
              <w:rPr>
                <w:rFonts w:cs="Arial" w:hAnsi="Arial" w:ascii="Arial"/>
                <w:sz w:val="20"/>
                <w:szCs w:val="20"/>
              </w:rPr>
            </w:pPr>
            <w:r w:rsidRPr="00DA6FFB">
              <w:rPr>
                <w:rFonts w:cs="Arial" w:hAnsi="Arial" w:ascii="Arial"/>
                <w:sz w:val="20"/>
                <w:szCs w:val="20"/>
              </w:rPr>
              <w:t>7.437,28</w:t>
            </w:r>
          </w:p>
        </w:tc>
      </w:tr>
      <w:tr w:rsidTr="004B7368" w:rsidR="00133CAE" w:rsidRPr="00DA6FFB">
        <w:trPr>
          <w:trHeight w:val="300"/>
        </w:trPr>
        <w:tc>
          <w:tcPr>
            <w:tcW w:type="dxa" w:w="650"/>
            <w:tcBorders>
              <w:top w:space="0" w:sz="4" w:color="auto" w:val="single"/>
              <w:left w:space="0" w:sz="4" w:color="auto" w:val="single"/>
              <w:bottom w:space="0" w:sz="4" w:color="auto" w:val="single"/>
              <w:right w:val="nil"/>
            </w:tcBorders>
            <w:shd w:fill="auto" w:color="auto" w:val="clear"/>
            <w:noWrap/>
            <w:vAlign w:val="center"/>
            <w:hideMark/>
          </w:tcPr>
          <w:p w:rsidRDefault="00133CAE" w:rsidP="004B7368" w:rsidR="00133CAE" w:rsidRPr="00DA6FFB">
            <w:pPr>
              <w:jc w:val="center"/>
              <w:rPr>
                <w:rFonts w:cs="Arial" w:hAnsi="Arial" w:ascii="Arial"/>
                <w:sz w:val="20"/>
                <w:szCs w:val="20"/>
              </w:rPr>
            </w:pPr>
            <w:r w:rsidRPr="00DA6FFB">
              <w:rPr>
                <w:rFonts w:cs="Arial" w:hAnsi="Arial" w:ascii="Arial"/>
                <w:sz w:val="20"/>
                <w:szCs w:val="20"/>
              </w:rPr>
              <w:t>3</w:t>
            </w:r>
          </w:p>
        </w:tc>
        <w:tc>
          <w:tcPr>
            <w:tcW w:type="dxa" w:w="1613"/>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DA6FFB">
            <w:pPr>
              <w:jc w:val="center"/>
              <w:rPr>
                <w:rFonts w:cs="Arial" w:hAnsi="Arial" w:ascii="Arial"/>
                <w:sz w:val="20"/>
                <w:szCs w:val="20"/>
              </w:rPr>
            </w:pPr>
            <w:r w:rsidRPr="00DA6FFB">
              <w:rPr>
                <w:rFonts w:cs="Arial" w:hAnsi="Arial" w:ascii="Arial"/>
                <w:sz w:val="20"/>
                <w:szCs w:val="20"/>
              </w:rPr>
              <w:t>85821130368</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DA6FFB">
            <w:pPr>
              <w:rPr>
                <w:rFonts w:cs="Arial" w:hAnsi="Arial" w:ascii="Arial"/>
                <w:sz w:val="20"/>
                <w:szCs w:val="20"/>
              </w:rPr>
            </w:pPr>
            <w:r w:rsidRPr="00DA6FFB">
              <w:rPr>
                <w:rFonts w:cs="Arial" w:hAnsi="Arial" w:ascii="Arial"/>
                <w:sz w:val="20"/>
                <w:szCs w:val="20"/>
              </w:rPr>
              <w:t>Fina</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DA6FFB">
            <w:pPr>
              <w:jc w:val="right"/>
              <w:rPr>
                <w:rFonts w:cs="Arial" w:hAnsi="Arial" w:ascii="Arial"/>
                <w:sz w:val="20"/>
                <w:szCs w:val="20"/>
              </w:rPr>
            </w:pPr>
            <w:r w:rsidRPr="00DA6FFB">
              <w:rPr>
                <w:rFonts w:cs="Arial" w:hAnsi="Arial" w:ascii="Arial"/>
                <w:sz w:val="20"/>
                <w:szCs w:val="20"/>
              </w:rPr>
              <w:t>2.190,53</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DA6FFB">
            <w:pPr>
              <w:jc w:val="right"/>
              <w:rPr>
                <w:rFonts w:cs="Arial" w:hAnsi="Arial" w:ascii="Arial"/>
                <w:sz w:val="20"/>
                <w:szCs w:val="20"/>
              </w:rPr>
            </w:pPr>
            <w:r w:rsidRPr="00DA6FFB">
              <w:rPr>
                <w:rFonts w:cs="Arial" w:hAnsi="Arial" w:ascii="Arial"/>
                <w:sz w:val="20"/>
                <w:szCs w:val="20"/>
              </w:rPr>
              <w:t>1.533,37</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DA6FFB">
            <w:pPr>
              <w:jc w:val="right"/>
              <w:rPr>
                <w:rFonts w:cs="Arial" w:hAnsi="Arial" w:ascii="Arial"/>
                <w:sz w:val="20"/>
                <w:szCs w:val="20"/>
              </w:rPr>
            </w:pPr>
            <w:r w:rsidRPr="00DA6FFB">
              <w:rPr>
                <w:rFonts w:cs="Arial" w:hAnsi="Arial" w:ascii="Arial"/>
                <w:sz w:val="20"/>
                <w:szCs w:val="20"/>
              </w:rPr>
              <w:t>657,16</w:t>
            </w:r>
          </w:p>
        </w:tc>
      </w:tr>
      <w:tr w:rsidTr="004B7368" w:rsidR="00133CAE" w:rsidRPr="00DA6FFB">
        <w:trPr>
          <w:trHeight w:val="300"/>
        </w:trPr>
        <w:tc>
          <w:tcPr>
            <w:tcW w:type="dxa" w:w="650"/>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DA6FFB">
            <w:pPr>
              <w:jc w:val="center"/>
              <w:rPr>
                <w:rFonts w:cs="Arial" w:hAnsi="Arial" w:ascii="Arial"/>
                <w:sz w:val="20"/>
                <w:szCs w:val="20"/>
              </w:rPr>
            </w:pPr>
            <w:r w:rsidRPr="00DA6FFB">
              <w:rPr>
                <w:rFonts w:cs="Arial" w:hAnsi="Arial" w:ascii="Arial"/>
                <w:sz w:val="20"/>
                <w:szCs w:val="20"/>
              </w:rPr>
              <w:t>4</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DA6FFB">
            <w:pPr>
              <w:jc w:val="center"/>
              <w:rPr>
                <w:rFonts w:cs="Arial" w:hAnsi="Arial" w:ascii="Arial"/>
                <w:sz w:val="20"/>
                <w:szCs w:val="20"/>
              </w:rPr>
            </w:pPr>
            <w:r w:rsidRPr="00DA6FFB">
              <w:rPr>
                <w:rFonts w:cs="Arial" w:hAnsi="Arial" w:ascii="Arial"/>
                <w:sz w:val="20"/>
                <w:szCs w:val="20"/>
              </w:rPr>
              <w:t>94472454976</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DA6FFB">
            <w:pPr>
              <w:rPr>
                <w:rFonts w:cs="Arial" w:hAnsi="Arial" w:ascii="Arial"/>
                <w:sz w:val="20"/>
                <w:szCs w:val="20"/>
              </w:rPr>
            </w:pPr>
            <w:r w:rsidRPr="00DA6FFB">
              <w:rPr>
                <w:rFonts w:cs="Arial" w:hAnsi="Arial" w:ascii="Arial"/>
                <w:sz w:val="20"/>
                <w:szCs w:val="20"/>
              </w:rPr>
              <w:t>Jadransko osiguranje</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DA6FFB">
            <w:pPr>
              <w:jc w:val="right"/>
              <w:rPr>
                <w:rFonts w:cs="Arial" w:hAnsi="Arial" w:ascii="Arial"/>
                <w:sz w:val="20"/>
                <w:szCs w:val="20"/>
              </w:rPr>
            </w:pPr>
            <w:r w:rsidRPr="00DA6FFB">
              <w:rPr>
                <w:rFonts w:cs="Arial" w:hAnsi="Arial" w:ascii="Arial"/>
                <w:sz w:val="20"/>
                <w:szCs w:val="20"/>
              </w:rPr>
              <w:t>4.898,44</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DA6FFB">
            <w:pPr>
              <w:jc w:val="right"/>
              <w:rPr>
                <w:rFonts w:cs="Arial" w:hAnsi="Arial" w:ascii="Arial"/>
                <w:sz w:val="20"/>
                <w:szCs w:val="20"/>
              </w:rPr>
            </w:pPr>
            <w:r w:rsidRPr="00DA6FFB">
              <w:rPr>
                <w:rFonts w:cs="Arial" w:hAnsi="Arial" w:ascii="Arial"/>
                <w:sz w:val="20"/>
                <w:szCs w:val="20"/>
              </w:rPr>
              <w:t>3.428,91</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DA6FFB">
            <w:pPr>
              <w:jc w:val="right"/>
              <w:rPr>
                <w:rFonts w:cs="Arial" w:hAnsi="Arial" w:ascii="Arial"/>
                <w:sz w:val="20"/>
                <w:szCs w:val="20"/>
              </w:rPr>
            </w:pPr>
            <w:r w:rsidRPr="00DA6FFB">
              <w:rPr>
                <w:rFonts w:cs="Arial" w:hAnsi="Arial" w:ascii="Arial"/>
                <w:sz w:val="20"/>
                <w:szCs w:val="20"/>
              </w:rPr>
              <w:t>1.469,53</w:t>
            </w:r>
          </w:p>
        </w:tc>
      </w:tr>
      <w:tr w:rsidTr="004B7368" w:rsidR="00133CAE" w:rsidRPr="00DA6FFB">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DA6FFB">
            <w:pPr>
              <w:jc w:val="center"/>
              <w:rPr>
                <w:rFonts w:cs="Arial" w:hAnsi="Arial" w:ascii="Arial"/>
                <w:sz w:val="20"/>
                <w:szCs w:val="20"/>
              </w:rPr>
            </w:pPr>
            <w:r w:rsidRPr="00DA6FFB">
              <w:rPr>
                <w:rFonts w:cs="Arial" w:hAnsi="Arial" w:ascii="Arial"/>
                <w:sz w:val="20"/>
                <w:szCs w:val="20"/>
              </w:rPr>
              <w:t>5</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DA6FFB">
            <w:pPr>
              <w:jc w:val="center"/>
              <w:rPr>
                <w:rFonts w:cs="Arial" w:hAnsi="Arial" w:ascii="Arial"/>
                <w:sz w:val="20"/>
                <w:szCs w:val="20"/>
              </w:rPr>
            </w:pPr>
            <w:r w:rsidRPr="00DA6FFB">
              <w:rPr>
                <w:rFonts w:cs="Arial" w:hAnsi="Arial" w:ascii="Arial"/>
                <w:sz w:val="20"/>
                <w:szCs w:val="20"/>
              </w:rPr>
              <w:t>2951724955</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DA6FFB">
            <w:pPr>
              <w:rPr>
                <w:rFonts w:cs="Arial" w:hAnsi="Arial" w:ascii="Arial"/>
                <w:sz w:val="20"/>
                <w:szCs w:val="20"/>
              </w:rPr>
            </w:pPr>
            <w:r w:rsidRPr="00DA6FFB">
              <w:rPr>
                <w:rFonts w:cs="Arial" w:hAnsi="Arial" w:ascii="Arial"/>
                <w:sz w:val="20"/>
                <w:szCs w:val="20"/>
              </w:rPr>
              <w:t>Izvor osiguranje d.d.</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DA6FFB">
            <w:pPr>
              <w:jc w:val="right"/>
              <w:rPr>
                <w:rFonts w:cs="Arial" w:hAnsi="Arial" w:ascii="Arial"/>
                <w:sz w:val="20"/>
                <w:szCs w:val="20"/>
              </w:rPr>
            </w:pPr>
            <w:r w:rsidRPr="00DA6FFB">
              <w:rPr>
                <w:rFonts w:cs="Arial" w:hAnsi="Arial" w:ascii="Arial"/>
                <w:sz w:val="20"/>
                <w:szCs w:val="20"/>
              </w:rPr>
              <w:t>7.986,11</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DA6FFB">
            <w:pPr>
              <w:jc w:val="right"/>
              <w:rPr>
                <w:rFonts w:cs="Arial" w:hAnsi="Arial" w:ascii="Arial"/>
                <w:sz w:val="20"/>
                <w:szCs w:val="20"/>
              </w:rPr>
            </w:pPr>
            <w:r w:rsidRPr="00DA6FFB">
              <w:rPr>
                <w:rFonts w:cs="Arial" w:hAnsi="Arial" w:ascii="Arial"/>
                <w:sz w:val="20"/>
                <w:szCs w:val="20"/>
              </w:rPr>
              <w:t>5.590,28</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DA6FFB">
            <w:pPr>
              <w:jc w:val="right"/>
              <w:rPr>
                <w:rFonts w:cs="Arial" w:hAnsi="Arial" w:ascii="Arial"/>
                <w:sz w:val="20"/>
                <w:szCs w:val="20"/>
              </w:rPr>
            </w:pPr>
            <w:r w:rsidRPr="00DA6FFB">
              <w:rPr>
                <w:rFonts w:cs="Arial" w:hAnsi="Arial" w:ascii="Arial"/>
                <w:sz w:val="20"/>
                <w:szCs w:val="20"/>
              </w:rPr>
              <w:t>2.395,83</w:t>
            </w:r>
          </w:p>
        </w:tc>
      </w:tr>
      <w:tr w:rsidTr="004B7368" w:rsidR="00133CAE" w:rsidRPr="00DA6FFB">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DA6FFB">
            <w:pPr>
              <w:jc w:val="center"/>
              <w:rPr>
                <w:rFonts w:cs="Arial" w:hAnsi="Arial" w:ascii="Arial"/>
                <w:sz w:val="20"/>
                <w:szCs w:val="20"/>
              </w:rPr>
            </w:pPr>
            <w:r w:rsidRPr="00DA6FFB">
              <w:rPr>
                <w:rFonts w:cs="Arial" w:hAnsi="Arial" w:ascii="Arial"/>
                <w:sz w:val="20"/>
                <w:szCs w:val="20"/>
              </w:rPr>
              <w:t>6</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DA6FFB">
            <w:pPr>
              <w:jc w:val="center"/>
              <w:rPr>
                <w:rFonts w:cs="Arial" w:hAnsi="Arial" w:ascii="Arial"/>
                <w:sz w:val="20"/>
                <w:szCs w:val="20"/>
              </w:rPr>
            </w:pPr>
            <w:r w:rsidRPr="00DA6FFB">
              <w:rPr>
                <w:rFonts w:cs="Arial" w:hAnsi="Arial" w:ascii="Arial"/>
                <w:sz w:val="20"/>
                <w:szCs w:val="20"/>
              </w:rPr>
              <w:t>2535697732</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DA6FFB">
            <w:pPr>
              <w:rPr>
                <w:rFonts w:cs="Arial" w:hAnsi="Arial" w:ascii="Arial"/>
                <w:sz w:val="20"/>
                <w:szCs w:val="20"/>
              </w:rPr>
            </w:pPr>
            <w:r w:rsidRPr="00DA6FFB">
              <w:rPr>
                <w:rFonts w:cs="Arial" w:hAnsi="Arial" w:ascii="Arial"/>
                <w:sz w:val="20"/>
                <w:szCs w:val="20"/>
              </w:rPr>
              <w:t>Privredna banka Zagreb</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DA6FFB">
            <w:pPr>
              <w:jc w:val="right"/>
              <w:rPr>
                <w:rFonts w:cs="Arial" w:hAnsi="Arial" w:ascii="Arial"/>
                <w:sz w:val="20"/>
                <w:szCs w:val="20"/>
              </w:rPr>
            </w:pPr>
            <w:r w:rsidRPr="00DA6FFB">
              <w:rPr>
                <w:rFonts w:cs="Arial" w:hAnsi="Arial" w:ascii="Arial"/>
                <w:sz w:val="20"/>
                <w:szCs w:val="20"/>
              </w:rPr>
              <w:t>386,61</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DA6FFB">
            <w:pPr>
              <w:jc w:val="right"/>
              <w:rPr>
                <w:rFonts w:cs="Arial" w:hAnsi="Arial" w:ascii="Arial"/>
                <w:sz w:val="20"/>
                <w:szCs w:val="20"/>
              </w:rPr>
            </w:pPr>
            <w:r w:rsidRPr="00DA6FFB">
              <w:rPr>
                <w:rFonts w:cs="Arial" w:hAnsi="Arial" w:ascii="Arial"/>
                <w:sz w:val="20"/>
                <w:szCs w:val="20"/>
              </w:rPr>
              <w:t>270,63</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DA6FFB">
            <w:pPr>
              <w:jc w:val="right"/>
              <w:rPr>
                <w:rFonts w:cs="Arial" w:hAnsi="Arial" w:ascii="Arial"/>
                <w:sz w:val="20"/>
                <w:szCs w:val="20"/>
              </w:rPr>
            </w:pPr>
            <w:r w:rsidRPr="00DA6FFB">
              <w:rPr>
                <w:rFonts w:cs="Arial" w:hAnsi="Arial" w:ascii="Arial"/>
                <w:sz w:val="20"/>
                <w:szCs w:val="20"/>
              </w:rPr>
              <w:t>115,98</w:t>
            </w:r>
          </w:p>
        </w:tc>
      </w:tr>
      <w:tr w:rsidTr="004B7368" w:rsidR="00133CAE" w:rsidRPr="00DA6FFB">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DA6FFB">
            <w:pPr>
              <w:jc w:val="center"/>
              <w:rPr>
                <w:rFonts w:cs="Arial" w:hAnsi="Arial" w:ascii="Arial"/>
                <w:sz w:val="20"/>
                <w:szCs w:val="20"/>
              </w:rPr>
            </w:pPr>
            <w:r w:rsidRPr="00DA6FFB">
              <w:rPr>
                <w:rFonts w:cs="Arial" w:hAnsi="Arial" w:ascii="Arial"/>
                <w:sz w:val="20"/>
                <w:szCs w:val="20"/>
              </w:rPr>
              <w:t>7</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DA6FFB">
            <w:pPr>
              <w:jc w:val="center"/>
              <w:rPr>
                <w:rFonts w:cs="Arial" w:hAnsi="Arial" w:ascii="Arial"/>
                <w:sz w:val="20"/>
                <w:szCs w:val="20"/>
              </w:rPr>
            </w:pPr>
            <w:r w:rsidRPr="00DA6FFB">
              <w:rPr>
                <w:rFonts w:cs="Arial" w:hAnsi="Arial" w:ascii="Arial"/>
                <w:sz w:val="20"/>
                <w:szCs w:val="20"/>
              </w:rPr>
              <w:t>52848403362</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DA6FFB">
            <w:pPr>
              <w:rPr>
                <w:rFonts w:cs="Arial" w:hAnsi="Arial" w:ascii="Arial"/>
                <w:sz w:val="20"/>
                <w:szCs w:val="20"/>
              </w:rPr>
            </w:pPr>
            <w:r w:rsidRPr="00DA6FFB">
              <w:rPr>
                <w:rFonts w:cs="Arial" w:hAnsi="Arial" w:ascii="Arial"/>
                <w:sz w:val="20"/>
                <w:szCs w:val="20"/>
              </w:rPr>
              <w:t>Wiener osiguranje Vienna Insurance Group d.d.</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DA6FFB">
            <w:pPr>
              <w:jc w:val="right"/>
              <w:rPr>
                <w:rFonts w:cs="Arial" w:hAnsi="Arial" w:ascii="Arial"/>
                <w:sz w:val="20"/>
                <w:szCs w:val="20"/>
              </w:rPr>
            </w:pPr>
            <w:r w:rsidRPr="00DA6FFB">
              <w:rPr>
                <w:rFonts w:cs="Arial" w:hAnsi="Arial" w:ascii="Arial"/>
                <w:sz w:val="20"/>
                <w:szCs w:val="20"/>
              </w:rPr>
              <w:t>10.701,02</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DA6FFB">
            <w:pPr>
              <w:jc w:val="right"/>
              <w:rPr>
                <w:rFonts w:cs="Arial" w:hAnsi="Arial" w:ascii="Arial"/>
                <w:sz w:val="20"/>
                <w:szCs w:val="20"/>
              </w:rPr>
            </w:pPr>
            <w:r w:rsidRPr="00DA6FFB">
              <w:rPr>
                <w:rFonts w:cs="Arial" w:hAnsi="Arial" w:ascii="Arial"/>
                <w:sz w:val="20"/>
                <w:szCs w:val="20"/>
              </w:rPr>
              <w:t>7.490,71</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DA6FFB">
            <w:pPr>
              <w:jc w:val="right"/>
              <w:rPr>
                <w:rFonts w:cs="Arial" w:hAnsi="Arial" w:ascii="Arial"/>
                <w:sz w:val="20"/>
                <w:szCs w:val="20"/>
              </w:rPr>
            </w:pPr>
            <w:r w:rsidRPr="00DA6FFB">
              <w:rPr>
                <w:rFonts w:cs="Arial" w:hAnsi="Arial" w:ascii="Arial"/>
                <w:sz w:val="20"/>
                <w:szCs w:val="20"/>
              </w:rPr>
              <w:t>3.210,31</w:t>
            </w:r>
          </w:p>
        </w:tc>
      </w:tr>
      <w:tr w:rsidTr="004B7368" w:rsidR="00133CAE" w:rsidRPr="00DA6FFB">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DA6FFB">
            <w:pPr>
              <w:jc w:val="center"/>
              <w:rPr>
                <w:rFonts w:cs="Arial" w:hAnsi="Arial" w:ascii="Arial"/>
                <w:sz w:val="20"/>
                <w:szCs w:val="20"/>
              </w:rPr>
            </w:pPr>
            <w:r w:rsidRPr="00DA6FFB">
              <w:rPr>
                <w:rFonts w:cs="Arial" w:hAnsi="Arial" w:ascii="Arial"/>
                <w:sz w:val="20"/>
                <w:szCs w:val="20"/>
              </w:rPr>
              <w:t>8</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DA6FFB">
            <w:pPr>
              <w:jc w:val="center"/>
              <w:rPr>
                <w:rFonts w:cs="Arial" w:hAnsi="Arial" w:ascii="Arial"/>
                <w:sz w:val="20"/>
                <w:szCs w:val="20"/>
              </w:rPr>
            </w:pPr>
            <w:r w:rsidRPr="00DA6FFB">
              <w:rPr>
                <w:rFonts w:cs="Arial" w:hAnsi="Arial" w:ascii="Arial"/>
                <w:sz w:val="20"/>
                <w:szCs w:val="20"/>
              </w:rPr>
              <w:t>78427478595</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DA6FFB">
            <w:pPr>
              <w:rPr>
                <w:rFonts w:cs="Arial" w:hAnsi="Arial" w:ascii="Arial"/>
                <w:sz w:val="20"/>
                <w:szCs w:val="20"/>
              </w:rPr>
            </w:pPr>
            <w:r w:rsidRPr="00DA6FFB">
              <w:rPr>
                <w:rFonts w:cs="Arial" w:hAnsi="Arial" w:ascii="Arial"/>
                <w:sz w:val="20"/>
                <w:szCs w:val="20"/>
              </w:rPr>
              <w:t>Sberbank d.d.</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DA6FFB">
            <w:pPr>
              <w:jc w:val="right"/>
              <w:rPr>
                <w:rFonts w:cs="Arial" w:hAnsi="Arial" w:ascii="Arial"/>
                <w:sz w:val="20"/>
                <w:szCs w:val="20"/>
              </w:rPr>
            </w:pPr>
            <w:r w:rsidRPr="00DA6FFB">
              <w:rPr>
                <w:rFonts w:cs="Arial" w:hAnsi="Arial" w:ascii="Arial"/>
                <w:sz w:val="20"/>
                <w:szCs w:val="20"/>
              </w:rPr>
              <w:t>1.224.633,29</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DA6FFB">
            <w:pPr>
              <w:jc w:val="right"/>
              <w:rPr>
                <w:rFonts w:cs="Arial" w:hAnsi="Arial" w:ascii="Arial"/>
                <w:sz w:val="20"/>
                <w:szCs w:val="20"/>
              </w:rPr>
            </w:pPr>
            <w:r w:rsidRPr="00DA6FFB">
              <w:rPr>
                <w:rFonts w:cs="Arial" w:hAnsi="Arial" w:ascii="Arial"/>
                <w:sz w:val="20"/>
                <w:szCs w:val="20"/>
              </w:rPr>
              <w:t> </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DA6FFB">
            <w:pPr>
              <w:jc w:val="right"/>
              <w:rPr>
                <w:rFonts w:cs="Arial" w:hAnsi="Arial" w:ascii="Arial"/>
                <w:sz w:val="20"/>
                <w:szCs w:val="20"/>
              </w:rPr>
            </w:pPr>
            <w:r w:rsidRPr="00DA6FFB">
              <w:rPr>
                <w:rFonts w:cs="Arial" w:hAnsi="Arial" w:ascii="Arial"/>
                <w:sz w:val="20"/>
                <w:szCs w:val="20"/>
              </w:rPr>
              <w:t>1.224.633,29</w:t>
            </w:r>
          </w:p>
        </w:tc>
      </w:tr>
      <w:tr w:rsidTr="004B7368" w:rsidR="00133CAE" w:rsidRPr="00DA6FFB">
        <w:trPr>
          <w:trHeight w:val="300"/>
        </w:trPr>
        <w:tc>
          <w:tcPr>
            <w:tcW w:type="dxa" w:w="650"/>
            <w:tcBorders>
              <w:top w:val="nil"/>
              <w:left w:val="nil"/>
              <w:bottom w:val="nil"/>
              <w:right w:val="nil"/>
            </w:tcBorders>
            <w:shd w:fill="auto" w:color="auto" w:val="clear"/>
            <w:noWrap/>
            <w:vAlign w:val="center"/>
            <w:hideMark/>
          </w:tcPr>
          <w:p w:rsidRDefault="00133CAE" w:rsidP="004B7368" w:rsidR="00133CAE" w:rsidRPr="00DA6FFB">
            <w:pPr>
              <w:jc w:val="right"/>
              <w:rPr>
                <w:rFonts w:cs="Arial" w:hAnsi="Arial" w:ascii="Arial"/>
                <w:sz w:val="20"/>
                <w:szCs w:val="20"/>
              </w:rPr>
            </w:pPr>
          </w:p>
        </w:tc>
        <w:tc>
          <w:tcPr>
            <w:tcW w:type="dxa" w:w="1613"/>
            <w:tcBorders>
              <w:top w:val="nil"/>
              <w:left w:val="nil"/>
              <w:bottom w:val="nil"/>
              <w:right w:val="nil"/>
            </w:tcBorders>
            <w:shd w:fill="auto" w:color="auto" w:val="clear"/>
            <w:noWrap/>
            <w:vAlign w:val="center"/>
            <w:hideMark/>
          </w:tcPr>
          <w:p w:rsidRDefault="00133CAE" w:rsidP="004B7368" w:rsidR="00133CAE" w:rsidRPr="00DA6FFB">
            <w:pPr>
              <w:jc w:val="center"/>
              <w:rPr>
                <w:sz w:val="20"/>
                <w:szCs w:val="20"/>
              </w:rPr>
            </w:pPr>
          </w:p>
        </w:tc>
        <w:tc>
          <w:tcPr>
            <w:tcW w:type="dxa" w:w="3119"/>
            <w:tcBorders>
              <w:top w:val="nil"/>
              <w:left w:val="nil"/>
              <w:bottom w:val="nil"/>
              <w:right w:val="nil"/>
            </w:tcBorders>
            <w:shd w:fill="auto" w:color="auto" w:val="clear"/>
            <w:vAlign w:val="center"/>
            <w:hideMark/>
          </w:tcPr>
          <w:p w:rsidRDefault="00133CAE" w:rsidP="004B7368" w:rsidR="00133CAE" w:rsidRPr="00DA6FFB">
            <w:pPr>
              <w:rPr>
                <w:rFonts w:cs="Arial" w:hAnsi="Arial" w:ascii="Arial"/>
                <w:b/>
                <w:bCs/>
                <w:sz w:val="20"/>
                <w:szCs w:val="20"/>
              </w:rPr>
            </w:pPr>
            <w:r w:rsidRPr="00DA6FFB">
              <w:rPr>
                <w:rFonts w:cs="Arial" w:hAnsi="Arial" w:ascii="Arial"/>
                <w:b/>
                <w:bCs/>
                <w:sz w:val="20"/>
                <w:szCs w:val="20"/>
              </w:rPr>
              <w:t>UKUPNO</w:t>
            </w:r>
          </w:p>
        </w:tc>
        <w:tc>
          <w:tcPr>
            <w:tcW w:type="dxa" w:w="1417"/>
            <w:tcBorders>
              <w:top w:val="nil"/>
              <w:left w:val="nil"/>
              <w:bottom w:val="nil"/>
              <w:right w:val="nil"/>
            </w:tcBorders>
            <w:shd w:fill="auto" w:color="auto" w:val="clear"/>
            <w:noWrap/>
            <w:vAlign w:val="center"/>
            <w:hideMark/>
          </w:tcPr>
          <w:p w:rsidRDefault="00133CAE" w:rsidP="004B7368" w:rsidR="00133CAE" w:rsidRPr="00DA6FFB">
            <w:pPr>
              <w:jc w:val="right"/>
              <w:rPr>
                <w:rFonts w:cs="Arial" w:hAnsi="Arial" w:ascii="Arial"/>
                <w:b/>
                <w:bCs/>
                <w:sz w:val="20"/>
                <w:szCs w:val="20"/>
              </w:rPr>
            </w:pPr>
            <w:r w:rsidRPr="00DA6FFB">
              <w:rPr>
                <w:rFonts w:cs="Arial" w:hAnsi="Arial" w:ascii="Arial"/>
                <w:b/>
                <w:bCs/>
                <w:sz w:val="20"/>
                <w:szCs w:val="20"/>
              </w:rPr>
              <w:t>1.277.860,63</w:t>
            </w:r>
          </w:p>
        </w:tc>
        <w:tc>
          <w:tcPr>
            <w:tcW w:type="dxa" w:w="1418"/>
            <w:tcBorders>
              <w:top w:val="nil"/>
              <w:left w:val="nil"/>
              <w:bottom w:val="nil"/>
              <w:right w:val="nil"/>
            </w:tcBorders>
            <w:shd w:fill="auto" w:color="auto" w:val="clear"/>
            <w:noWrap/>
            <w:vAlign w:val="center"/>
            <w:hideMark/>
          </w:tcPr>
          <w:p w:rsidRDefault="00133CAE" w:rsidP="004B7368" w:rsidR="00133CAE" w:rsidRPr="00DA6FFB">
            <w:pPr>
              <w:jc w:val="right"/>
              <w:rPr>
                <w:rFonts w:cs="Arial" w:hAnsi="Arial" w:ascii="Arial"/>
                <w:b/>
                <w:bCs/>
                <w:sz w:val="20"/>
                <w:szCs w:val="20"/>
              </w:rPr>
            </w:pPr>
            <w:r w:rsidRPr="00DA6FFB">
              <w:rPr>
                <w:rFonts w:cs="Arial" w:hAnsi="Arial" w:ascii="Arial"/>
                <w:b/>
                <w:bCs/>
                <w:sz w:val="20"/>
                <w:szCs w:val="20"/>
              </w:rPr>
              <w:t>37.259,14</w:t>
            </w:r>
          </w:p>
        </w:tc>
        <w:tc>
          <w:tcPr>
            <w:tcW w:type="dxa" w:w="1461"/>
            <w:tcBorders>
              <w:top w:val="nil"/>
              <w:left w:val="nil"/>
              <w:bottom w:val="nil"/>
              <w:right w:val="nil"/>
            </w:tcBorders>
            <w:shd w:fill="auto" w:color="auto" w:val="clear"/>
            <w:noWrap/>
            <w:vAlign w:val="center"/>
            <w:hideMark/>
          </w:tcPr>
          <w:p w:rsidRDefault="00133CAE" w:rsidP="004B7368" w:rsidR="00133CAE" w:rsidRPr="00DA6FFB">
            <w:pPr>
              <w:jc w:val="right"/>
              <w:rPr>
                <w:rFonts w:cs="Arial" w:hAnsi="Arial" w:ascii="Arial"/>
                <w:b/>
                <w:bCs/>
                <w:sz w:val="20"/>
                <w:szCs w:val="20"/>
              </w:rPr>
            </w:pPr>
            <w:r w:rsidRPr="00DA6FFB">
              <w:rPr>
                <w:rFonts w:cs="Arial" w:hAnsi="Arial" w:ascii="Arial"/>
                <w:b/>
                <w:bCs/>
                <w:sz w:val="20"/>
                <w:szCs w:val="20"/>
              </w:rPr>
              <w:t>1.240.601,49</w:t>
            </w:r>
          </w:p>
        </w:tc>
      </w:tr>
    </w:tbl>
    <w:p w:rsidRDefault="00133CAE" w:rsidP="00133CAE" w:rsidR="00133CAE" w:rsidRPr="00075203">
      <w:pPr>
        <w:autoSpaceDE w:val="false"/>
        <w:autoSpaceDN w:val="false"/>
        <w:adjustRightInd w:val="false"/>
        <w:rPr>
          <w:rFonts w:cs="Arial" w:hAnsi="Arial" w:ascii="Arial"/>
          <w:sz w:val="20"/>
          <w:szCs w:val="20"/>
        </w:rPr>
      </w:pPr>
    </w:p>
    <w:p w:rsidRDefault="00133CAE" w:rsidP="00133CAE" w:rsidR="00133CAE" w:rsidRPr="00075203">
      <w:pPr>
        <w:autoSpaceDE w:val="false"/>
        <w:autoSpaceDN w:val="false"/>
        <w:adjustRightInd w:val="false"/>
        <w:rPr>
          <w:rFonts w:cs="Arial" w:hAnsi="Arial" w:ascii="Arial"/>
          <w:b/>
          <w:bCs/>
          <w:sz w:val="20"/>
          <w:szCs w:val="20"/>
        </w:rPr>
      </w:pPr>
    </w:p>
    <w:p w:rsidRDefault="00133CAE" w:rsidP="00133CAE" w:rsidR="00133CAE">
      <w:pPr>
        <w:autoSpaceDE w:val="false"/>
        <w:autoSpaceDN w:val="false"/>
        <w:adjustRightInd w:val="false"/>
        <w:rPr>
          <w:rFonts w:cs="Arial" w:hAnsi="Arial" w:ascii="Arial"/>
          <w:b/>
          <w:bCs/>
          <w:sz w:val="20"/>
          <w:szCs w:val="20"/>
        </w:rPr>
      </w:pPr>
    </w:p>
    <w:p w:rsidRDefault="0013272F" w:rsidP="0013272F" w:rsidR="0013272F" w:rsidRPr="007F26BC">
      <w:pPr>
        <w:jc w:val="both"/>
      </w:pPr>
      <w:r w:rsidRPr="007F26BC">
        <w:t xml:space="preserve">Dužnik SVESA NATURA d.o.o., lvana Pintarića 29, Ivanec Bistranski, OIB: 85557588753 (u daljnjem tekstu: dužnik) obvezuje se vjerovniku Sberbank d.d., Zagreb, Varšavska 9 OIB: 78427478595 (dalje u tekstu: Vjerovnik) namiriti i isplatiti glavnicu tražbine koja iznosi </w:t>
      </w:r>
      <w:r w:rsidRPr="007F26BC">
        <w:rPr>
          <w:b/>
        </w:rPr>
        <w:t>1.008.619,29 kn</w:t>
      </w:r>
      <w:r w:rsidRPr="007F26BC">
        <w:t xml:space="preserve"> uz fiksnu kamatnu stopu od 6% godišnje u 60 (šezdeset) jednakih mjesečnih anuiteta, nakon 12 mjeseci počeka koji poček počinje teći nakon pravomoćnosti rješenja trgovačkog suda o sklopljenoj predstečajnoj nagodbi i za vrijeme kojeg počeka teku kamate, i to sve s dospijećem prve kamate 30 dana nakon pravomoćnosti rješenja trgovačkog suda o sklopljenoj predstečajnoj  nagodbi. </w:t>
      </w:r>
    </w:p>
    <w:p w:rsidRDefault="0013272F" w:rsidP="0013272F" w:rsidR="007F26BC">
      <w:pPr>
        <w:jc w:val="both"/>
      </w:pPr>
      <w:r w:rsidRPr="007F26BC">
        <w:t>Radi osiguranja i naplate svih novčanih tražbina koje se Dužnik obvezao platiti Vjerovniku Sberbank d.d. temeljem ove predstečajne nagodbe, uvećani za sve pripadajuće kamate, Dužnik se obvezuje da će u roku od 30 (trideset) dana od sklapanja ove predstečajne nagodbe pred nadležnim</w:t>
      </w:r>
    </w:p>
    <w:p w:rsidRDefault="007F26BC" w:rsidP="0013272F" w:rsidR="007F26BC">
      <w:pPr>
        <w:jc w:val="both"/>
      </w:pPr>
    </w:p>
    <w:p w:rsidRDefault="0013272F" w:rsidP="0013272F" w:rsidR="0013272F" w:rsidRPr="007F26BC">
      <w:pPr>
        <w:jc w:val="both"/>
      </w:pPr>
      <w:r w:rsidRPr="007F26BC">
        <w:lastRenderedPageBreak/>
        <w:t xml:space="preserve"> trgovačkim sudom, predati i uručiti Vjerovniku 1 (jednu) Zadužnicu koju je potvrdio (solemnizirao) javni bilježnik koja će biti sastavljena i izdana sukladno Ovršnom zakonu, koju zadužnicu je nakon dospijeća Sberbank d.d. ovlaštena poslati na naplatu.</w:t>
      </w:r>
    </w:p>
    <w:p w:rsidRDefault="0013272F" w:rsidP="0013272F" w:rsidR="0013272F" w:rsidRPr="007F26BC">
      <w:pPr>
        <w:jc w:val="both"/>
      </w:pPr>
      <w:r w:rsidRPr="007F26BC">
        <w:t>Ostale odredbe Ugovora o kreditu br. 501556, a koje nisu u suprotnosti sa Planom financijskog restrukturiranja i Predstečajnom nagodbom, ostaju nepromijenjene.</w:t>
      </w:r>
    </w:p>
    <w:p w:rsidRDefault="0013272F" w:rsidP="0013272F" w:rsidR="0013272F" w:rsidRPr="007F26BC">
      <w:pPr>
        <w:jc w:val="both"/>
      </w:pPr>
      <w:r w:rsidRPr="007F26BC">
        <w:t>Vjerovnik Sberbank d.d. i Dužnik SVESA NATURA d.o.o. suglasno utvrđuju:</w:t>
      </w:r>
    </w:p>
    <w:p w:rsidRDefault="0013272F" w:rsidP="0013272F" w:rsidR="0013272F" w:rsidRPr="007F26BC">
      <w:pPr>
        <w:jc w:val="both"/>
      </w:pPr>
      <w:r w:rsidRPr="007F26BC">
        <w:t>Da ovom Nagodbom ne dolazi  do novacije niti jedne obveze Dužnika prema Vjerovnicima predstečajne nagodbe, osim ako je drugačije određeno ovom Nagodbom, nego da se isključivo radi o reprogramiranju postojećih obveza na način da se preugovaraju rokovi i način otplate Dužnika, osim ako je drugačije određeno ovom Nagodbom pa sa time u vezi tražbine pobliže opisane u prijavi Vjerovnika iz grupe financijske institucije zadržavaju isti identitet, ali uz uvjete iz ove Nagodbe (visina duga, način ispunjenja, rok otplate i visina kamate) u mjeri u kojoj nisu protivni odredbama ove Nagodbe.</w:t>
      </w:r>
    </w:p>
    <w:p w:rsidRDefault="0013272F" w:rsidP="0013272F" w:rsidR="0013272F" w:rsidRPr="007F26BC">
      <w:pPr>
        <w:jc w:val="both"/>
      </w:pPr>
      <w:r w:rsidRPr="007F26BC">
        <w:t>Da se preračunavanje novčanih tražbina koje su nastale u stranoj valuti ili su vezane uz valutnu klauzulu u kunski iznos, a u skladu s odredbom članka 74. Zakona o financijskom poslovanju i predstečajnoj nagodbi, vrši isključivo radi lakšeg utvrđivanja tražbina te raspodjele prava glasa, odnosno da se navedeno preračunavanje vrši isključivo iz procesnih razloga te da niti Dužnik niti Vjerovnici predstečajne Nagodbe nemaju volju za promjenom valute odnosno valutne klauzule tražbina koje su im priznate. Navedeno za posljedicu ima da će Dužnik ispunjavati tražbine u onoj valuti, odnosno uz onu valutnu klauzulu, kako su te tražbine Vjerovnika predstečajne nagodbe iz grupe financijske institucije i nastale, ali vodeći se načinom i rokovima otplate iz ove Nagodbe. U ovom smislu se Dužnik obvezuje voditi svoje računovodstvo na način da valuta tražbina nakon sklapanja ove Nagodbe odgovara valutama tražbina prije dana otvaranja postupka predstečajne Nagodbe.</w:t>
      </w:r>
    </w:p>
    <w:p w:rsidRDefault="0013272F" w:rsidP="0013272F" w:rsidR="0013272F" w:rsidRPr="007F26BC">
      <w:pPr>
        <w:jc w:val="both"/>
      </w:pPr>
      <w:r w:rsidRPr="007F26BC">
        <w:t>Da sva založna prava koja Vjerovnici predstečajne Nagodbe iz grupe financijske institucije imaju upisana u javnim upisnicima ostaju i nadalje upisana u javnim upisnicima i osiguravaju tražbine založnih vjerovnika u skladu s odredbama ove Nagodbe.</w:t>
      </w:r>
    </w:p>
    <w:p w:rsidRDefault="0013272F" w:rsidP="0013272F" w:rsidR="0013272F" w:rsidRPr="007F26BC">
      <w:pPr>
        <w:jc w:val="both"/>
      </w:pPr>
      <w:r w:rsidRPr="007F26BC">
        <w:t>Da će se u slučaju prodaje bilo koje imovine Dužnika, a koja je opterećena založnim pravom, iznos kupoprodajne cijene koristiti za zatvaranje obveza koje Dužnik ima prema založnom vjerovniku koji ima upisana prava na predmetnoj imovini i pri tome se vodeći prvenstvenim redom upisanog založnog prava i prava o namirenju. Ovo se odnosi kako na slobodnu prodaju tako i na prisilnu prodaju u slučaju ovrhe i/ili stečaja Dužnika.</w:t>
      </w:r>
    </w:p>
    <w:p w:rsidRDefault="00133CAE" w:rsidP="00133CAE" w:rsidR="00133CAE" w:rsidRPr="007F26BC">
      <w:pPr>
        <w:autoSpaceDE w:val="false"/>
        <w:autoSpaceDN w:val="false"/>
        <w:adjustRightInd w:val="false"/>
        <w:rPr>
          <w:b/>
          <w:bCs/>
          <w:sz w:val="20"/>
          <w:szCs w:val="20"/>
        </w:rPr>
      </w:pPr>
    </w:p>
    <w:p w:rsidRDefault="00133CAE" w:rsidP="00133CAE" w:rsidR="00133CAE">
      <w:pPr>
        <w:autoSpaceDE w:val="false"/>
        <w:autoSpaceDN w:val="false"/>
        <w:adjustRightInd w:val="false"/>
        <w:rPr>
          <w:rFonts w:cs="Arial" w:hAnsi="Arial" w:ascii="Arial"/>
          <w:b/>
          <w:bCs/>
          <w:sz w:val="20"/>
          <w:szCs w:val="20"/>
        </w:rPr>
      </w:pPr>
    </w:p>
    <w:p w:rsidRDefault="00133CAE" w:rsidP="00133CAE" w:rsidR="00133CAE" w:rsidRPr="00075203">
      <w:pPr>
        <w:autoSpaceDE w:val="false"/>
        <w:autoSpaceDN w:val="false"/>
        <w:adjustRightInd w:val="false"/>
        <w:rPr>
          <w:rFonts w:cs="Arial" w:hAnsi="Arial" w:ascii="Arial"/>
          <w:b/>
          <w:bCs/>
          <w:sz w:val="20"/>
          <w:szCs w:val="20"/>
        </w:rPr>
      </w:pPr>
    </w:p>
    <w:p w:rsidRDefault="00133CAE" w:rsidP="00133CAE" w:rsidR="00133CAE" w:rsidRPr="0017719E">
      <w:pPr>
        <w:autoSpaceDE w:val="false"/>
        <w:autoSpaceDN w:val="false"/>
        <w:adjustRightInd w:val="false"/>
        <w:rPr>
          <w:b/>
          <w:bCs/>
          <w:sz w:val="20"/>
          <w:szCs w:val="20"/>
        </w:rPr>
      </w:pPr>
      <w:r w:rsidRPr="0017719E">
        <w:rPr>
          <w:b/>
          <w:bCs/>
          <w:sz w:val="20"/>
          <w:szCs w:val="20"/>
        </w:rPr>
        <w:t>3. OSTALI VJEROVNICI</w:t>
      </w:r>
    </w:p>
    <w:p w:rsidRDefault="00133CAE" w:rsidP="00133CAE" w:rsidR="00133CAE" w:rsidRPr="0017719E">
      <w:pPr>
        <w:autoSpaceDE w:val="false"/>
        <w:autoSpaceDN w:val="false"/>
        <w:adjustRightInd w:val="false"/>
        <w:rPr>
          <w:sz w:val="20"/>
          <w:szCs w:val="20"/>
        </w:rPr>
      </w:pPr>
    </w:p>
    <w:p w:rsidRDefault="00133CAE" w:rsidP="00133CAE" w:rsidR="00133CAE" w:rsidRPr="0017719E">
      <w:pPr>
        <w:autoSpaceDE w:val="false"/>
        <w:autoSpaceDN w:val="false"/>
        <w:adjustRightInd w:val="false"/>
      </w:pPr>
      <w:r w:rsidRPr="0017719E">
        <w:t>Obveze na dan 20.07.2016,g, sukladno utvrđenim tražbinama iznose 478.316,84 Kn; obveze će se izmiriti na slijedeći način:</w:t>
      </w:r>
    </w:p>
    <w:p w:rsidRDefault="00133CAE" w:rsidP="00133CAE" w:rsidR="00133CAE" w:rsidRPr="0017719E">
      <w:pPr>
        <w:autoSpaceDE w:val="false"/>
        <w:autoSpaceDN w:val="false"/>
        <w:adjustRightInd w:val="false"/>
        <w:rPr>
          <w:sz w:val="20"/>
          <w:szCs w:val="20"/>
        </w:rPr>
      </w:pPr>
    </w:p>
    <w:p w:rsidRDefault="00133CAE" w:rsidP="00133CAE" w:rsidR="00133CAE" w:rsidRPr="0017719E">
      <w:pPr>
        <w:pStyle w:val="Standard"/>
        <w:numPr>
          <w:ilvl w:val="0"/>
          <w:numId w:val="18"/>
        </w:numPr>
        <w:ind w:hanging="426" w:left="426"/>
        <w:jc w:val="both"/>
        <w:rPr>
          <w:rFonts w:cs="Times New Roman"/>
          <w:lang w:val="pl-PL"/>
        </w:rPr>
      </w:pPr>
      <w:r w:rsidRPr="0017719E">
        <w:rPr>
          <w:rFonts w:cs="Times New Roman"/>
          <w:lang w:val="pl-PL"/>
        </w:rPr>
        <w:t>Obveze prema grupi ostalih vjerovnika izmirit će se na način da se obveza umanji za 70%, a preostali iznos isplati u jednakim tromjesečnim ratama tokom pet godina uz jednu godinu počeka, beskamatno.</w:t>
      </w:r>
    </w:p>
    <w:p w:rsidRDefault="00133CAE" w:rsidP="00133CAE" w:rsidR="00133CAE">
      <w:pPr>
        <w:pStyle w:val="Standard"/>
        <w:ind w:left="426"/>
        <w:jc w:val="both"/>
        <w:rPr>
          <w:rFonts w:cs="Times New Roman"/>
          <w:lang w:val="pl-PL"/>
        </w:rPr>
      </w:pPr>
      <w:r w:rsidRPr="0017719E">
        <w:rPr>
          <w:rFonts w:cs="Times New Roman"/>
          <w:lang w:val="pl-PL"/>
        </w:rPr>
        <w:t>Poček počinje od dana pravomoćnosti sudskog Rješenja o predstečajnoj nagodbi.</w:t>
      </w:r>
    </w:p>
    <w:p w:rsidRDefault="007F26BC" w:rsidP="00133CAE" w:rsidR="007F26BC">
      <w:pPr>
        <w:pStyle w:val="Standard"/>
        <w:ind w:left="426"/>
        <w:jc w:val="both"/>
        <w:rPr>
          <w:rFonts w:cs="Times New Roman"/>
          <w:lang w:val="pl-PL"/>
        </w:rPr>
      </w:pPr>
    </w:p>
    <w:p w:rsidRDefault="007F26BC" w:rsidP="00133CAE" w:rsidR="007F26BC">
      <w:pPr>
        <w:pStyle w:val="Standard"/>
        <w:ind w:left="426"/>
        <w:jc w:val="both"/>
        <w:rPr>
          <w:rFonts w:cs="Times New Roman"/>
          <w:lang w:val="pl-PL"/>
        </w:rPr>
      </w:pPr>
    </w:p>
    <w:p w:rsidRDefault="007F26BC" w:rsidP="00133CAE" w:rsidR="007F26BC">
      <w:pPr>
        <w:pStyle w:val="Standard"/>
        <w:ind w:left="426"/>
        <w:jc w:val="both"/>
        <w:rPr>
          <w:rFonts w:cs="Times New Roman"/>
          <w:lang w:val="pl-PL"/>
        </w:rPr>
      </w:pPr>
    </w:p>
    <w:p w:rsidRDefault="007F26BC" w:rsidP="00133CAE" w:rsidR="007F26BC">
      <w:pPr>
        <w:pStyle w:val="Standard"/>
        <w:ind w:left="426"/>
        <w:jc w:val="both"/>
        <w:rPr>
          <w:rFonts w:cs="Times New Roman"/>
          <w:lang w:val="pl-PL"/>
        </w:rPr>
      </w:pPr>
    </w:p>
    <w:p w:rsidRDefault="007F26BC" w:rsidP="00133CAE" w:rsidR="007F26BC">
      <w:pPr>
        <w:pStyle w:val="Standard"/>
        <w:ind w:left="426"/>
        <w:jc w:val="both"/>
        <w:rPr>
          <w:rFonts w:cs="Times New Roman"/>
          <w:lang w:val="pl-PL"/>
        </w:rPr>
      </w:pPr>
    </w:p>
    <w:p w:rsidRDefault="007F26BC" w:rsidP="00133CAE" w:rsidR="007F26BC" w:rsidRPr="0017719E">
      <w:pPr>
        <w:pStyle w:val="Standard"/>
        <w:ind w:left="426"/>
        <w:jc w:val="both"/>
        <w:rPr>
          <w:rFonts w:cs="Times New Roman"/>
          <w:lang w:val="pl-PL"/>
        </w:rPr>
      </w:pPr>
    </w:p>
    <w:p w:rsidRDefault="00133CAE" w:rsidP="00133CAE" w:rsidR="00133CAE" w:rsidRPr="00075203">
      <w:pPr>
        <w:autoSpaceDE w:val="false"/>
        <w:autoSpaceDN w:val="false"/>
        <w:adjustRightInd w:val="false"/>
        <w:rPr>
          <w:rFonts w:cs="Arial" w:hAnsi="Arial" w:ascii="Arial"/>
          <w:sz w:val="20"/>
          <w:szCs w:val="20"/>
        </w:rPr>
      </w:pPr>
    </w:p>
    <w:p w:rsidRDefault="00133CAE" w:rsidP="00133CAE" w:rsidR="00133CAE" w:rsidRPr="00075203">
      <w:pPr>
        <w:autoSpaceDE w:val="false"/>
        <w:autoSpaceDN w:val="false"/>
        <w:adjustRightInd w:val="false"/>
        <w:rPr>
          <w:rFonts w:cs="Arial" w:hAnsi="Arial" w:ascii="Arial"/>
          <w:sz w:val="20"/>
          <w:szCs w:val="20"/>
        </w:rPr>
      </w:pPr>
    </w:p>
    <w:tbl>
      <w:tblPr>
        <w:tblW w:type="dxa" w:w="9678"/>
        <w:tblLook w:val="04A0" w:noVBand="1" w:noHBand="0" w:lastColumn="0" w:firstColumn="1" w:lastRow="0" w:firstRow="1"/>
      </w:tblPr>
      <w:tblGrid>
        <w:gridCol w:w="650"/>
        <w:gridCol w:w="1613"/>
        <w:gridCol w:w="3119"/>
        <w:gridCol w:w="1417"/>
        <w:gridCol w:w="1418"/>
        <w:gridCol w:w="1461"/>
      </w:tblGrid>
      <w:tr w:rsidTr="004B7368" w:rsidR="00133CAE" w:rsidRPr="00075203">
        <w:trPr>
          <w:trHeight w:val="900"/>
        </w:trPr>
        <w:tc>
          <w:tcPr>
            <w:tcW w:type="dxa" w:w="650"/>
            <w:tcBorders>
              <w:top w:space="0" w:sz="4" w:color="auto" w:val="single"/>
              <w:left w:space="0" w:sz="4" w:color="auto" w:val="single"/>
              <w:bottom w:space="0" w:sz="6" w:color="auto" w:val="double"/>
              <w:right w:space="0" w:sz="4" w:color="auto" w:val="single"/>
            </w:tcBorders>
            <w:shd w:fill="D9D9D9" w:color="000000" w:val="clear"/>
            <w:noWrap/>
            <w:vAlign w:val="center"/>
            <w:hideMark/>
          </w:tcPr>
          <w:p w:rsidRDefault="00133CAE" w:rsidP="004B7368" w:rsidR="00133CAE" w:rsidRPr="008C2C17">
            <w:pPr>
              <w:jc w:val="center"/>
              <w:rPr>
                <w:rFonts w:cs="Arial" w:hAnsi="Arial" w:ascii="Arial"/>
                <w:b/>
                <w:bCs/>
                <w:sz w:val="20"/>
                <w:szCs w:val="20"/>
              </w:rPr>
            </w:pPr>
            <w:r w:rsidRPr="008C2C17">
              <w:rPr>
                <w:rFonts w:cs="Arial" w:hAnsi="Arial" w:ascii="Arial"/>
                <w:b/>
                <w:bCs/>
                <w:sz w:val="20"/>
                <w:szCs w:val="20"/>
              </w:rPr>
              <w:t>RBR</w:t>
            </w:r>
          </w:p>
        </w:tc>
        <w:tc>
          <w:tcPr>
            <w:tcW w:type="dxa" w:w="1613"/>
            <w:tcBorders>
              <w:top w:space="0" w:sz="4" w:color="auto" w:val="single"/>
              <w:left w:val="nil"/>
              <w:bottom w:space="0" w:sz="6" w:color="auto" w:val="double"/>
              <w:right w:space="0" w:sz="4" w:color="auto" w:val="single"/>
            </w:tcBorders>
            <w:shd w:fill="D9D9D9" w:color="000000" w:val="clear"/>
            <w:noWrap/>
            <w:vAlign w:val="center"/>
            <w:hideMark/>
          </w:tcPr>
          <w:p w:rsidRDefault="00133CAE" w:rsidP="004B7368" w:rsidR="00133CAE" w:rsidRPr="008C2C17">
            <w:pPr>
              <w:jc w:val="center"/>
              <w:rPr>
                <w:rFonts w:cs="Arial" w:hAnsi="Arial" w:ascii="Arial"/>
                <w:b/>
                <w:bCs/>
                <w:sz w:val="20"/>
                <w:szCs w:val="20"/>
              </w:rPr>
            </w:pPr>
            <w:r w:rsidRPr="008C2C17">
              <w:rPr>
                <w:rFonts w:cs="Arial" w:hAnsi="Arial" w:ascii="Arial"/>
                <w:b/>
                <w:bCs/>
                <w:sz w:val="20"/>
                <w:szCs w:val="20"/>
              </w:rPr>
              <w:t>OIB</w:t>
            </w:r>
          </w:p>
        </w:tc>
        <w:tc>
          <w:tcPr>
            <w:tcW w:type="dxa" w:w="3119"/>
            <w:tcBorders>
              <w:top w:space="0" w:sz="4" w:color="auto" w:val="single"/>
              <w:left w:val="nil"/>
              <w:bottom w:space="0" w:sz="6" w:color="auto" w:val="double"/>
              <w:right w:space="0" w:sz="4" w:color="auto" w:val="single"/>
            </w:tcBorders>
            <w:shd w:fill="D9D9D9" w:color="000000" w:val="clear"/>
            <w:vAlign w:val="center"/>
            <w:hideMark/>
          </w:tcPr>
          <w:p w:rsidRDefault="00133CAE" w:rsidP="004B7368" w:rsidR="00133CAE" w:rsidRPr="008C2C17">
            <w:pPr>
              <w:jc w:val="center"/>
              <w:rPr>
                <w:rFonts w:cs="Arial" w:hAnsi="Arial" w:ascii="Arial"/>
                <w:b/>
                <w:bCs/>
                <w:sz w:val="20"/>
                <w:szCs w:val="20"/>
              </w:rPr>
            </w:pPr>
            <w:r w:rsidRPr="008C2C17">
              <w:rPr>
                <w:rFonts w:cs="Arial" w:hAnsi="Arial" w:ascii="Arial"/>
                <w:b/>
                <w:bCs/>
                <w:sz w:val="20"/>
                <w:szCs w:val="20"/>
              </w:rPr>
              <w:t>NAZIV VJEROVNIKA</w:t>
            </w:r>
          </w:p>
        </w:tc>
        <w:tc>
          <w:tcPr>
            <w:tcW w:type="dxa" w:w="1417"/>
            <w:tcBorders>
              <w:top w:space="0" w:sz="4" w:color="auto" w:val="single"/>
              <w:left w:val="nil"/>
              <w:bottom w:space="0" w:sz="6" w:color="auto" w:val="double"/>
              <w:right w:space="0" w:sz="4" w:color="auto" w:val="single"/>
            </w:tcBorders>
            <w:shd w:fill="D9D9D9" w:color="000000" w:val="clear"/>
            <w:vAlign w:val="center"/>
            <w:hideMark/>
          </w:tcPr>
          <w:p w:rsidRDefault="00133CAE" w:rsidP="004B7368" w:rsidR="00133CAE" w:rsidRPr="008C2C17">
            <w:pPr>
              <w:jc w:val="center"/>
              <w:rPr>
                <w:rFonts w:cs="Arial" w:hAnsi="Arial" w:ascii="Arial"/>
                <w:b/>
                <w:bCs/>
                <w:sz w:val="20"/>
                <w:szCs w:val="20"/>
              </w:rPr>
            </w:pPr>
            <w:r w:rsidRPr="008C2C17">
              <w:rPr>
                <w:rFonts w:cs="Arial" w:hAnsi="Arial" w:ascii="Arial"/>
                <w:b/>
                <w:bCs/>
                <w:sz w:val="20"/>
                <w:szCs w:val="20"/>
              </w:rPr>
              <w:t>UTVRĐENI</w:t>
            </w:r>
            <w:r w:rsidRPr="008C2C17">
              <w:rPr>
                <w:rFonts w:cs="Arial" w:hAnsi="Arial" w:ascii="Arial"/>
                <w:b/>
                <w:bCs/>
                <w:sz w:val="20"/>
                <w:szCs w:val="20"/>
              </w:rPr>
              <w:br/>
              <w:t>IZNOS</w:t>
            </w:r>
            <w:r w:rsidRPr="008C2C17">
              <w:rPr>
                <w:rFonts w:cs="Arial" w:hAnsi="Arial" w:ascii="Arial"/>
                <w:b/>
                <w:bCs/>
                <w:sz w:val="20"/>
                <w:szCs w:val="20"/>
              </w:rPr>
              <w:br/>
              <w:t>TRAŽBINE</w:t>
            </w:r>
          </w:p>
        </w:tc>
        <w:tc>
          <w:tcPr>
            <w:tcW w:type="dxa" w:w="1418"/>
            <w:tcBorders>
              <w:top w:space="0" w:sz="4" w:color="auto" w:val="single"/>
              <w:left w:val="nil"/>
              <w:bottom w:space="0" w:sz="6" w:color="auto" w:val="double"/>
              <w:right w:space="0" w:sz="4" w:color="auto" w:val="single"/>
            </w:tcBorders>
            <w:shd w:fill="D9D9D9" w:color="000000" w:val="clear"/>
            <w:noWrap/>
            <w:vAlign w:val="center"/>
            <w:hideMark/>
          </w:tcPr>
          <w:p w:rsidRDefault="00133CAE" w:rsidP="004B7368" w:rsidR="00133CAE" w:rsidRPr="008C2C17">
            <w:pPr>
              <w:jc w:val="center"/>
              <w:rPr>
                <w:rFonts w:cs="Arial" w:hAnsi="Arial" w:ascii="Arial"/>
                <w:b/>
                <w:bCs/>
                <w:sz w:val="20"/>
                <w:szCs w:val="20"/>
              </w:rPr>
            </w:pPr>
            <w:r w:rsidRPr="008C2C17">
              <w:rPr>
                <w:rFonts w:cs="Arial" w:hAnsi="Arial" w:ascii="Arial"/>
                <w:b/>
                <w:bCs/>
                <w:sz w:val="20"/>
                <w:szCs w:val="20"/>
              </w:rPr>
              <w:t>OTPIS</w:t>
            </w:r>
          </w:p>
        </w:tc>
        <w:tc>
          <w:tcPr>
            <w:tcW w:type="dxa" w:w="1461"/>
            <w:tcBorders>
              <w:top w:space="0" w:sz="4" w:color="auto" w:val="single"/>
              <w:left w:val="nil"/>
              <w:bottom w:space="0" w:sz="6" w:color="auto" w:val="double"/>
              <w:right w:space="0" w:sz="4" w:color="auto" w:val="single"/>
            </w:tcBorders>
            <w:shd w:fill="D9D9D9" w:color="000000" w:val="clear"/>
            <w:vAlign w:val="center"/>
            <w:hideMark/>
          </w:tcPr>
          <w:p w:rsidRDefault="00133CAE" w:rsidP="004B7368" w:rsidR="00133CAE" w:rsidRPr="008C2C17">
            <w:pPr>
              <w:jc w:val="center"/>
              <w:rPr>
                <w:rFonts w:cs="Arial" w:hAnsi="Arial" w:ascii="Arial"/>
                <w:b/>
                <w:bCs/>
                <w:sz w:val="20"/>
                <w:szCs w:val="20"/>
              </w:rPr>
            </w:pPr>
            <w:r w:rsidRPr="008C2C17">
              <w:rPr>
                <w:rFonts w:cs="Arial" w:hAnsi="Arial" w:ascii="Arial"/>
                <w:b/>
                <w:bCs/>
                <w:sz w:val="20"/>
                <w:szCs w:val="20"/>
              </w:rPr>
              <w:t>PREOSTALO</w:t>
            </w:r>
            <w:r w:rsidRPr="008C2C17">
              <w:rPr>
                <w:rFonts w:cs="Arial" w:hAnsi="Arial" w:ascii="Arial"/>
                <w:b/>
                <w:bCs/>
                <w:sz w:val="20"/>
                <w:szCs w:val="20"/>
              </w:rPr>
              <w:br/>
              <w:t>ZA OTPLATU</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1</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06637660960</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Adria grupa d.o.o.</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7.807,31</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5.465,12</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2.342,19</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2</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67405107499</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Alfa leasing d.o.o.</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128.147,64</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89.703,35</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38.444,29</w:t>
            </w:r>
          </w:p>
        </w:tc>
      </w:tr>
      <w:tr w:rsidTr="004B7368" w:rsidR="00133CAE" w:rsidRPr="008C2C17">
        <w:trPr>
          <w:trHeight w:val="300"/>
        </w:trPr>
        <w:tc>
          <w:tcPr>
            <w:tcW w:type="dxa" w:w="650"/>
            <w:tcBorders>
              <w:top w:space="0" w:sz="4" w:color="auto" w:val="single"/>
              <w:left w:space="0" w:sz="4" w:color="auto" w:val="single"/>
              <w:bottom w:space="0" w:sz="4" w:color="auto" w:val="single"/>
              <w:right w:val="nil"/>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3</w:t>
            </w:r>
          </w:p>
        </w:tc>
        <w:tc>
          <w:tcPr>
            <w:tcW w:type="dxa" w:w="1613"/>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87767105876</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ATP servis - Autoprijevoz i trgovina - Miljenko Piršić</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937,50</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656,25</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281,25</w:t>
            </w:r>
          </w:p>
        </w:tc>
      </w:tr>
      <w:tr w:rsidTr="004B7368" w:rsidR="00133CAE" w:rsidRPr="008C2C17">
        <w:trPr>
          <w:trHeight w:val="300"/>
        </w:trPr>
        <w:tc>
          <w:tcPr>
            <w:tcW w:type="dxa" w:w="650"/>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4</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11046503641</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ARK Mihelić</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1.519,31</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1.063,52</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455,79</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5</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75798666307</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Auto Jurković</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2.322,90</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1.626,03</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696,87</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6</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99906654982</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Auto klub Crikvenica - udruga</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1.762,50</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1.233,75</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528,75</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7</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41664839195</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Automatic servis d.o.o.</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862,50</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603,75</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258,75</w:t>
            </w:r>
          </w:p>
        </w:tc>
      </w:tr>
      <w:tr w:rsidTr="004B7368" w:rsidR="00133CAE" w:rsidRPr="008C2C17">
        <w:trPr>
          <w:trHeight w:val="300"/>
        </w:trPr>
        <w:tc>
          <w:tcPr>
            <w:tcW w:type="dxa" w:w="650"/>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8</w:t>
            </w:r>
          </w:p>
        </w:tc>
        <w:tc>
          <w:tcPr>
            <w:tcW w:type="dxa" w:w="1613"/>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12708300284</w:t>
            </w:r>
          </w:p>
        </w:tc>
        <w:tc>
          <w:tcPr>
            <w:tcW w:type="dxa" w:w="3119"/>
            <w:tcBorders>
              <w:top w:space="0" w:sz="4" w:color="auto" w:val="single"/>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Autoškola Miroslav Zemljak d.o.o.</w:t>
            </w:r>
          </w:p>
        </w:tc>
        <w:tc>
          <w:tcPr>
            <w:tcW w:type="dxa" w:w="1417"/>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1.250,00</w:t>
            </w:r>
          </w:p>
        </w:tc>
        <w:tc>
          <w:tcPr>
            <w:tcW w:type="dxa" w:w="1418"/>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875,00</w:t>
            </w:r>
          </w:p>
        </w:tc>
        <w:tc>
          <w:tcPr>
            <w:tcW w:type="dxa" w:w="1461"/>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375,00</w:t>
            </w:r>
          </w:p>
        </w:tc>
      </w:tr>
      <w:tr w:rsidTr="004B7368" w:rsidR="00133CAE" w:rsidRPr="008C2C17">
        <w:trPr>
          <w:trHeight w:val="300"/>
        </w:trPr>
        <w:tc>
          <w:tcPr>
            <w:tcW w:type="dxa" w:w="650"/>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9</w:t>
            </w:r>
          </w:p>
        </w:tc>
        <w:tc>
          <w:tcPr>
            <w:tcW w:type="dxa" w:w="1613"/>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51385806151</w:t>
            </w:r>
          </w:p>
        </w:tc>
        <w:tc>
          <w:tcPr>
            <w:tcW w:type="dxa" w:w="3119"/>
            <w:tcBorders>
              <w:top w:space="0" w:sz="4" w:color="auto" w:val="single"/>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B.E.T. D.o.o.</w:t>
            </w:r>
          </w:p>
        </w:tc>
        <w:tc>
          <w:tcPr>
            <w:tcW w:type="dxa" w:w="1417"/>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4.000,00</w:t>
            </w:r>
          </w:p>
        </w:tc>
        <w:tc>
          <w:tcPr>
            <w:tcW w:type="dxa" w:w="1418"/>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2.800,00</w:t>
            </w:r>
          </w:p>
        </w:tc>
        <w:tc>
          <w:tcPr>
            <w:tcW w:type="dxa" w:w="1461"/>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1.200,00</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10</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66517874387</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Baris d.o.o.</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3.847,50</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2.693,25</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1.154,25</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11</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30659765058</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Bor trans - obrt za prijevoz, vl. Marijana Boršić</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4.428,99</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3.100,29</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1.328,70</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12</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84596041174</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Cargo partner d.o.o.</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13.388,12</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9.371,68</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4.016,44</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13</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34881205203</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Copy reklam d.o.o.</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785,20</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549,64</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235,56</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14</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89968033067</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Croatia tehnički pregledi</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1.282,13</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897,49</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384,64</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15</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67511721139</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DB informatika d.o.o.</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93,75</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65,63</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28,13</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16</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55911692584</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Dinela logistika d.o.o.</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500,00</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350,00</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150,00</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17</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98403848106</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E.C. Inspekt d.o.o.</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68.535,66</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47.974,96</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20.560,70</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18</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15191211491</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Euro alfa d.o.o.</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2.137,50</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1.496,25</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641,25</w:t>
            </w:r>
          </w:p>
        </w:tc>
      </w:tr>
      <w:tr w:rsidTr="004B7368" w:rsidR="00133CAE" w:rsidRPr="008C2C17">
        <w:trPr>
          <w:trHeight w:val="300"/>
        </w:trPr>
        <w:tc>
          <w:tcPr>
            <w:tcW w:type="dxa" w:w="650"/>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19</w:t>
            </w:r>
          </w:p>
        </w:tc>
        <w:tc>
          <w:tcPr>
            <w:tcW w:type="dxa" w:w="1613"/>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37236694194</w:t>
            </w:r>
          </w:p>
        </w:tc>
        <w:tc>
          <w:tcPr>
            <w:tcW w:type="dxa" w:w="3119"/>
            <w:tcBorders>
              <w:top w:space="0" w:sz="4" w:color="auto" w:val="single"/>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Euro oprema d.o.o.</w:t>
            </w:r>
          </w:p>
        </w:tc>
        <w:tc>
          <w:tcPr>
            <w:tcW w:type="dxa" w:w="1417"/>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2.738,34</w:t>
            </w:r>
          </w:p>
        </w:tc>
        <w:tc>
          <w:tcPr>
            <w:tcW w:type="dxa" w:w="1418"/>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1.916,84</w:t>
            </w:r>
          </w:p>
        </w:tc>
        <w:tc>
          <w:tcPr>
            <w:tcW w:type="dxa" w:w="1461"/>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821,50</w:t>
            </w:r>
          </w:p>
        </w:tc>
      </w:tr>
      <w:tr w:rsidTr="004B7368" w:rsidR="00133CAE" w:rsidRPr="008C2C17">
        <w:trPr>
          <w:trHeight w:val="768"/>
        </w:trPr>
        <w:tc>
          <w:tcPr>
            <w:tcW w:type="dxa" w:w="650"/>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20</w:t>
            </w:r>
          </w:p>
        </w:tc>
        <w:tc>
          <w:tcPr>
            <w:tcW w:type="dxa" w:w="1613"/>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65810996608</w:t>
            </w:r>
          </w:p>
        </w:tc>
        <w:tc>
          <w:tcPr>
            <w:tcW w:type="dxa" w:w="3119"/>
            <w:tcBorders>
              <w:top w:space="0" w:sz="4" w:color="auto" w:val="single"/>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GEC Obrt za izdavanje soba, proizvodnju i davanje u zakup automata za igre na sreću i zabavu i ugostiteljstvo, vl. Dragutin Gregurić</w:t>
            </w:r>
          </w:p>
        </w:tc>
        <w:tc>
          <w:tcPr>
            <w:tcW w:type="dxa" w:w="1417"/>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335,05</w:t>
            </w:r>
          </w:p>
        </w:tc>
        <w:tc>
          <w:tcPr>
            <w:tcW w:type="dxa" w:w="1418"/>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234,54</w:t>
            </w:r>
          </w:p>
        </w:tc>
        <w:tc>
          <w:tcPr>
            <w:tcW w:type="dxa" w:w="1461"/>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100,52</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21</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88360795357</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General Logistic System Croatia d.o.o.</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385,94</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270,16</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115,78</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22</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61817894937</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Grad Zagreb</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407,05</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284,94</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122,12</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23</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30176496729</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Grand auto d.o.o.</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25.793,10</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18.055,17</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7.737,93</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24</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99701407232</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Gustus perfectus d.o.o.</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24.375,00</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17.062,50</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7.312,50</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25</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28921383001</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Hrvatske vode</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127,58</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89,31</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38,27</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26</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85514716931</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Intereuropa d.o.o.</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5.418,55</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3.792,99</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1.625,57</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27</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90742870605</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Interfish d.o.o.</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3.973,63</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2.781,54</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1.192,09</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28</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0214925756</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Kabrio d.o.o.</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5.312,50</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3.718,75</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1.593,75</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29</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81210206592</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Kuehne &amp; Nagel</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3.437,26</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2.406,08</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1.031,18</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30</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98319803940</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La Log d.o.o.</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19.061,08</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13.342,76</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5.718,32</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31</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06096902785</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Lidikon prom d.o.o.</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7.800,00</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5.460,00</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2.340,00</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32</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23899664584</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Mavi d.o.o.</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5.738,75</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4.017,13</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1.721,63</w:t>
            </w:r>
          </w:p>
        </w:tc>
      </w:tr>
      <w:tr w:rsidTr="007F26BC" w:rsidR="00133CAE" w:rsidRPr="008C2C17">
        <w:trPr>
          <w:trHeight w:val="300"/>
        </w:trPr>
        <w:tc>
          <w:tcPr>
            <w:tcW w:type="dxa" w:w="650"/>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lastRenderedPageBreak/>
              <w:t>33</w:t>
            </w:r>
          </w:p>
        </w:tc>
        <w:tc>
          <w:tcPr>
            <w:tcW w:type="dxa" w:w="1613"/>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65558832125</w:t>
            </w:r>
          </w:p>
        </w:tc>
        <w:tc>
          <w:tcPr>
            <w:tcW w:type="dxa" w:w="3119"/>
            <w:tcBorders>
              <w:top w:space="0" w:sz="4" w:color="auto" w:val="single"/>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Mega dizajn d.o.o.</w:t>
            </w:r>
          </w:p>
        </w:tc>
        <w:tc>
          <w:tcPr>
            <w:tcW w:type="dxa" w:w="1417"/>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1.725,00</w:t>
            </w:r>
          </w:p>
        </w:tc>
        <w:tc>
          <w:tcPr>
            <w:tcW w:type="dxa" w:w="1418"/>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1.207,50</w:t>
            </w:r>
          </w:p>
        </w:tc>
        <w:tc>
          <w:tcPr>
            <w:tcW w:type="dxa" w:w="1461"/>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517,50</w:t>
            </w:r>
          </w:p>
        </w:tc>
      </w:tr>
      <w:tr w:rsidTr="007F26BC" w:rsidR="00133CAE" w:rsidRPr="008C2C17">
        <w:trPr>
          <w:trHeight w:val="615"/>
        </w:trPr>
        <w:tc>
          <w:tcPr>
            <w:tcW w:type="dxa" w:w="650"/>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34</w:t>
            </w:r>
          </w:p>
        </w:tc>
        <w:tc>
          <w:tcPr>
            <w:tcW w:type="dxa" w:w="1613"/>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72826042721</w:t>
            </w:r>
          </w:p>
        </w:tc>
        <w:tc>
          <w:tcPr>
            <w:tcW w:type="dxa" w:w="3119"/>
            <w:tcBorders>
              <w:top w:space="0" w:sz="4" w:color="auto" w:val="single"/>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Moj otisak, obrt za proizvodnju i usluge, vl. Davor Dujaković</w:t>
            </w:r>
          </w:p>
        </w:tc>
        <w:tc>
          <w:tcPr>
            <w:tcW w:type="dxa" w:w="1417"/>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450,00</w:t>
            </w:r>
          </w:p>
        </w:tc>
        <w:tc>
          <w:tcPr>
            <w:tcW w:type="dxa" w:w="1418"/>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315,00</w:t>
            </w:r>
          </w:p>
        </w:tc>
        <w:tc>
          <w:tcPr>
            <w:tcW w:type="dxa" w:w="1461"/>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135,00</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35</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14610016674</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Monile d.o.o.</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382,03</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267,42</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114,61</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36</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62414030019</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Ni-ga d.o.o.</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12.500,00</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8.750,00</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3.750,00</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37</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33596989632</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Place 2 go d.o.o.</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1.237,50</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866,25</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371,25</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38</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67492500921</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Porsche inter auto d.o.o.</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1.312,50</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918,75</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393,75</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39</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25170721692</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Print studio d.o.o.</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155,00</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108,50</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46,50</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40</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20901416727</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Quehenberger Logistic d.o.o.</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12.680,74</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8.876,52</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3.804,22</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41</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41889635649</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Regica net d.o.o.</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1.250,00</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875,00</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375,00</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42</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43354566311</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Rhea d.o.o.</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1.555,62</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1.088,93</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466,69</w:t>
            </w:r>
          </w:p>
        </w:tc>
      </w:tr>
      <w:tr w:rsidTr="004B7368" w:rsidR="00133CAE" w:rsidRPr="008C2C17">
        <w:trPr>
          <w:trHeight w:val="528"/>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43</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17668523805</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S.K.A.B. Obrt za transport, trgovinu i ugostiteljstvo, vl. Branko Tisanić</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2.125,00</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1.487,50</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637,50</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44</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 </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Sitos S.r.l.</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26.750,17</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18.725,12</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8.025,05</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45</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50056415529</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Stanić d.o.o.</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6.007,81</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4.205,47</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1.802,34</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46</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48784513395</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Svetice, ugostiteljski obrt, vl. Bosa Maslać</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285,00</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199,50</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85,50</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47</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70133616033</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Tele 2 d.o.o.</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14.068,88</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9.848,22</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4.220,66</w:t>
            </w:r>
          </w:p>
        </w:tc>
      </w:tr>
      <w:tr w:rsidTr="004B7368" w:rsidR="00133CAE" w:rsidRPr="008C2C17">
        <w:trPr>
          <w:trHeight w:val="300"/>
        </w:trPr>
        <w:tc>
          <w:tcPr>
            <w:tcW w:type="dxa" w:w="650"/>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48</w:t>
            </w:r>
          </w:p>
        </w:tc>
        <w:tc>
          <w:tcPr>
            <w:tcW w:type="dxa" w:w="1613"/>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 </w:t>
            </w:r>
          </w:p>
        </w:tc>
        <w:tc>
          <w:tcPr>
            <w:tcW w:type="dxa" w:w="3119"/>
            <w:tcBorders>
              <w:top w:space="0" w:sz="4" w:color="auto" w:val="single"/>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Tetrada d.o.o. (Stranac)</w:t>
            </w:r>
          </w:p>
        </w:tc>
        <w:tc>
          <w:tcPr>
            <w:tcW w:type="dxa" w:w="1417"/>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14.031,54</w:t>
            </w:r>
          </w:p>
        </w:tc>
        <w:tc>
          <w:tcPr>
            <w:tcW w:type="dxa" w:w="1418"/>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9.822,08</w:t>
            </w:r>
          </w:p>
        </w:tc>
        <w:tc>
          <w:tcPr>
            <w:tcW w:type="dxa" w:w="1461"/>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4.209,46</w:t>
            </w:r>
          </w:p>
        </w:tc>
      </w:tr>
      <w:tr w:rsidTr="004B7368" w:rsidR="00133CAE" w:rsidRPr="008C2C17">
        <w:trPr>
          <w:trHeight w:val="300"/>
        </w:trPr>
        <w:tc>
          <w:tcPr>
            <w:tcW w:type="dxa" w:w="650"/>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49</w:t>
            </w:r>
          </w:p>
        </w:tc>
        <w:tc>
          <w:tcPr>
            <w:tcW w:type="dxa" w:w="1613"/>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71070860390</w:t>
            </w:r>
          </w:p>
        </w:tc>
        <w:tc>
          <w:tcPr>
            <w:tcW w:type="dxa" w:w="3119"/>
            <w:tcBorders>
              <w:top w:space="0" w:sz="4" w:color="auto" w:val="single"/>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Tomal D.A. d.o.o.</w:t>
            </w:r>
          </w:p>
        </w:tc>
        <w:tc>
          <w:tcPr>
            <w:tcW w:type="dxa" w:w="1417"/>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9.762,12</w:t>
            </w:r>
          </w:p>
        </w:tc>
        <w:tc>
          <w:tcPr>
            <w:tcW w:type="dxa" w:w="1418"/>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6.833,48</w:t>
            </w:r>
          </w:p>
        </w:tc>
        <w:tc>
          <w:tcPr>
            <w:tcW w:type="dxa" w:w="1461"/>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2.928,64</w:t>
            </w:r>
          </w:p>
        </w:tc>
      </w:tr>
      <w:tr w:rsidTr="004B7368" w:rsidR="00133CAE" w:rsidRPr="008C2C17">
        <w:trPr>
          <w:trHeight w:val="576"/>
        </w:trPr>
        <w:tc>
          <w:tcPr>
            <w:tcW w:type="dxa" w:w="650"/>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50</w:t>
            </w:r>
          </w:p>
        </w:tc>
        <w:tc>
          <w:tcPr>
            <w:tcW w:type="dxa" w:w="1613"/>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98746606528</w:t>
            </w:r>
          </w:p>
        </w:tc>
        <w:tc>
          <w:tcPr>
            <w:tcW w:type="dxa" w:w="3119"/>
            <w:tcBorders>
              <w:top w:space="0" w:sz="4" w:color="auto" w:val="single"/>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Transporti Buneta, autoprijevoznički obrt, vl. Danijela Buneta</w:t>
            </w:r>
          </w:p>
        </w:tc>
        <w:tc>
          <w:tcPr>
            <w:tcW w:type="dxa" w:w="1417"/>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3.331,74</w:t>
            </w:r>
          </w:p>
        </w:tc>
        <w:tc>
          <w:tcPr>
            <w:tcW w:type="dxa" w:w="1418"/>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2.332,22</w:t>
            </w:r>
          </w:p>
        </w:tc>
        <w:tc>
          <w:tcPr>
            <w:tcW w:type="dxa" w:w="1461"/>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999,52</w:t>
            </w:r>
          </w:p>
        </w:tc>
      </w:tr>
      <w:tr w:rsidTr="004B7368" w:rsidR="00133CAE" w:rsidRPr="008C2C17">
        <w:trPr>
          <w:trHeight w:val="300"/>
        </w:trPr>
        <w:tc>
          <w:tcPr>
            <w:tcW w:type="dxa" w:w="650"/>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51</w:t>
            </w:r>
          </w:p>
        </w:tc>
        <w:tc>
          <w:tcPr>
            <w:tcW w:type="dxa" w:w="1613"/>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93225891495</w:t>
            </w:r>
          </w:p>
        </w:tc>
        <w:tc>
          <w:tcPr>
            <w:tcW w:type="dxa" w:w="3119"/>
            <w:tcBorders>
              <w:top w:space="0" w:sz="4" w:color="auto" w:val="single"/>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Trast d.o.o.</w:t>
            </w:r>
          </w:p>
        </w:tc>
        <w:tc>
          <w:tcPr>
            <w:tcW w:type="dxa" w:w="1417"/>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1.250,00</w:t>
            </w:r>
          </w:p>
        </w:tc>
        <w:tc>
          <w:tcPr>
            <w:tcW w:type="dxa" w:w="1418"/>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875,00</w:t>
            </w:r>
          </w:p>
        </w:tc>
        <w:tc>
          <w:tcPr>
            <w:tcW w:type="dxa" w:w="1461"/>
            <w:tcBorders>
              <w:top w:space="0" w:sz="4" w:color="auto" w:val="single"/>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375,00</w:t>
            </w:r>
          </w:p>
        </w:tc>
      </w:tr>
      <w:tr w:rsidTr="004B7368" w:rsidR="00133CAE" w:rsidRPr="008C2C17">
        <w:trPr>
          <w:trHeight w:val="564"/>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52</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074601192284</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Udruga za promicanje glazbene i plesne kulture Šport i glazba</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1.200,00</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840,00</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360,00</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53</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18791678896</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Uroić tehnologije d.o.o.</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1.590,00</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1.113,00</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477,00</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54</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76500551634</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Valeo Zagreb d.o.o.</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3.359,87</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2.351,91</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1.007,96</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55</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77392897489</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Vendomat d.o.o.</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7.562,50</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5.293,75</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2.268,75</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56</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31825238228</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Vi-tea d.o.o.</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106,48</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74,54</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31,94</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57</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42363713257</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Vlatka Pokos</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4.000,00</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2.800,00</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1.200,00</w:t>
            </w:r>
          </w:p>
        </w:tc>
      </w:tr>
      <w:tr w:rsidTr="004B7368" w:rsidR="00133CAE" w:rsidRPr="008C2C17">
        <w:trPr>
          <w:trHeight w:val="300"/>
        </w:trPr>
        <w:tc>
          <w:tcPr>
            <w:tcW w:type="dxa" w:w="650"/>
            <w:tcBorders>
              <w:top w:val="nil"/>
              <w:left w:space="0" w:sz="4" w:color="auto" w:val="single"/>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58</w:t>
            </w:r>
          </w:p>
        </w:tc>
        <w:tc>
          <w:tcPr>
            <w:tcW w:type="dxa" w:w="1613"/>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center"/>
              <w:rPr>
                <w:rFonts w:cs="Arial" w:hAnsi="Arial" w:ascii="Arial"/>
                <w:sz w:val="20"/>
                <w:szCs w:val="20"/>
              </w:rPr>
            </w:pPr>
            <w:r w:rsidRPr="008C2C17">
              <w:rPr>
                <w:rFonts w:cs="Arial" w:hAnsi="Arial" w:ascii="Arial"/>
                <w:sz w:val="20"/>
                <w:szCs w:val="20"/>
              </w:rPr>
              <w:t>35851564566</w:t>
            </w:r>
          </w:p>
        </w:tc>
        <w:tc>
          <w:tcPr>
            <w:tcW w:type="dxa" w:w="3119"/>
            <w:tcBorders>
              <w:top w:val="nil"/>
              <w:left w:val="nil"/>
              <w:bottom w:space="0" w:sz="4" w:color="auto" w:val="single"/>
              <w:right w:space="0" w:sz="4" w:color="auto" w:val="single"/>
            </w:tcBorders>
            <w:shd w:fill="auto" w:color="auto" w:val="clear"/>
            <w:vAlign w:val="center"/>
            <w:hideMark/>
          </w:tcPr>
          <w:p w:rsidRDefault="00133CAE" w:rsidP="004B7368" w:rsidR="00133CAE" w:rsidRPr="008C2C17">
            <w:pPr>
              <w:rPr>
                <w:rFonts w:cs="Arial" w:hAnsi="Arial" w:ascii="Arial"/>
                <w:sz w:val="20"/>
                <w:szCs w:val="20"/>
              </w:rPr>
            </w:pPr>
            <w:r w:rsidRPr="008C2C17">
              <w:rPr>
                <w:rFonts w:cs="Arial" w:hAnsi="Arial" w:ascii="Arial"/>
                <w:sz w:val="20"/>
                <w:szCs w:val="20"/>
              </w:rPr>
              <w:t>Zaprešićanka d.o.o.</w:t>
            </w:r>
          </w:p>
        </w:tc>
        <w:tc>
          <w:tcPr>
            <w:tcW w:type="dxa" w:w="1417"/>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1.125,00</w:t>
            </w:r>
          </w:p>
        </w:tc>
        <w:tc>
          <w:tcPr>
            <w:tcW w:type="dxa" w:w="1418"/>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787,50</w:t>
            </w:r>
          </w:p>
        </w:tc>
        <w:tc>
          <w:tcPr>
            <w:tcW w:type="dxa" w:w="1461"/>
            <w:tcBorders>
              <w:top w:val="nil"/>
              <w:left w:val="nil"/>
              <w:bottom w:space="0" w:sz="4" w:color="auto" w:val="single"/>
              <w:right w:space="0" w:sz="4" w:color="auto" w:val="single"/>
            </w:tcBorders>
            <w:shd w:fill="auto" w:color="auto" w:val="clear"/>
            <w:noWrap/>
            <w:vAlign w:val="center"/>
            <w:hideMark/>
          </w:tcPr>
          <w:p w:rsidRDefault="00133CAE" w:rsidP="004B7368" w:rsidR="00133CAE" w:rsidRPr="008C2C17">
            <w:pPr>
              <w:jc w:val="right"/>
              <w:rPr>
                <w:rFonts w:cs="Arial" w:hAnsi="Arial" w:ascii="Arial"/>
                <w:sz w:val="20"/>
                <w:szCs w:val="20"/>
              </w:rPr>
            </w:pPr>
            <w:r w:rsidRPr="008C2C17">
              <w:rPr>
                <w:rFonts w:cs="Arial" w:hAnsi="Arial" w:ascii="Arial"/>
                <w:sz w:val="20"/>
                <w:szCs w:val="20"/>
              </w:rPr>
              <w:t>337,50</w:t>
            </w:r>
          </w:p>
        </w:tc>
      </w:tr>
      <w:tr w:rsidTr="004B7368" w:rsidR="00133CAE" w:rsidRPr="008C2C17">
        <w:trPr>
          <w:trHeight w:val="300"/>
        </w:trPr>
        <w:tc>
          <w:tcPr>
            <w:tcW w:type="dxa" w:w="650"/>
            <w:tcBorders>
              <w:top w:val="nil"/>
              <w:left w:val="nil"/>
              <w:bottom w:val="nil"/>
              <w:right w:val="nil"/>
            </w:tcBorders>
            <w:shd w:fill="auto" w:color="auto" w:val="clear"/>
            <w:noWrap/>
            <w:vAlign w:val="center"/>
            <w:hideMark/>
          </w:tcPr>
          <w:p w:rsidRDefault="00133CAE" w:rsidP="004B7368" w:rsidR="00133CAE" w:rsidRPr="008C2C17">
            <w:pPr>
              <w:jc w:val="right"/>
              <w:rPr>
                <w:rFonts w:cs="Arial" w:hAnsi="Arial" w:ascii="Arial"/>
                <w:sz w:val="20"/>
                <w:szCs w:val="20"/>
              </w:rPr>
            </w:pPr>
          </w:p>
        </w:tc>
        <w:tc>
          <w:tcPr>
            <w:tcW w:type="dxa" w:w="1613"/>
            <w:tcBorders>
              <w:top w:val="nil"/>
              <w:left w:val="nil"/>
              <w:bottom w:val="nil"/>
              <w:right w:val="nil"/>
            </w:tcBorders>
            <w:shd w:fill="auto" w:color="auto" w:val="clear"/>
            <w:noWrap/>
            <w:vAlign w:val="center"/>
            <w:hideMark/>
          </w:tcPr>
          <w:p w:rsidRDefault="00133CAE" w:rsidP="004B7368" w:rsidR="00133CAE" w:rsidRPr="008C2C17">
            <w:pPr>
              <w:jc w:val="center"/>
              <w:rPr>
                <w:sz w:val="20"/>
                <w:szCs w:val="20"/>
              </w:rPr>
            </w:pPr>
          </w:p>
        </w:tc>
        <w:tc>
          <w:tcPr>
            <w:tcW w:type="dxa" w:w="3119"/>
            <w:tcBorders>
              <w:top w:val="nil"/>
              <w:left w:val="nil"/>
              <w:bottom w:val="nil"/>
              <w:right w:val="nil"/>
            </w:tcBorders>
            <w:shd w:fill="auto" w:color="auto" w:val="clear"/>
            <w:vAlign w:val="center"/>
            <w:hideMark/>
          </w:tcPr>
          <w:p w:rsidRDefault="00133CAE" w:rsidP="004B7368" w:rsidR="00133CAE" w:rsidRPr="008C2C17">
            <w:pPr>
              <w:rPr>
                <w:rFonts w:cs="Arial" w:hAnsi="Arial" w:ascii="Arial"/>
                <w:b/>
                <w:bCs/>
                <w:sz w:val="20"/>
                <w:szCs w:val="20"/>
              </w:rPr>
            </w:pPr>
            <w:r w:rsidRPr="008C2C17">
              <w:rPr>
                <w:rFonts w:cs="Arial" w:hAnsi="Arial" w:ascii="Arial"/>
                <w:b/>
                <w:bCs/>
                <w:sz w:val="20"/>
                <w:szCs w:val="20"/>
              </w:rPr>
              <w:t>UKUPNO</w:t>
            </w:r>
          </w:p>
        </w:tc>
        <w:tc>
          <w:tcPr>
            <w:tcW w:type="dxa" w:w="1417"/>
            <w:tcBorders>
              <w:top w:val="nil"/>
              <w:left w:val="nil"/>
              <w:bottom w:val="nil"/>
              <w:right w:val="nil"/>
            </w:tcBorders>
            <w:shd w:fill="auto" w:color="auto" w:val="clear"/>
            <w:noWrap/>
            <w:vAlign w:val="center"/>
            <w:hideMark/>
          </w:tcPr>
          <w:p w:rsidRDefault="00133CAE" w:rsidP="004B7368" w:rsidR="00133CAE" w:rsidRPr="008C2C17">
            <w:pPr>
              <w:jc w:val="right"/>
              <w:rPr>
                <w:rFonts w:cs="Arial" w:hAnsi="Arial" w:ascii="Arial"/>
                <w:b/>
                <w:bCs/>
                <w:sz w:val="20"/>
                <w:szCs w:val="20"/>
              </w:rPr>
            </w:pPr>
            <w:r w:rsidRPr="008C2C17">
              <w:rPr>
                <w:rFonts w:cs="Arial" w:hAnsi="Arial" w:ascii="Arial"/>
                <w:b/>
                <w:bCs/>
                <w:sz w:val="20"/>
                <w:szCs w:val="20"/>
              </w:rPr>
              <w:t>478.316,84</w:t>
            </w:r>
          </w:p>
        </w:tc>
        <w:tc>
          <w:tcPr>
            <w:tcW w:type="dxa" w:w="1418"/>
            <w:tcBorders>
              <w:top w:val="nil"/>
              <w:left w:val="nil"/>
              <w:bottom w:val="nil"/>
              <w:right w:val="nil"/>
            </w:tcBorders>
            <w:shd w:fill="auto" w:color="auto" w:val="clear"/>
            <w:noWrap/>
            <w:vAlign w:val="center"/>
            <w:hideMark/>
          </w:tcPr>
          <w:p w:rsidRDefault="00133CAE" w:rsidP="004B7368" w:rsidR="00133CAE" w:rsidRPr="008C2C17">
            <w:pPr>
              <w:jc w:val="right"/>
              <w:rPr>
                <w:rFonts w:cs="Arial" w:hAnsi="Arial" w:ascii="Arial"/>
                <w:b/>
                <w:bCs/>
                <w:sz w:val="20"/>
                <w:szCs w:val="20"/>
              </w:rPr>
            </w:pPr>
            <w:r w:rsidRPr="008C2C17">
              <w:rPr>
                <w:rFonts w:cs="Arial" w:hAnsi="Arial" w:ascii="Arial"/>
                <w:b/>
                <w:bCs/>
                <w:sz w:val="20"/>
                <w:szCs w:val="20"/>
              </w:rPr>
              <w:t>334.821,79</w:t>
            </w:r>
          </w:p>
        </w:tc>
        <w:tc>
          <w:tcPr>
            <w:tcW w:type="dxa" w:w="1461"/>
            <w:tcBorders>
              <w:top w:val="nil"/>
              <w:left w:val="nil"/>
              <w:bottom w:val="nil"/>
              <w:right w:val="nil"/>
            </w:tcBorders>
            <w:shd w:fill="auto" w:color="auto" w:val="clear"/>
            <w:noWrap/>
            <w:vAlign w:val="center"/>
            <w:hideMark/>
          </w:tcPr>
          <w:p w:rsidRDefault="00133CAE" w:rsidP="004B7368" w:rsidR="00133CAE" w:rsidRPr="008C2C17">
            <w:pPr>
              <w:jc w:val="right"/>
              <w:rPr>
                <w:rFonts w:cs="Arial" w:hAnsi="Arial" w:ascii="Arial"/>
                <w:b/>
                <w:bCs/>
                <w:sz w:val="20"/>
                <w:szCs w:val="20"/>
              </w:rPr>
            </w:pPr>
            <w:r w:rsidRPr="008C2C17">
              <w:rPr>
                <w:rFonts w:cs="Arial" w:hAnsi="Arial" w:ascii="Arial"/>
                <w:b/>
                <w:bCs/>
                <w:sz w:val="20"/>
                <w:szCs w:val="20"/>
              </w:rPr>
              <w:t>143.495,05</w:t>
            </w:r>
          </w:p>
        </w:tc>
      </w:tr>
    </w:tbl>
    <w:p w:rsidRDefault="00133CAE" w:rsidP="00133CAE" w:rsidR="00133CAE" w:rsidRPr="00075203">
      <w:pPr>
        <w:autoSpaceDE w:val="false"/>
        <w:autoSpaceDN w:val="false"/>
        <w:adjustRightInd w:val="false"/>
        <w:rPr>
          <w:rFonts w:cs="Arial" w:hAnsi="Arial" w:ascii="Arial"/>
          <w:sz w:val="20"/>
          <w:szCs w:val="20"/>
        </w:rPr>
      </w:pPr>
    </w:p>
    <w:p w:rsidRDefault="00133CAE" w:rsidP="00133CAE" w:rsidR="00133CAE"/>
    <w:p w:rsidRDefault="00133CAE" w:rsidP="00133CAE" w:rsidR="00133CAE"/>
    <w:p w:rsidRDefault="00133CAE" w:rsidP="00133CAE" w:rsidR="00133CAE"/>
    <w:p w:rsidRDefault="00133CAE" w:rsidP="00133CAE" w:rsidR="00133CAE"/>
    <w:p w:rsidRDefault="00133CAE" w:rsidP="00133CAE" w:rsidR="00133CAE"/>
    <w:p w:rsidRDefault="00133CAE" w:rsidP="00133CAE" w:rsidR="00133CAE"/>
    <w:p w:rsidRDefault="007F26BC" w:rsidP="00133CAE" w:rsidR="007F26BC"/>
    <w:p w:rsidRDefault="007F26BC" w:rsidP="00133CAE" w:rsidR="007F26BC"/>
    <w:p w:rsidRDefault="007F26BC" w:rsidP="00133CAE" w:rsidR="007F26BC"/>
    <w:p w:rsidRDefault="007F26BC" w:rsidP="00133CAE" w:rsidR="007F26BC"/>
    <w:p w:rsidRDefault="007F26BC" w:rsidP="00133CAE" w:rsidR="007F26BC"/>
    <w:p w:rsidRDefault="00133CAE" w:rsidP="00133CAE" w:rsidR="00133CAE">
      <w:pPr>
        <w:ind w:left="1080"/>
      </w:pPr>
    </w:p>
    <w:p w:rsidRDefault="00133CAE" w:rsidP="00133CAE" w:rsidR="00133CAE">
      <w:r>
        <w:t xml:space="preserve">Predlagatelj – dužnik: </w:t>
      </w:r>
      <w:r w:rsidRPr="00315836">
        <w:t>Svesa natura d.o.o., Ivana Pintarića 29 10290, Ivanec Bistranski 10 290 Zaprešić, OIB 85557588753</w:t>
      </w:r>
      <w:r>
        <w:t xml:space="preserve">, obvezuje se temeljem Zakona o financijskom poslovanju i predstečajnoj nagodbi  i prihvaćenom Planu financijskog restrukturiranja za koji su na ročištu održanom dana  26..08.2016. godine glasali vjerovnici čije utvrđene tražbine prelaze 2/3 svih utvrđenih  tražbina, te temeljem pravomoćnog i izvršnog rješenja Financijske agencije, regionalni centar Zagreb, Nagodbeno vijeće ZG03 </w:t>
      </w:r>
      <w:r w:rsidRPr="0017719E">
        <w:t>Klasa: UP - I/110/07/15-01/8444 Ur. br.: 04-06-16-8444-89</w:t>
      </w:r>
      <w:r>
        <w:t xml:space="preserve"> OD 26.08.2016. godine vjerovnicima predstečajne nagodbe isplatiti iznos utvrđenih tražbina na način kako je utvrđeno u prihvaćenom  Planu financijskog restrukturiranja .</w:t>
      </w:r>
    </w:p>
    <w:p w:rsidRDefault="00133CAE" w:rsidP="00133CAE" w:rsidR="00133CAE"/>
    <w:p w:rsidRDefault="00133CAE" w:rsidP="00133CAE" w:rsidR="00133CAE">
      <w:r>
        <w:t>Stranke ove nagodbe uređuju svoje odnose na način predložen u prihvaćenom Planu financijskog restrukturiranja  dužnika i to pojedinačno za svakog vjerovnika kako bi se  jasno vidio pravni položaj svakog vjerovnika i njegove utvrđene  tražbine, način, rokovi i uvjeti namirenja tražbine kako bi  sklopljena predstečajna nagodba imala snagu  ovršne isprave.</w:t>
      </w:r>
    </w:p>
    <w:p w:rsidRDefault="007F26BC" w:rsidP="007F26BC" w:rsidR="007F26BC">
      <w:pPr>
        <w:widowControl w:val="false"/>
        <w:autoSpaceDE w:val="false"/>
        <w:autoSpaceDN w:val="false"/>
        <w:adjustRightInd w:val="false"/>
        <w:spacing w:after="80"/>
      </w:pPr>
    </w:p>
    <w:p w:rsidRDefault="007F26BC" w:rsidP="007F26BC" w:rsidR="007F26BC">
      <w:pPr>
        <w:widowControl w:val="false"/>
        <w:autoSpaceDE w:val="false"/>
        <w:autoSpaceDN w:val="false"/>
        <w:adjustRightInd w:val="false"/>
        <w:spacing w:after="80"/>
      </w:pPr>
      <w:r>
        <w:t>U znak prihvata prava i obveza koje za njih iz ove Nagodbe proistječu, stranke ove Nagodbe vlastoručno potpisuju zapisnik o ovoj Nagodbi.</w:t>
      </w:r>
    </w:p>
    <w:p w:rsidRDefault="007F26BC" w:rsidP="0079435C" w:rsidR="007F26BC">
      <w:pPr>
        <w:widowControl w:val="false"/>
        <w:autoSpaceDE w:val="false"/>
        <w:autoSpaceDN w:val="false"/>
        <w:adjustRightInd w:val="false"/>
        <w:spacing w:after="80"/>
        <w:jc w:val="center"/>
      </w:pPr>
    </w:p>
    <w:p w:rsidRDefault="007F26BC" w:rsidP="0079435C" w:rsidR="007F26BC">
      <w:pPr>
        <w:widowControl w:val="false"/>
        <w:autoSpaceDE w:val="false"/>
        <w:autoSpaceDN w:val="false"/>
        <w:adjustRightInd w:val="false"/>
        <w:spacing w:after="80"/>
        <w:jc w:val="center"/>
        <w:rPr>
          <w:rFonts w:cs="Tahoma"/>
        </w:rPr>
      </w:pPr>
    </w:p>
    <w:p w:rsidRDefault="00E0448E" w:rsidP="0079435C" w:rsidR="00E0448E">
      <w:pPr>
        <w:widowControl w:val="false"/>
        <w:autoSpaceDE w:val="false"/>
        <w:autoSpaceDN w:val="false"/>
        <w:adjustRightInd w:val="false"/>
        <w:spacing w:after="80"/>
        <w:jc w:val="center"/>
        <w:rPr>
          <w:rFonts w:cs="Tahoma"/>
        </w:rPr>
      </w:pPr>
      <w:r>
        <w:rPr>
          <w:rFonts w:cs="Tahoma"/>
        </w:rPr>
        <w:t xml:space="preserve">Dovršeno u </w:t>
      </w:r>
      <w:r w:rsidR="00651710">
        <w:rPr>
          <w:rFonts w:cs="Tahoma"/>
        </w:rPr>
        <w:t>10,07</w:t>
      </w:r>
      <w:r w:rsidR="00415AB7">
        <w:rPr>
          <w:rFonts w:cs="Tahoma"/>
        </w:rPr>
        <w:t xml:space="preserve"> sati</w:t>
      </w:r>
      <w:r>
        <w:rPr>
          <w:rFonts w:cs="Tahoma"/>
        </w:rPr>
        <w:t>.</w:t>
      </w:r>
    </w:p>
    <w:p w:rsidRDefault="00E0448E" w:rsidP="00E0448E" w:rsidR="00E0448E" w:rsidRPr="00E0448E">
      <w:pPr>
        <w:rPr>
          <w:rFonts w:cs="Tahoma"/>
        </w:rPr>
      </w:pPr>
    </w:p>
    <w:p w:rsidRDefault="00BA7ACB" w:rsidP="00E0448E" w:rsidR="00E0448E">
      <w:pPr>
        <w:rPr>
          <w:rFonts w:cs="Tahoma"/>
        </w:rPr>
      </w:pPr>
      <w:r>
        <w:rPr>
          <w:rFonts w:cs="Tahoma"/>
        </w:rPr>
        <w:t xml:space="preserve">                                                                </w:t>
      </w:r>
      <w:r w:rsidR="004434F8">
        <w:rPr>
          <w:rFonts w:cs="Tahoma"/>
        </w:rPr>
        <w:t xml:space="preserve">         </w:t>
      </w:r>
      <w:r w:rsidR="00E0448E">
        <w:rPr>
          <w:rFonts w:cs="Tahoma"/>
        </w:rPr>
        <w:t>Sudac:</w:t>
      </w:r>
    </w:p>
    <w:p w:rsidRDefault="004434F8" w:rsidP="004434F8" w:rsidR="004434F8">
      <w:pPr>
        <w:rPr>
          <w:rFonts w:cs="Tahoma"/>
        </w:rPr>
      </w:pPr>
      <w:r>
        <w:rPr>
          <w:rFonts w:cs="Tahoma"/>
        </w:rPr>
        <w:t xml:space="preserve">                                                             </w:t>
      </w:r>
      <w:r w:rsidRPr="004434F8">
        <w:rPr>
          <w:rFonts w:cs="Tahoma"/>
        </w:rPr>
        <w:t>Vesna Sremac Šoštar</w:t>
      </w:r>
    </w:p>
    <w:p w:rsidRDefault="004434F8" w:rsidP="004434F8" w:rsidR="004434F8">
      <w:pPr>
        <w:rPr>
          <w:rFonts w:cs="Tahoma"/>
        </w:rPr>
      </w:pPr>
    </w:p>
    <w:p w:rsidRDefault="004434F8" w:rsidP="004434F8" w:rsidR="004434F8">
      <w:pPr>
        <w:rPr>
          <w:rFonts w:cs="Tahoma"/>
        </w:rPr>
      </w:pPr>
    </w:p>
    <w:p w:rsidRDefault="004434F8" w:rsidP="004434F8" w:rsidR="004434F8" w:rsidRPr="004434F8">
      <w:pPr>
        <w:rPr>
          <w:rFonts w:cs="Tahoma"/>
        </w:rPr>
      </w:pPr>
      <w:r>
        <w:rPr>
          <w:rFonts w:cs="Tahoma"/>
        </w:rPr>
        <w:t xml:space="preserve">                                                                       </w:t>
      </w:r>
      <w:r w:rsidRPr="004434F8">
        <w:rPr>
          <w:rFonts w:cs="Tahoma"/>
        </w:rPr>
        <w:t>Zapisničar:</w:t>
      </w:r>
    </w:p>
    <w:p w:rsidRDefault="004434F8" w:rsidP="007F26BC" w:rsidR="007F26BC" w:rsidRPr="004434F8">
      <w:pPr>
        <w:rPr>
          <w:rFonts w:cs="Tahoma"/>
        </w:rPr>
      </w:pPr>
      <w:r w:rsidRPr="004434F8">
        <w:rPr>
          <w:rFonts w:cs="Tahoma"/>
        </w:rPr>
        <w:t xml:space="preserve">                                                               </w:t>
      </w:r>
      <w:r w:rsidR="007F26BC">
        <w:rPr>
          <w:rFonts w:cs="Tahoma"/>
        </w:rPr>
        <w:t xml:space="preserve">      Matea Bizjak</w:t>
      </w:r>
      <w:r w:rsidRPr="004434F8">
        <w:rPr>
          <w:rFonts w:cs="Tahoma"/>
        </w:rPr>
        <w:t xml:space="preserve">      </w:t>
      </w:r>
    </w:p>
    <w:p w:rsidRDefault="004434F8" w:rsidP="004434F8" w:rsidR="004434F8">
      <w:pPr>
        <w:rPr>
          <w:rFonts w:cs="Tahoma"/>
        </w:rPr>
      </w:pPr>
    </w:p>
    <w:p w:rsidRDefault="004434F8" w:rsidP="004434F8" w:rsidR="004434F8">
      <w:pPr>
        <w:rPr>
          <w:rFonts w:cs="Tahoma"/>
        </w:rPr>
      </w:pPr>
    </w:p>
    <w:p w:rsidRDefault="004434F8" w:rsidP="004434F8" w:rsidR="004434F8">
      <w:pPr>
        <w:rPr>
          <w:rFonts w:cs="Tahoma"/>
        </w:rPr>
      </w:pPr>
    </w:p>
    <w:p w:rsidRDefault="00711211" w:rsidP="004434F8" w:rsidR="00711211">
      <w:pPr>
        <w:rPr>
          <w:rFonts w:cs="Tahoma"/>
        </w:rPr>
      </w:pPr>
    </w:p>
    <w:p w:rsidRDefault="004434F8" w:rsidP="004434F8" w:rsidR="007F26BC">
      <w:pPr>
        <w:rPr>
          <w:rFonts w:cs="Tahoma"/>
        </w:rPr>
      </w:pPr>
      <w:r w:rsidRPr="004434F8">
        <w:rPr>
          <w:rFonts w:cs="Tahoma"/>
        </w:rPr>
        <w:t>VJEROVNICI</w:t>
      </w:r>
      <w:r>
        <w:rPr>
          <w:rFonts w:cs="Tahoma"/>
        </w:rPr>
        <w:t xml:space="preserve">:  </w:t>
      </w:r>
    </w:p>
    <w:p w:rsidRDefault="003E15FE" w:rsidP="004434F8" w:rsidR="003E15FE">
      <w:pPr>
        <w:rPr>
          <w:rFonts w:cs="Tahoma"/>
        </w:rPr>
      </w:pPr>
    </w:p>
    <w:p w:rsidRDefault="003E15FE" w:rsidP="003E15FE" w:rsidR="003E15FE" w:rsidRPr="003E15FE">
      <w:pPr>
        <w:pStyle w:val="Odlomakpopisa"/>
        <w:numPr>
          <w:ilvl w:val="0"/>
          <w:numId w:val="19"/>
        </w:numPr>
        <w:jc w:val="both"/>
        <w:rPr>
          <w:rFonts w:hAnsi="Times New Roman" w:ascii="Times New Roman"/>
          <w:sz w:val="24"/>
          <w:szCs w:val="24"/>
        </w:rPr>
      </w:pPr>
      <w:r w:rsidRPr="00133CAE">
        <w:rPr>
          <w:rFonts w:hAnsi="Times New Roman" w:ascii="Times New Roman"/>
          <w:sz w:val="24"/>
          <w:szCs w:val="24"/>
        </w:rPr>
        <w:t xml:space="preserve">SBERBANK </w:t>
      </w:r>
      <w:r>
        <w:rPr>
          <w:rFonts w:hAnsi="Times New Roman" w:ascii="Times New Roman"/>
          <w:sz w:val="24"/>
          <w:szCs w:val="24"/>
        </w:rPr>
        <w:t>d.d. iz Zagreba, Varšavska 9, OIB: 78427478595, zastupano po Martina Plejić, Su</w:t>
      </w:r>
      <w:r w:rsidRPr="003E15FE">
        <w:rPr>
          <w:rFonts w:hAnsi="Times New Roman" w:ascii="Times New Roman"/>
          <w:sz w:val="24"/>
          <w:szCs w:val="24"/>
        </w:rPr>
        <w:t>-1106/16</w:t>
      </w:r>
    </w:p>
    <w:p w:rsidRDefault="003E15FE" w:rsidP="003E15FE" w:rsidR="003E15FE" w:rsidRPr="003E15FE">
      <w:pPr>
        <w:pStyle w:val="Odlomakpopisa"/>
        <w:numPr>
          <w:ilvl w:val="0"/>
          <w:numId w:val="19"/>
        </w:numPr>
        <w:jc w:val="both"/>
        <w:rPr>
          <w:rFonts w:hAnsi="Times New Roman" w:ascii="Times New Roman"/>
          <w:sz w:val="24"/>
          <w:szCs w:val="24"/>
        </w:rPr>
      </w:pPr>
      <w:r w:rsidRPr="003E15FE">
        <w:rPr>
          <w:rFonts w:hAnsi="Times New Roman" w:ascii="Times New Roman"/>
          <w:sz w:val="24"/>
          <w:szCs w:val="24"/>
        </w:rPr>
        <w:t>ADRIA GRUPA d.o.o.,  Zagreb, Heinzelova 53/a, OIB: 06637660960, zastupano po Ana Dunda, odvj. vježbenica u Odvjetničkom društvu Buterin i Posavec</w:t>
      </w:r>
    </w:p>
    <w:p w:rsidRDefault="004F3783" w:rsidP="004434F8" w:rsidR="004F3783">
      <w:pPr>
        <w:rPr>
          <w:rFonts w:cs="Tahoma"/>
        </w:rPr>
      </w:pPr>
    </w:p>
    <w:p w:rsidRDefault="004434F8" w:rsidP="004434F8" w:rsidR="00BA7ACB">
      <w:pPr>
        <w:rPr>
          <w:rFonts w:cs="Tahoma"/>
        </w:rPr>
      </w:pPr>
      <w:r w:rsidRPr="004434F8">
        <w:rPr>
          <w:rFonts w:cs="Tahoma"/>
        </w:rPr>
        <w:t>DUŽNIK</w:t>
      </w:r>
      <w:r>
        <w:rPr>
          <w:rFonts w:cs="Tahoma"/>
        </w:rPr>
        <w:t>:</w:t>
      </w:r>
      <w:r w:rsidR="00BA7ACB">
        <w:rPr>
          <w:rFonts w:cs="Tahoma"/>
        </w:rPr>
        <w:t xml:space="preserve"> </w:t>
      </w:r>
    </w:p>
    <w:p w:rsidRDefault="00BA7ACB" w:rsidP="004434F8" w:rsidR="00BA7ACB">
      <w:pPr>
        <w:rPr>
          <w:rFonts w:cs="Tahoma"/>
        </w:rPr>
      </w:pPr>
      <w:r>
        <w:rPr>
          <w:rFonts w:cs="Tahoma"/>
        </w:rPr>
        <w:t xml:space="preserve">                                                                                                                                </w:t>
      </w:r>
      <w:r w:rsidR="004434F8">
        <w:rPr>
          <w:rFonts w:cs="Tahoma"/>
        </w:rPr>
        <w:t xml:space="preserve">        </w:t>
      </w:r>
    </w:p>
    <w:p w:rsidRDefault="00BA7ACB" w:rsidP="006622FB" w:rsidR="00BA7ACB">
      <w:pPr>
        <w:jc w:val="right"/>
        <w:rPr>
          <w:rFonts w:cs="Tahoma"/>
        </w:rPr>
      </w:pPr>
    </w:p>
    <w:p w:rsidRDefault="00BA7ACB" w:rsidP="006622FB" w:rsidR="00BA7ACB">
      <w:pPr>
        <w:jc w:val="right"/>
        <w:rPr>
          <w:rFonts w:cs="Tahoma"/>
        </w:rPr>
      </w:pPr>
    </w:p>
    <w:p w:rsidRDefault="00BA7ACB" w:rsidP="006622FB" w:rsidR="00BA7ACB">
      <w:pPr>
        <w:jc w:val="right"/>
        <w:rPr>
          <w:rFonts w:cs="Tahoma"/>
        </w:rPr>
      </w:pPr>
    </w:p>
    <w:p w:rsidRDefault="00BA7ACB" w:rsidP="006622FB" w:rsidR="00BA7ACB">
      <w:pPr>
        <w:jc w:val="right"/>
        <w:rPr>
          <w:rFonts w:cs="Tahoma"/>
        </w:rPr>
      </w:pPr>
    </w:p>
    <w:p w:rsidRDefault="00C1314F" w:rsidP="004434F8" w:rsidR="00C1314F">
      <w:pPr>
        <w:jc w:val="center"/>
        <w:rPr>
          <w:rFonts w:cs="Tahoma"/>
        </w:rPr>
      </w:pPr>
    </w:p>
    <w:sectPr w:rsidSect="005155D7" w:rsidR="00C1314F">
      <w:headerReference w:type="even" r:id="rId11"/>
      <w:headerReference w:type="default" r:id="rId12"/>
      <w:pgSz w:h="15840" w:w="12240"/>
      <w:pgMar w:gutter="0" w:footer="708" w:header="708" w:left="1440" w:bottom="899" w:right="126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7368" w:rsidR="004B7368">
      <w:r>
        <w:separator/>
      </w:r>
    </w:p>
  </w:endnote>
  <w:endnote w:id="0" w:type="continuationSeparator">
    <w:p w:rsidRDefault="004B7368" w:rsidR="004B736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ronos Pro">
    <w:panose1 w:val="00000000000000000000"/>
    <w:charset w:val="00"/>
    <w:family w:val="swiss"/>
    <w:notTrueType/>
    <w:pitch w:val="variable"/>
    <w:sig w:csb1="00000000" w:csb0="00000001" w:usb3="00000000" w:usb2="00000000" w:usb1="00000000" w:usb0="00000003"/>
  </w:font>
  <w:font w:name="Levenim MT">
    <w:panose1 w:val="02010502060101010101"/>
    <w:charset w:val="B1"/>
    <w:family w:val="auto"/>
    <w:pitch w:val="variable"/>
    <w:sig w:csb1="00000000" w:csb0="00000020" w:usb3="00000000" w:usb2="00000000" w:usb1="00000000" w:usb0="00000801"/>
  </w:font>
  <w:font w:name="Arial Unicode MS">
    <w:panose1 w:val="020B0604020202020204"/>
    <w:charset w:val="00"/>
    <w:family w:val="roman"/>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7368" w:rsidR="004B7368">
      <w:r>
        <w:separator/>
      </w:r>
    </w:p>
  </w:footnote>
  <w:footnote w:id="0" w:type="continuationSeparator">
    <w:p w:rsidRDefault="004B7368" w:rsidR="004B736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7368" w:rsidP="006D1CC5" w:rsidR="004B736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B7368" w:rsidP="006D1CC5" w:rsidR="004B736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7368" w:rsidP="006D1CC5" w:rsidR="004B736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93926">
      <w:rPr>
        <w:rStyle w:val="Brojstranice"/>
        <w:noProof/>
      </w:rPr>
      <w:t>10</w:t>
    </w:r>
    <w:r>
      <w:rPr>
        <w:rStyle w:val="Brojstranice"/>
      </w:rPr>
      <w:fldChar w:fldCharType="end"/>
    </w:r>
  </w:p>
  <w:p w:rsidRDefault="004B7368" w:rsidP="006D1CC5" w:rsidR="004B7368">
    <w:pPr>
      <w:pStyle w:val="Zaglavlje"/>
      <w:ind w:right="360"/>
      <w:jc w:val="right"/>
    </w:pPr>
    <w:r>
      <w:t xml:space="preserve">          </w:t>
    </w:r>
  </w:p>
  <w:p w:rsidRDefault="004B7368" w:rsidP="006D1CC5" w:rsidR="004B7368">
    <w:pPr>
      <w:pStyle w:val="Zaglavlje"/>
      <w:ind w:right="360"/>
      <w:jc w:val="right"/>
    </w:pPr>
    <w:r>
      <w:t xml:space="preserve">      </w:t>
    </w:r>
  </w:p>
  <w:p w:rsidRDefault="004B7368" w:rsidP="006D1CC5" w:rsidR="004B7368">
    <w:pPr>
      <w:pStyle w:val="Zaglavlje"/>
      <w:ind w:right="360"/>
      <w:jc w:val="right"/>
    </w:pPr>
    <w:r>
      <w:t xml:space="preserve">  </w:t>
    </w:r>
    <w:r w:rsidRPr="006925C1">
      <w:t xml:space="preserve">                                                     48. St-</w:t>
    </w:r>
    <w:r>
      <w:t>2048/2017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213DB3"/>
    <w:multiLevelType w:val="hybridMultilevel"/>
    <w:tmpl w:val="DEEA47F6"/>
    <w:lvl w:tplc="33522E0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9442295"/>
    <w:multiLevelType w:val="hybridMultilevel"/>
    <w:tmpl w:val="896436AC"/>
    <w:lvl w:tplc="1076D0F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0EC3071F"/>
    <w:multiLevelType w:val="hybridMultilevel"/>
    <w:tmpl w:val="BDA63D32"/>
    <w:lvl w:tplc="9D4031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33C0B63"/>
    <w:multiLevelType w:val="hybridMultilevel"/>
    <w:tmpl w:val="D752151C"/>
    <w:lvl w:tplc="7A60530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7321EFC"/>
    <w:multiLevelType w:val="hybridMultilevel"/>
    <w:tmpl w:val="FB7A3056"/>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222220AD"/>
    <w:multiLevelType w:val="hybridMultilevel"/>
    <w:tmpl w:val="18A48C86"/>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6">
    <w:nsid w:val="251E3506"/>
    <w:multiLevelType w:val="hybridMultilevel"/>
    <w:tmpl w:val="0DAE377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2A86556"/>
    <w:multiLevelType w:val="hybridMultilevel"/>
    <w:tmpl w:val="DDEC4892"/>
    <w:lvl w:tplc="A0B4B7B2" w:ilvl="0">
      <w:start w:val="4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2FC0A61"/>
    <w:multiLevelType w:val="hybridMultilevel"/>
    <w:tmpl w:val="C86AFFDA"/>
    <w:lvl w:tplc="6690421E"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4B177FB"/>
    <w:multiLevelType w:val="hybridMultilevel"/>
    <w:tmpl w:val="93524A2E"/>
    <w:lvl w:tplc="041A0001" w:ilvl="0">
      <w:start w:val="1"/>
      <w:numFmt w:val="bullet"/>
      <w:lvlText w:val=""/>
      <w:lvlJc w:val="left"/>
      <w:pPr>
        <w:ind w:hanging="360" w:left="1069"/>
      </w:pPr>
      <w:rPr>
        <w:rFonts w:hAnsi="Symbol" w:ascii="Symbol" w:hint="default"/>
      </w:rPr>
    </w:lvl>
    <w:lvl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0">
    <w:nsid w:val="46D10EAE"/>
    <w:multiLevelType w:val="hybridMultilevel"/>
    <w:tmpl w:val="DF30D144"/>
    <w:lvl w:tplc="67B6201A"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46F60A2D"/>
    <w:multiLevelType w:val="hybridMultilevel"/>
    <w:tmpl w:val="12DE2A8A"/>
    <w:lvl w:tplc="F0AA6DC8" w:ilvl="0">
      <w:start w:val="2"/>
      <w:numFmt w:val="bullet"/>
      <w:lvlText w:val="-"/>
      <w:lvlJc w:val="left"/>
      <w:pPr>
        <w:ind w:hanging="360" w:left="720"/>
      </w:pPr>
      <w:rPr>
        <w:rFonts w:cs="Times New Roman" w:eastAsia="Times New Roman" w:hAnsi="Arial Narrow" w:ascii="Arial Narrow"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57CD0F8A"/>
    <w:multiLevelType w:val="hybridMultilevel"/>
    <w:tmpl w:val="6C58CF0C"/>
    <w:lvl w:tplc="7102C12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0613FC8"/>
    <w:multiLevelType w:val="hybridMultilevel"/>
    <w:tmpl w:val="49A6D8DA"/>
    <w:lvl w:tplc="92D43890"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9117B2D"/>
    <w:multiLevelType w:val="hybridMultilevel"/>
    <w:tmpl w:val="5F361C5E"/>
    <w:lvl w:tplc="041A0017" w:ilvl="0">
      <w:start w:val="1"/>
      <w:numFmt w:val="lowerLetter"/>
      <w:lvlText w:val="%1)"/>
      <w:lvlJc w:val="left"/>
      <w:pPr>
        <w:tabs>
          <w:tab w:pos="720" w:val="num"/>
        </w:tabs>
        <w:ind w:hanging="360" w:left="720"/>
      </w:pPr>
      <w:rPr>
        <w:rFonts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6F2E7F52"/>
    <w:multiLevelType w:val="hybridMultilevel"/>
    <w:tmpl w:val="86C6D38C"/>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6">
    <w:nsid w:val="749D0E0F"/>
    <w:multiLevelType w:val="hybridMultilevel"/>
    <w:tmpl w:val="C4A8EFE6"/>
    <w:lvl w:tplc="F59E4D2A" w:ilvl="0">
      <w:start w:val="232"/>
      <w:numFmt w:val="bullet"/>
      <w:lvlText w:val="-"/>
      <w:lvlJc w:val="left"/>
      <w:pPr>
        <w:ind w:hanging="360" w:left="720"/>
      </w:pPr>
      <w:rPr>
        <w:rFonts w:eastAsia="Times New Roman" w:hAnsi="Calibri" w:ascii="Calibri"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7EE74891"/>
    <w:multiLevelType w:val="hybridMultilevel"/>
    <w:tmpl w:val="CA50D366"/>
    <w:lvl w:tplc="041A000F" w:ilvl="0">
      <w:start w:val="1"/>
      <w:numFmt w:val="decimal"/>
      <w:lvlText w:val="%1."/>
      <w:lvlJc w:val="left"/>
      <w:pPr>
        <w:tabs>
          <w:tab w:pos="720" w:val="num"/>
        </w:tabs>
        <w:ind w:hanging="360" w:left="720"/>
      </w:pPr>
      <w:rPr>
        <w:rFonts w:hint="default"/>
      </w:rPr>
    </w:lvl>
    <w:lvl w:tplc="A6A8E654"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7F98499B"/>
    <w:multiLevelType w:val="hybridMultilevel"/>
    <w:tmpl w:val="9B7A282E"/>
    <w:lvl w:tplc="0AA48450"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3"/>
  </w:num>
  <w:num w:numId="2">
    <w:abstractNumId w:val="10"/>
  </w:num>
  <w:num w:numId="3">
    <w:abstractNumId w:val="18"/>
  </w:num>
  <w:num w:numId="4">
    <w:abstractNumId w:val="1"/>
  </w:num>
  <w:num w:numId="5">
    <w:abstractNumId w:val="3"/>
  </w:num>
  <w:num w:numId="6">
    <w:abstractNumId w:val="2"/>
  </w:num>
  <w:num w:numId="7">
    <w:abstractNumId w:val="6"/>
  </w:num>
  <w:num w:numId="8">
    <w:abstractNumId w:val="5"/>
  </w:num>
  <w:num w:numId="9">
    <w:abstractNumId w:val="16"/>
  </w:num>
  <w:num w:numId="10">
    <w:abstractNumId w:val="7"/>
  </w:num>
  <w:num w:numId="11">
    <w:abstractNumId w:val="14"/>
  </w:num>
  <w:num w:numId="12">
    <w:abstractNumId w:val="11"/>
  </w:num>
  <w:num w:numId="13">
    <w:abstractNumId w:val="0"/>
  </w:num>
  <w:num w:numId="14">
    <w:abstractNumId w:val="8"/>
  </w:num>
  <w:num w:numId="15">
    <w:abstractNumId w:val="17"/>
  </w:num>
  <w:num w:numId="16">
    <w:abstractNumId w:val="4"/>
  </w:num>
  <w:num w:numId="17">
    <w:abstractNumId w:val="15"/>
  </w:num>
  <w:num w:numId="18">
    <w:abstractNumId w:val="9"/>
  </w:num>
  <w:num w:numId="19">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553E3"/>
    <w:rsid w:val="00014D80"/>
    <w:rsid w:val="000179C7"/>
    <w:rsid w:val="00021A97"/>
    <w:rsid w:val="000223F8"/>
    <w:rsid w:val="000226BC"/>
    <w:rsid w:val="00026E44"/>
    <w:rsid w:val="00036C64"/>
    <w:rsid w:val="00037FC9"/>
    <w:rsid w:val="00042443"/>
    <w:rsid w:val="00062710"/>
    <w:rsid w:val="00066E49"/>
    <w:rsid w:val="000811FC"/>
    <w:rsid w:val="00085328"/>
    <w:rsid w:val="00091288"/>
    <w:rsid w:val="000A2DB7"/>
    <w:rsid w:val="000C4975"/>
    <w:rsid w:val="000F5C00"/>
    <w:rsid w:val="00101B9E"/>
    <w:rsid w:val="00103954"/>
    <w:rsid w:val="00107865"/>
    <w:rsid w:val="001225CB"/>
    <w:rsid w:val="00126B49"/>
    <w:rsid w:val="0013272F"/>
    <w:rsid w:val="00133CAE"/>
    <w:rsid w:val="001529FC"/>
    <w:rsid w:val="00170D3E"/>
    <w:rsid w:val="001757F8"/>
    <w:rsid w:val="00180F72"/>
    <w:rsid w:val="001D440C"/>
    <w:rsid w:val="001D56F9"/>
    <w:rsid w:val="001E3294"/>
    <w:rsid w:val="001E4A85"/>
    <w:rsid w:val="00226D61"/>
    <w:rsid w:val="00237430"/>
    <w:rsid w:val="002510AE"/>
    <w:rsid w:val="00272A8B"/>
    <w:rsid w:val="00287050"/>
    <w:rsid w:val="002A6F27"/>
    <w:rsid w:val="002E06C1"/>
    <w:rsid w:val="002E1765"/>
    <w:rsid w:val="002E7B01"/>
    <w:rsid w:val="00304F52"/>
    <w:rsid w:val="00341ACD"/>
    <w:rsid w:val="00354B27"/>
    <w:rsid w:val="00360CB7"/>
    <w:rsid w:val="003A19D8"/>
    <w:rsid w:val="003B1587"/>
    <w:rsid w:val="003C5D40"/>
    <w:rsid w:val="003D0D2C"/>
    <w:rsid w:val="003E15FE"/>
    <w:rsid w:val="003F054E"/>
    <w:rsid w:val="003F4934"/>
    <w:rsid w:val="0040710E"/>
    <w:rsid w:val="0041301F"/>
    <w:rsid w:val="00415AB7"/>
    <w:rsid w:val="004175BA"/>
    <w:rsid w:val="00432AA4"/>
    <w:rsid w:val="00433614"/>
    <w:rsid w:val="00437BB0"/>
    <w:rsid w:val="004434F8"/>
    <w:rsid w:val="00453E0D"/>
    <w:rsid w:val="00454BAF"/>
    <w:rsid w:val="00470C81"/>
    <w:rsid w:val="00474346"/>
    <w:rsid w:val="004775DB"/>
    <w:rsid w:val="00485C05"/>
    <w:rsid w:val="0049792E"/>
    <w:rsid w:val="004B7368"/>
    <w:rsid w:val="004C744D"/>
    <w:rsid w:val="004D2973"/>
    <w:rsid w:val="004E77A7"/>
    <w:rsid w:val="004F24AB"/>
    <w:rsid w:val="004F3783"/>
    <w:rsid w:val="00503EBF"/>
    <w:rsid w:val="005155D7"/>
    <w:rsid w:val="00517FAA"/>
    <w:rsid w:val="00531983"/>
    <w:rsid w:val="0054440C"/>
    <w:rsid w:val="0055552E"/>
    <w:rsid w:val="00587523"/>
    <w:rsid w:val="005C0108"/>
    <w:rsid w:val="005C6E13"/>
    <w:rsid w:val="005D2EB3"/>
    <w:rsid w:val="005D3D30"/>
    <w:rsid w:val="00610957"/>
    <w:rsid w:val="00634DE0"/>
    <w:rsid w:val="00634E69"/>
    <w:rsid w:val="00646B68"/>
    <w:rsid w:val="00651710"/>
    <w:rsid w:val="00651F3C"/>
    <w:rsid w:val="00661968"/>
    <w:rsid w:val="006622FB"/>
    <w:rsid w:val="00676E6D"/>
    <w:rsid w:val="006925C1"/>
    <w:rsid w:val="006A4835"/>
    <w:rsid w:val="006A5245"/>
    <w:rsid w:val="006B4988"/>
    <w:rsid w:val="006D1CC5"/>
    <w:rsid w:val="006E63BC"/>
    <w:rsid w:val="006E6B7E"/>
    <w:rsid w:val="006F025B"/>
    <w:rsid w:val="00711211"/>
    <w:rsid w:val="00722406"/>
    <w:rsid w:val="00724F42"/>
    <w:rsid w:val="0073166A"/>
    <w:rsid w:val="007601CC"/>
    <w:rsid w:val="0077484E"/>
    <w:rsid w:val="00775357"/>
    <w:rsid w:val="00780244"/>
    <w:rsid w:val="00782129"/>
    <w:rsid w:val="00793926"/>
    <w:rsid w:val="0079435C"/>
    <w:rsid w:val="007B5853"/>
    <w:rsid w:val="007B7505"/>
    <w:rsid w:val="007C77CF"/>
    <w:rsid w:val="007D5BD2"/>
    <w:rsid w:val="007E5623"/>
    <w:rsid w:val="007E5EBB"/>
    <w:rsid w:val="007F26BC"/>
    <w:rsid w:val="007F6ACD"/>
    <w:rsid w:val="008009C2"/>
    <w:rsid w:val="00800E4C"/>
    <w:rsid w:val="00806922"/>
    <w:rsid w:val="00817035"/>
    <w:rsid w:val="0082786A"/>
    <w:rsid w:val="0083512E"/>
    <w:rsid w:val="00840202"/>
    <w:rsid w:val="00872037"/>
    <w:rsid w:val="0088685A"/>
    <w:rsid w:val="008A3D95"/>
    <w:rsid w:val="008B32B0"/>
    <w:rsid w:val="008D0E63"/>
    <w:rsid w:val="008E31AC"/>
    <w:rsid w:val="00910DBC"/>
    <w:rsid w:val="0094133F"/>
    <w:rsid w:val="00956491"/>
    <w:rsid w:val="00960601"/>
    <w:rsid w:val="009630AA"/>
    <w:rsid w:val="009741FA"/>
    <w:rsid w:val="009A378D"/>
    <w:rsid w:val="009A3DB3"/>
    <w:rsid w:val="009B60BB"/>
    <w:rsid w:val="009C2003"/>
    <w:rsid w:val="009C3D6D"/>
    <w:rsid w:val="009D57E8"/>
    <w:rsid w:val="009E78DE"/>
    <w:rsid w:val="009F6059"/>
    <w:rsid w:val="00A41302"/>
    <w:rsid w:val="00A47382"/>
    <w:rsid w:val="00A511E0"/>
    <w:rsid w:val="00A576C1"/>
    <w:rsid w:val="00A81A06"/>
    <w:rsid w:val="00AB4FAE"/>
    <w:rsid w:val="00AC3E29"/>
    <w:rsid w:val="00AC611B"/>
    <w:rsid w:val="00AD7E5F"/>
    <w:rsid w:val="00AE6625"/>
    <w:rsid w:val="00AE763D"/>
    <w:rsid w:val="00B00C27"/>
    <w:rsid w:val="00B26C6A"/>
    <w:rsid w:val="00B404FA"/>
    <w:rsid w:val="00B627B5"/>
    <w:rsid w:val="00B65804"/>
    <w:rsid w:val="00B71902"/>
    <w:rsid w:val="00B9464F"/>
    <w:rsid w:val="00BA7ACB"/>
    <w:rsid w:val="00BB0EB1"/>
    <w:rsid w:val="00BB6888"/>
    <w:rsid w:val="00BC36F6"/>
    <w:rsid w:val="00BD1056"/>
    <w:rsid w:val="00C11A24"/>
    <w:rsid w:val="00C1314F"/>
    <w:rsid w:val="00C3023C"/>
    <w:rsid w:val="00C32EBF"/>
    <w:rsid w:val="00C72870"/>
    <w:rsid w:val="00C87A66"/>
    <w:rsid w:val="00C90B39"/>
    <w:rsid w:val="00CA399C"/>
    <w:rsid w:val="00CD5ED2"/>
    <w:rsid w:val="00CD601C"/>
    <w:rsid w:val="00CF3DBC"/>
    <w:rsid w:val="00D13D2F"/>
    <w:rsid w:val="00D234DB"/>
    <w:rsid w:val="00D2697B"/>
    <w:rsid w:val="00D45980"/>
    <w:rsid w:val="00D54740"/>
    <w:rsid w:val="00D65A4C"/>
    <w:rsid w:val="00D75B74"/>
    <w:rsid w:val="00D846BA"/>
    <w:rsid w:val="00DA237A"/>
    <w:rsid w:val="00DA4C11"/>
    <w:rsid w:val="00DB5315"/>
    <w:rsid w:val="00DC0D74"/>
    <w:rsid w:val="00DE7F89"/>
    <w:rsid w:val="00E0448E"/>
    <w:rsid w:val="00E16A6A"/>
    <w:rsid w:val="00E24F94"/>
    <w:rsid w:val="00E320F7"/>
    <w:rsid w:val="00E33521"/>
    <w:rsid w:val="00E33802"/>
    <w:rsid w:val="00E34374"/>
    <w:rsid w:val="00E553E3"/>
    <w:rsid w:val="00E57B63"/>
    <w:rsid w:val="00EA7B0A"/>
    <w:rsid w:val="00EB4F83"/>
    <w:rsid w:val="00ED7889"/>
    <w:rsid w:val="00F00894"/>
    <w:rsid w:val="00F06035"/>
    <w:rsid w:val="00F136DD"/>
    <w:rsid w:val="00F256DA"/>
    <w:rsid w:val="00F34947"/>
    <w:rsid w:val="00F41D38"/>
    <w:rsid w:val="00F50BD7"/>
    <w:rsid w:val="00F760E1"/>
    <w:rsid w:val="00F81496"/>
    <w:rsid w:val="00F9061A"/>
    <w:rsid w:val="00FA1371"/>
    <w:rsid w:val="00FC4924"/>
    <w:rsid w:val="00FD652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iPriority="99" w:name="No List"/>
    <w:lsdException w:uiPriority="99" w:name="Balloon Text"/>
    <w:lsdException w:unhideWhenUsed="false" w:semiHidden="false" w:uiPriority="99"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rsid w:val="00E553E3"/>
    <w:rPr>
      <w:color w:val="0000FF"/>
      <w:u w:val="single"/>
    </w:rPr>
  </w:style>
  <w:style w:styleId="Reetkatablice" w:type="table">
    <w:name w:val="Table Grid"/>
    <w:basedOn w:val="Obinatablica"/>
    <w:uiPriority w:val="99"/>
    <w:rsid w:val="00E33521"/>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rsid w:val="005D2EB3"/>
    <w:rPr>
      <w:rFonts w:cs="Tahoma" w:hAnsi="Tahoma" w:ascii="Tahoma"/>
      <w:sz w:val="16"/>
      <w:szCs w:val="16"/>
    </w:rPr>
  </w:style>
  <w:style w:customStyle="true" w:styleId="TekstbaloniaChar" w:type="character">
    <w:name w:val="Tekst balončića Char"/>
    <w:link w:val="Tekstbalonia"/>
    <w:uiPriority w:val="99"/>
    <w:rsid w:val="005D2EB3"/>
    <w:rPr>
      <w:rFonts w:cs="Tahoma" w:hAnsi="Tahoma" w:ascii="Tahoma"/>
      <w:sz w:val="16"/>
      <w:szCs w:val="16"/>
      <w:lang w:eastAsia="en-US"/>
    </w:rPr>
  </w:style>
  <w:style w:styleId="Zaglavlje" w:type="paragraph">
    <w:name w:val="header"/>
    <w:basedOn w:val="Normal"/>
    <w:link w:val="ZaglavljeChar"/>
    <w:uiPriority w:val="99"/>
    <w:rsid w:val="006D1CC5"/>
    <w:pPr>
      <w:tabs>
        <w:tab w:pos="4536" w:val="center"/>
        <w:tab w:pos="9072" w:val="right"/>
      </w:tabs>
    </w:pPr>
  </w:style>
  <w:style w:styleId="Brojstranice" w:type="character">
    <w:name w:val="page number"/>
    <w:basedOn w:val="Zadanifontodlomka"/>
    <w:rsid w:val="006D1CC5"/>
  </w:style>
  <w:style w:styleId="Podnoje" w:type="paragraph">
    <w:name w:val="footer"/>
    <w:basedOn w:val="Normal"/>
    <w:link w:val="PodnojeChar"/>
    <w:uiPriority w:val="99"/>
    <w:rsid w:val="006D1CC5"/>
    <w:pPr>
      <w:tabs>
        <w:tab w:pos="4536" w:val="center"/>
        <w:tab w:pos="9072" w:val="right"/>
      </w:tabs>
    </w:pPr>
  </w:style>
  <w:style w:customStyle="true" w:styleId="Chronos" w:type="paragraph">
    <w:name w:val="Chronos"/>
    <w:uiPriority w:val="99"/>
    <w:rsid w:val="006A5245"/>
    <w:pPr>
      <w:spacing w:lineRule="auto" w:line="288"/>
      <w:jc w:val="both"/>
    </w:pPr>
    <w:rPr>
      <w:rFonts w:cs="Levenim MT" w:eastAsia="Calibri" w:hAnsi="Cronos Pro" w:ascii="Cronos Pro"/>
      <w:sz w:val="22"/>
      <w:szCs w:val="24"/>
      <w:lang w:eastAsia="en-US"/>
    </w:rPr>
  </w:style>
  <w:style w:customStyle="true" w:styleId="GridTable41" w:type="table">
    <w:name w:val="Grid Table 41"/>
    <w:uiPriority w:val="99"/>
    <w:rsid w:val="006A5245"/>
    <w:rPr>
      <w:rFonts w:eastAsia="Calibri" w:hAnsi="Calibri" w:ascii="Calibri"/>
    </w:rPr>
    <w:tblPr>
      <w:tblStyleRowBandSize w:val="1"/>
      <w:tblStyleColBandSize w:val="1"/>
      <w:tblInd w:type="dxa" w:w="0"/>
      <w:tblBorders>
        <w:top w:space="0" w:sz="4" w:color="666666" w:val="single"/>
        <w:left w:space="0" w:sz="4" w:color="666666" w:val="single"/>
        <w:bottom w:space="0" w:sz="4" w:color="666666" w:val="single"/>
        <w:right w:space="0" w:sz="4" w:color="666666" w:val="single"/>
        <w:insideH w:space="0" w:sz="4" w:color="666666" w:val="single"/>
        <w:insideV w:space="0" w:sz="4" w:color="666666" w:val="single"/>
      </w:tblBorders>
      <w:tblCellMar>
        <w:top w:type="dxa" w:w="0"/>
        <w:left w:type="dxa" w:w="108"/>
        <w:bottom w:type="dxa" w:w="0"/>
        <w:right w:type="dxa" w:w="108"/>
      </w:tblCellMar>
    </w:tblPr>
  </w:style>
  <w:style w:styleId="Odlomakpopisa" w:type="paragraph">
    <w:name w:val="List Paragraph"/>
    <w:basedOn w:val="Normal"/>
    <w:link w:val="OdlomakpopisaChar"/>
    <w:uiPriority w:val="34"/>
    <w:qFormat/>
    <w:rsid w:val="006A5245"/>
    <w:pPr>
      <w:spacing w:lineRule="auto" w:line="259" w:after="160"/>
      <w:ind w:left="720"/>
      <w:contextualSpacing/>
    </w:pPr>
    <w:rPr>
      <w:rFonts w:eastAsia="Calibri" w:hAnsi="Calibri" w:ascii="Calibri"/>
      <w:sz w:val="22"/>
      <w:szCs w:val="22"/>
    </w:rPr>
  </w:style>
  <w:style w:customStyle="true" w:styleId="ZaglavljeChar" w:type="character">
    <w:name w:val="Zaglavlje Char"/>
    <w:link w:val="Zaglavlje"/>
    <w:uiPriority w:val="99"/>
    <w:locked/>
    <w:rsid w:val="006A5245"/>
    <w:rPr>
      <w:sz w:val="24"/>
      <w:szCs w:val="24"/>
      <w:lang w:eastAsia="en-US"/>
    </w:rPr>
  </w:style>
  <w:style w:customStyle="true" w:styleId="PodnojeChar" w:type="character">
    <w:name w:val="Podnožje Char"/>
    <w:link w:val="Podnoje"/>
    <w:uiPriority w:val="99"/>
    <w:locked/>
    <w:rsid w:val="006A5245"/>
    <w:rPr>
      <w:sz w:val="24"/>
      <w:szCs w:val="24"/>
      <w:lang w:eastAsia="en-US"/>
    </w:rPr>
  </w:style>
  <w:style w:styleId="Bezproreda" w:type="paragraph">
    <w:name w:val="No Spacing"/>
    <w:uiPriority w:val="1"/>
    <w:qFormat/>
    <w:rsid w:val="00817035"/>
    <w:rPr>
      <w:rFonts w:eastAsia="Calibri" w:hAnsi="Calibri" w:ascii="Calibri"/>
      <w:sz w:val="22"/>
      <w:szCs w:val="22"/>
      <w:lang w:eastAsia="en-US"/>
    </w:rPr>
  </w:style>
  <w:style w:styleId="Tekstrezerviranogmjesta" w:type="character">
    <w:name w:val="Placeholder Text"/>
    <w:basedOn w:val="Zadanifontodlomka"/>
    <w:uiPriority w:val="99"/>
    <w:semiHidden/>
    <w:rsid w:val="0088685A"/>
    <w:rPr>
      <w:color w:val="808080"/>
      <w:bdr w:space="0" w:sz="0" w:color="auto" w:val="none"/>
      <w:shd w:fill="auto" w:color="auto" w:val="clear"/>
    </w:rPr>
  </w:style>
  <w:style w:customStyle="true" w:styleId="eSPISCCParagraphDefaultFont" w:type="character">
    <w:name w:val="eSPIS_CC_Paragraph Default Font"/>
    <w:basedOn w:val="Zadanifontodlomka"/>
    <w:rsid w:val="0088685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8685A"/>
    <w:rPr>
      <w:bdr w:space="0" w:sz="0" w:color="auto" w:val="none"/>
      <w:shd w:fill="FFFFCC" w:color="auto" w:val="clear"/>
      <w:lang w:val="hr-HR"/>
    </w:rPr>
  </w:style>
  <w:style w:customStyle="true" w:styleId="PozadinaSvijetloCrvena" w:type="character">
    <w:name w:val="Pozadina_SvijetloCrvena"/>
    <w:basedOn w:val="eSPISCCParagraphDefaultFont"/>
    <w:rsid w:val="0088685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8685A"/>
    <w:rPr>
      <w:rFonts w:cs="Times New Roman" w:hAnsi="Times New Roman" w:ascii="Times New Roman"/>
      <w:sz w:val="24"/>
      <w:bdr w:space="0" w:sz="0" w:color="auto" w:val="none"/>
      <w:shd w:fill="CCFFCC" w:color="auto" w:val="clear"/>
      <w:lang w:val="hr-HR"/>
    </w:rPr>
  </w:style>
  <w:style w:customStyle="true" w:styleId="OdlomakpopisaChar" w:type="character">
    <w:name w:val="Odlomak popisa Char"/>
    <w:link w:val="Odlomakpopisa"/>
    <w:uiPriority w:val="34"/>
    <w:locked/>
    <w:rsid w:val="006925C1"/>
    <w:rPr>
      <w:rFonts w:eastAsia="Calibri" w:hAnsi="Calibri" w:ascii="Calibri"/>
      <w:sz w:val="22"/>
      <w:szCs w:val="22"/>
      <w:lang w:eastAsia="en-US"/>
    </w:rPr>
  </w:style>
  <w:style w:customStyle="true" w:styleId="Standard" w:type="paragraph">
    <w:name w:val="Standard"/>
    <w:rsid w:val="00133CAE"/>
    <w:pPr>
      <w:widowControl w:val="false"/>
      <w:suppressAutoHyphens/>
      <w:autoSpaceDN w:val="false"/>
      <w:textAlignment w:val="baseline"/>
    </w:pPr>
    <w:rPr>
      <w:rFonts w:cs="Tahoma" w:eastAsia="Arial Unicode MS"/>
      <w:kern w:val="3"/>
      <w:sz w:val="24"/>
      <w:szCs w:val="24"/>
      <w:lang w:val="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No List" w:uiPriority="99"/>
    <w:lsdException w:name="Balloon Text" w:uiPriority="99"/>
    <w:lsdException w:name="Table Grid" w:semiHidden="0" w:uiPriority="9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rsid w:val="00E553E3"/>
    <w:rPr>
      <w:color w:val="0000FF"/>
      <w:u w:val="single"/>
    </w:rPr>
  </w:style>
  <w:style w:styleId="Reetkatablice" w:type="table">
    <w:name w:val="Table Grid"/>
    <w:basedOn w:val="Obinatablica"/>
    <w:uiPriority w:val="99"/>
    <w:rsid w:val="00E3352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rsid w:val="005D2EB3"/>
    <w:rPr>
      <w:rFonts w:ascii="Tahoma" w:cs="Tahoma" w:hAnsi="Tahoma"/>
      <w:sz w:val="16"/>
      <w:szCs w:val="16"/>
    </w:rPr>
  </w:style>
  <w:style w:customStyle="1" w:styleId="TekstbaloniaChar" w:type="character">
    <w:name w:val="Tekst balončića Char"/>
    <w:link w:val="Tekstbalonia"/>
    <w:uiPriority w:val="99"/>
    <w:rsid w:val="005D2EB3"/>
    <w:rPr>
      <w:rFonts w:ascii="Tahoma" w:cs="Tahoma" w:hAnsi="Tahoma"/>
      <w:sz w:val="16"/>
      <w:szCs w:val="16"/>
      <w:lang w:eastAsia="en-US"/>
    </w:rPr>
  </w:style>
  <w:style w:styleId="Zaglavlje" w:type="paragraph">
    <w:name w:val="header"/>
    <w:basedOn w:val="Normal"/>
    <w:link w:val="ZaglavljeChar"/>
    <w:uiPriority w:val="99"/>
    <w:rsid w:val="006D1CC5"/>
    <w:pPr>
      <w:tabs>
        <w:tab w:pos="4536" w:val="center"/>
        <w:tab w:pos="9072" w:val="right"/>
      </w:tabs>
    </w:pPr>
  </w:style>
  <w:style w:styleId="Brojstranice" w:type="character">
    <w:name w:val="page number"/>
    <w:basedOn w:val="Zadanifontodlomka"/>
    <w:rsid w:val="006D1CC5"/>
  </w:style>
  <w:style w:styleId="Podnoje" w:type="paragraph">
    <w:name w:val="footer"/>
    <w:basedOn w:val="Normal"/>
    <w:link w:val="PodnojeChar"/>
    <w:uiPriority w:val="99"/>
    <w:rsid w:val="006D1CC5"/>
    <w:pPr>
      <w:tabs>
        <w:tab w:pos="4536" w:val="center"/>
        <w:tab w:pos="9072" w:val="right"/>
      </w:tabs>
    </w:pPr>
  </w:style>
  <w:style w:customStyle="1" w:styleId="Chronos" w:type="paragraph">
    <w:name w:val="Chronos"/>
    <w:uiPriority w:val="99"/>
    <w:rsid w:val="006A5245"/>
    <w:pPr>
      <w:spacing w:line="288" w:lineRule="auto"/>
      <w:jc w:val="both"/>
    </w:pPr>
    <w:rPr>
      <w:rFonts w:ascii="Cronos Pro" w:cs="Levenim MT" w:eastAsia="Calibri" w:hAnsi="Cronos Pro"/>
      <w:sz w:val="22"/>
      <w:szCs w:val="24"/>
      <w:lang w:eastAsia="en-US"/>
    </w:rPr>
  </w:style>
  <w:style w:customStyle="1" w:styleId="GridTable41" w:type="table">
    <w:name w:val="Grid Table 41"/>
    <w:uiPriority w:val="99"/>
    <w:rsid w:val="006A5245"/>
    <w:rPr>
      <w:rFonts w:ascii="Calibri" w:eastAsia="Calibri" w:hAnsi="Calibri"/>
    </w:rPr>
    <w:tblPr>
      <w:tblStyleRowBandSize w:val="1"/>
      <w:tblStyleColBandSize w:val="1"/>
      <w:tblInd w:type="dxa" w:w="0"/>
      <w:tblBorders>
        <w:top w:color="666666" w:space="0" w:sz="4" w:val="single"/>
        <w:left w:color="666666" w:space="0" w:sz="4" w:val="single"/>
        <w:bottom w:color="666666" w:space="0" w:sz="4" w:val="single"/>
        <w:right w:color="666666" w:space="0" w:sz="4" w:val="single"/>
        <w:insideH w:color="666666" w:space="0" w:sz="4" w:val="single"/>
        <w:insideV w:color="666666" w:space="0" w:sz="4" w:val="single"/>
      </w:tblBorders>
      <w:tblCellMar>
        <w:top w:type="dxa" w:w="0"/>
        <w:left w:type="dxa" w:w="108"/>
        <w:bottom w:type="dxa" w:w="0"/>
        <w:right w:type="dxa" w:w="108"/>
      </w:tblCellMar>
    </w:tblPr>
  </w:style>
  <w:style w:styleId="Odlomakpopisa" w:type="paragraph">
    <w:name w:val="List Paragraph"/>
    <w:basedOn w:val="Normal"/>
    <w:link w:val="OdlomakpopisaChar"/>
    <w:uiPriority w:val="34"/>
    <w:qFormat/>
    <w:rsid w:val="006A5245"/>
    <w:pPr>
      <w:spacing w:after="160" w:line="259" w:lineRule="auto"/>
      <w:ind w:left="720"/>
      <w:contextualSpacing/>
    </w:pPr>
    <w:rPr>
      <w:rFonts w:ascii="Calibri" w:eastAsia="Calibri" w:hAnsi="Calibri"/>
      <w:sz w:val="22"/>
      <w:szCs w:val="22"/>
    </w:rPr>
  </w:style>
  <w:style w:customStyle="1" w:styleId="ZaglavljeChar" w:type="character">
    <w:name w:val="Zaglavlje Char"/>
    <w:link w:val="Zaglavlje"/>
    <w:uiPriority w:val="99"/>
    <w:locked/>
    <w:rsid w:val="006A5245"/>
    <w:rPr>
      <w:sz w:val="24"/>
      <w:szCs w:val="24"/>
      <w:lang w:eastAsia="en-US"/>
    </w:rPr>
  </w:style>
  <w:style w:customStyle="1" w:styleId="PodnojeChar" w:type="character">
    <w:name w:val="Podnožje Char"/>
    <w:link w:val="Podnoje"/>
    <w:uiPriority w:val="99"/>
    <w:locked/>
    <w:rsid w:val="006A5245"/>
    <w:rPr>
      <w:sz w:val="24"/>
      <w:szCs w:val="24"/>
      <w:lang w:eastAsia="en-US"/>
    </w:rPr>
  </w:style>
  <w:style w:styleId="Bezproreda" w:type="paragraph">
    <w:name w:val="No Spacing"/>
    <w:uiPriority w:val="1"/>
    <w:qFormat/>
    <w:rsid w:val="00817035"/>
    <w:rPr>
      <w:rFonts w:ascii="Calibri" w:eastAsia="Calibri" w:hAnsi="Calibri"/>
      <w:sz w:val="22"/>
      <w:szCs w:val="22"/>
      <w:lang w:eastAsia="en-US"/>
    </w:rPr>
  </w:style>
  <w:style w:styleId="Tekstrezerviranogmjesta" w:type="character">
    <w:name w:val="Placeholder Text"/>
    <w:basedOn w:val="Zadanifontodlomka"/>
    <w:uiPriority w:val="99"/>
    <w:semiHidden/>
    <w:rsid w:val="0088685A"/>
    <w:rPr>
      <w:color w:val="808080"/>
      <w:bdr w:color="auto" w:space="0" w:sz="0" w:val="none"/>
      <w:shd w:color="auto" w:fill="auto" w:val="clear"/>
    </w:rPr>
  </w:style>
  <w:style w:customStyle="1" w:styleId="eSPISCCParagraphDefaultFont" w:type="character">
    <w:name w:val="eSPIS_CC_Paragraph Default Font"/>
    <w:basedOn w:val="Zadanifontodlomka"/>
    <w:rsid w:val="0088685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8685A"/>
    <w:rPr>
      <w:bdr w:color="auto" w:space="0" w:sz="0" w:val="none"/>
      <w:shd w:color="auto" w:fill="FFFFCC" w:val="clear"/>
      <w:lang w:val="hr-HR"/>
    </w:rPr>
  </w:style>
  <w:style w:customStyle="1" w:styleId="PozadinaSvijetloCrvena" w:type="character">
    <w:name w:val="Pozadina_SvijetloCrvena"/>
    <w:basedOn w:val="eSPISCCParagraphDefaultFont"/>
    <w:rsid w:val="0088685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8685A"/>
    <w:rPr>
      <w:rFonts w:ascii="Times New Roman" w:cs="Times New Roman" w:hAnsi="Times New Roman"/>
      <w:sz w:val="24"/>
      <w:bdr w:color="auto" w:space="0" w:sz="0" w:val="none"/>
      <w:shd w:color="auto" w:fill="CCFFCC" w:val="clear"/>
      <w:lang w:val="hr-HR"/>
    </w:rPr>
  </w:style>
  <w:style w:customStyle="1" w:styleId="OdlomakpopisaChar" w:type="character">
    <w:name w:val="Odlomak popisa Char"/>
    <w:link w:val="Odlomakpopisa"/>
    <w:uiPriority w:val="34"/>
    <w:locked/>
    <w:rsid w:val="006925C1"/>
    <w:rPr>
      <w:rFonts w:ascii="Calibri" w:eastAsia="Calibri" w:hAnsi="Calibri"/>
      <w:sz w:val="22"/>
      <w:szCs w:val="22"/>
      <w:lang w:eastAsia="en-US"/>
    </w:rPr>
  </w:style>
  <w:style w:customStyle="1" w:styleId="Standard" w:type="paragraph">
    <w:name w:val="Standard"/>
    <w:rsid w:val="00133CAE"/>
    <w:pPr>
      <w:widowControl w:val="0"/>
      <w:suppressAutoHyphens/>
      <w:autoSpaceDN w:val="0"/>
      <w:textAlignment w:val="baseline"/>
    </w:pPr>
    <w:rPr>
      <w:rFonts w:cs="Tahoma" w:eastAsia="Arial Unicode MS"/>
      <w:kern w:val="3"/>
      <w:sz w:val="24"/>
      <w:szCs w:val="24"/>
      <w:lang w:val="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80318054">
      <w:bodyDiv w:val="true"/>
      <w:marLeft w:val="0"/>
      <w:marRight w:val="0"/>
      <w:marTop w:val="0"/>
      <w:marBottom w:val="0"/>
      <w:divBdr>
        <w:top w:space="0" w:sz="0" w:color="auto" w:val="none"/>
        <w:left w:space="0" w:sz="0" w:color="auto" w:val="none"/>
        <w:bottom w:space="0" w:sz="0" w:color="auto" w:val="none"/>
        <w:right w:space="0" w:sz="0" w:color="auto" w:val="none"/>
      </w:divBdr>
    </w:div>
    <w:div w:id="592978550">
      <w:bodyDiv w:val="true"/>
      <w:marLeft w:val="0"/>
      <w:marRight w:val="0"/>
      <w:marTop w:val="0"/>
      <w:marBottom w:val="0"/>
      <w:divBdr>
        <w:top w:space="0" w:sz="0" w:color="auto" w:val="none"/>
        <w:left w:space="0" w:sz="0" w:color="auto" w:val="none"/>
        <w:bottom w:space="0" w:sz="0" w:color="auto" w:val="none"/>
        <w:right w:space="0" w:sz="0" w:color="auto" w:val="none"/>
      </w:divBdr>
    </w:div>
    <w:div w:id="14378655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listopada 2017.</izvorni_sadrzaj>
    <derivirana_varijabla naziv="DomainObject.DatumDonosenjaOdluke_1">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2048</izvorni_sadrzaj>
    <derivirana_varijabla naziv="DomainObject.Predmet.Broj_1">2048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2017.</izvorni_sadrzaj>
    <derivirana_varijabla naziv="DomainObject.Predmet.DatumOsnivanja_1">18.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St-2048/2017</izvorni_sadrzaj>
    <derivirana_varijabla naziv="DomainObject.Predmet.OznakaBroj_1">St-2048/2017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SVESA NATURA d.o.o.</izvorni_sadrzaj>
    <derivirana_varijabla naziv="DomainObject.Predmet.ProtustrankaFormated_1">  SVESA NATURA d.o.o.</derivirana_varijabla>
  </DomainObject.Predmet.ProtustrankaFormated>
  <DomainObject.Predmet.ProtustrankaFormatedOIB>
    <izvorni_sadrzaj>  SVESA NATURA d.o.o., OIB 85557588753</izvorni_sadrzaj>
    <derivirana_varijabla naziv="DomainObject.Predmet.ProtustrankaFormatedOIB_1">  SVESA NATURA d.o.o., OIB 85557588753</derivirana_varijabla>
  </DomainObject.Predmet.ProtustrankaFormatedOIB>
  <DomainObject.Predmet.ProtustrankaFormatedWithAdress>
    <izvorni_sadrzaj> SVESA NATURA d.o.o., Ivana Pintarića 29, 10290 Ivanec Bistranski</izvorni_sadrzaj>
    <derivirana_varijabla naziv="DomainObject.Predmet.ProtustrankaFormatedWithAdress_1"> SVESA NATURA d.o.o., Ivana Pintarića 29, 10290 Ivanec Bistranski</derivirana_varijabla>
  </DomainObject.Predmet.ProtustrankaFormatedWithAdress>
  <DomainObject.Predmet.ProtustrankaFormatedWithAdressOIB>
    <izvorni_sadrzaj> SVESA NATURA d.o.o., OIB 85557588753, Ivana Pintarića 29, 10290 Ivanec Bistranski</izvorni_sadrzaj>
    <derivirana_varijabla naziv="DomainObject.Predmet.ProtustrankaFormatedWithAdressOIB_1"> SVESA NATURA d.o.o., OIB 85557588753, Ivana Pintarića 29, 10290 Ivanec Bistranski</derivirana_varijabla>
  </DomainObject.Predmet.ProtustrankaFormatedWithAdressOIB>
  <DomainObject.Predmet.ProtustrankaWithAdress>
    <izvorni_sadrzaj>SVESA NATURA d.o.o. Ivana Pintarića 29, 10290 Ivanec Bistranski</izvorni_sadrzaj>
    <derivirana_varijabla naziv="DomainObject.Predmet.ProtustrankaWithAdress_1">SVESA NATURA d.o.o. Ivana Pintarića 29, 10290 Ivanec Bistranski</derivirana_varijabla>
  </DomainObject.Predmet.ProtustrankaWithAdress>
  <DomainObject.Predmet.ProtustrankaWithAdressOIB>
    <izvorni_sadrzaj>SVESA NATURA d.o.o., OIB 85557588753, Ivana Pintarića 29, 10290 Ivanec Bistranski</izvorni_sadrzaj>
    <derivirana_varijabla naziv="DomainObject.Predmet.ProtustrankaWithAdressOIB_1">SVESA NATURA d.o.o., OIB 85557588753, Ivana Pintarića 29, 10290 Ivanec Bistranski</derivirana_varijabla>
  </DomainObject.Predmet.ProtustrankaWithAdressOIB>
  <DomainObject.Predmet.ProtustrankaNazivFormated>
    <izvorni_sadrzaj>SVESA NATURA d.o.o.</izvorni_sadrzaj>
    <derivirana_varijabla naziv="DomainObject.Predmet.ProtustrankaNazivFormated_1">SVESA NATURA d.o.o.</derivirana_varijabla>
  </DomainObject.Predmet.ProtustrankaNazivFormated>
  <DomainObject.Predmet.ProtustrankaNazivFormatedOIB>
    <izvorni_sadrzaj>SVESA NATURA d.o.o., OIB 85557588753</izvorni_sadrzaj>
    <derivirana_varijabla naziv="DomainObject.Predmet.ProtustrankaNazivFormatedOIB_1">SVESA NATURA d.o.o., OIB 85557588753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SVESA NATURA d.o.o.</izvorni_sadrzaj>
    <derivirana_varijabla naziv="DomainObject.Predmet.StrankaFormated_1">  SVESA NATURA d.o.o.</derivirana_varijabla>
  </DomainObject.Predmet.StrankaFormated>
  <DomainObject.Predmet.StrankaFormatedOIB>
    <izvorni_sadrzaj>  SVESA NATURA d.o.o., OIB 85557588753</izvorni_sadrzaj>
    <derivirana_varijabla naziv="DomainObject.Predmet.StrankaFormatedOIB_1">  SVESA NATURA d.o.o., OIB 85557588753</derivirana_varijabla>
  </DomainObject.Predmet.StrankaFormatedOIB>
  <DomainObject.Predmet.StrankaFormatedWithAdress>
    <izvorni_sadrzaj> SVESA NATURA d.o.o., Ivana Pintarića 29, 10290 Ivanec Bistranski</izvorni_sadrzaj>
    <derivirana_varijabla naziv="DomainObject.Predmet.StrankaFormatedWithAdress_1"> SVESA NATURA d.o.o., Ivana Pintarića 29, 10290 Ivanec Bistranski</derivirana_varijabla>
  </DomainObject.Predmet.StrankaFormatedWithAdress>
  <DomainObject.Predmet.StrankaFormatedWithAdressOIB>
    <izvorni_sadrzaj> SVESA NATURA d.o.o., OIB 85557588753, Ivana Pintarića 29, 10290 Ivanec Bistranski</izvorni_sadrzaj>
    <derivirana_varijabla naziv="DomainObject.Predmet.StrankaFormatedWithAdressOIB_1"> SVESA NATURA d.o.o., OIB 85557588753, Ivana Pintarića 29, 10290 Ivanec Bistranski</derivirana_varijabla>
  </DomainObject.Predmet.StrankaFormatedWithAdressOIB>
  <DomainObject.Predmet.StrankaWithAdress>
    <izvorni_sadrzaj>SVESA NATURA d.o.o. Ivana Pintarića 29,10290 Ivanec Bistranski</izvorni_sadrzaj>
    <derivirana_varijabla naziv="DomainObject.Predmet.StrankaWithAdress_1">SVESA NATURA d.o.o. Ivana Pintarića 29,10290 Ivanec Bistranski</derivirana_varijabla>
  </DomainObject.Predmet.StrankaWithAdress>
  <DomainObject.Predmet.StrankaWithAdressOIB>
    <izvorni_sadrzaj>SVESA NATURA d.o.o., OIB 85557588753, Ivana Pintarića 29,10290 Ivanec Bistranski</izvorni_sadrzaj>
    <derivirana_varijabla naziv="DomainObject.Predmet.StrankaWithAdressOIB_1">SVESA NATURA d.o.o., OIB 85557588753, Ivana Pintarića 29,10290 Ivanec Bistranski</derivirana_varijabla>
  </DomainObject.Predmet.StrankaWithAdressOIB>
  <DomainObject.Predmet.StrankaNazivFormated>
    <izvorni_sadrzaj>SVESA NATURA d.o.o.</izvorni_sadrzaj>
    <derivirana_varijabla naziv="DomainObject.Predmet.StrankaNazivFormated_1">SVESA NATURA d.o.o.</derivirana_varijabla>
  </DomainObject.Predmet.StrankaNazivFormated>
  <DomainObject.Predmet.StrankaNazivFormatedOIB>
    <izvorni_sadrzaj>SVESA NATURA d.o.o., OIB 85557588753</izvorni_sadrzaj>
    <derivirana_varijabla naziv="DomainObject.Predmet.StrankaNazivFormatedOIB_1">SVESA NATURA d.o.o., OIB 85557588753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postupak predstečajne nagodbe</izvorni_sadrzaj>
    <derivirana_varijabla naziv="DomainObject.Predmet.VrstaSpora.Naziv_1">Skraćeni postupak predstečajne nagodbe</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SVESA NATURA d.o.o.</item>
    </izvorni_sadrzaj>
    <derivirana_varijabla naziv="DomainObject.Predmet.StrankaListFormated_1">
      <item>SVESA NATURA d.o.o.</item>
    </derivirana_varijabla>
  </DomainObject.Predmet.StrankaListFormated>
  <DomainObject.Predmet.StrankaListFormatedOIB>
    <izvorni_sadrzaj>
      <item>SVESA NATURA d.o.o., OIB 85557588753</item>
    </izvorni_sadrzaj>
    <derivirana_varijabla naziv="DomainObject.Predmet.StrankaListFormatedOIB_1">
      <item>SVESA NATURA d.o.o., OIB 85557588753</item>
    </derivirana_varijabla>
  </DomainObject.Predmet.StrankaListFormatedOIB>
  <DomainObject.Predmet.StrankaListFormatedWithAdress>
    <izvorni_sadrzaj>
      <item>SVESA NATURA d.o.o., Ivana Pintarića 29, 10290 Ivanec Bistranski</item>
    </izvorni_sadrzaj>
    <derivirana_varijabla naziv="DomainObject.Predmet.StrankaListFormatedWithAdress_1">
      <item>SVESA NATURA d.o.o., Ivana Pintarića 29, 10290 Ivanec Bistranski</item>
    </derivirana_varijabla>
  </DomainObject.Predmet.StrankaListFormatedWithAdress>
  <DomainObject.Predmet.StrankaListFormatedWithAdressOIB>
    <izvorni_sadrzaj>
      <item>SVESA NATURA d.o.o., OIB 85557588753, Ivana Pintarića 29, 10290 Ivanec Bistranski</item>
    </izvorni_sadrzaj>
    <derivirana_varijabla naziv="DomainObject.Predmet.StrankaListFormatedWithAdressOIB_1">
      <item>SVESA NATURA d.o.o., OIB 85557588753, Ivana Pintarića 29, 10290 Ivanec Bistranski</item>
    </derivirana_varijabla>
  </DomainObject.Predmet.StrankaListFormatedWithAdressOIB>
  <DomainObject.Predmet.StrankaListNazivFormated>
    <izvorni_sadrzaj>
      <item>SVESA NATURA d.o.o.</item>
    </izvorni_sadrzaj>
    <derivirana_varijabla naziv="DomainObject.Predmet.StrankaListNazivFormated_1">
      <item>SVESA NATURA d.o.o.</item>
    </derivirana_varijabla>
  </DomainObject.Predmet.StrankaListNazivFormated>
  <DomainObject.Predmet.StrankaListNazivFormatedOIB>
    <izvorni_sadrzaj>
      <item>SVESA NATURA d.o.o., OIB 85557588753</item>
    </izvorni_sadrzaj>
    <derivirana_varijabla naziv="DomainObject.Predmet.StrankaListNazivFormatedOIB_1">
      <item>SVESA NATURA d.o.o., OIB 85557588753</item>
    </derivirana_varijabla>
  </DomainObject.Predmet.StrankaListNazivFormatedOIB>
  <DomainObject.Predmet.ProtuStrankaListFormated>
    <izvorni_sadrzaj>
      <item>SVESA NATURA d.o.o.</item>
    </izvorni_sadrzaj>
    <derivirana_varijabla naziv="DomainObject.Predmet.ProtuStrankaListFormated_1">
      <item>SVESA NATURA d.o.o.</item>
    </derivirana_varijabla>
  </DomainObject.Predmet.ProtuStrankaListFormated>
  <DomainObject.Predmet.ProtuStrankaListFormatedOIB>
    <izvorni_sadrzaj>
      <item>SVESA NATURA d.o.o., OIB 85557588753</item>
    </izvorni_sadrzaj>
    <derivirana_varijabla naziv="DomainObject.Predmet.ProtuStrankaListFormatedOIB_1">
      <item>SVESA NATURA d.o.o., OIB 85557588753</item>
    </derivirana_varijabla>
  </DomainObject.Predmet.ProtuStrankaListFormatedOIB>
  <DomainObject.Predmet.ProtuStrankaListFormatedWithAdress>
    <izvorni_sadrzaj>
      <item>SVESA NATURA d.o.o., Ivana Pintarića 29, 10290 Ivanec Bistranski</item>
    </izvorni_sadrzaj>
    <derivirana_varijabla naziv="DomainObject.Predmet.ProtuStrankaListFormatedWithAdress_1">
      <item>SVESA NATURA d.o.o., Ivana Pintarića 29, 10290 Ivanec Bistranski</item>
    </derivirana_varijabla>
  </DomainObject.Predmet.ProtuStrankaListFormatedWithAdress>
  <DomainObject.Predmet.ProtuStrankaListFormatedWithAdressOIB>
    <izvorni_sadrzaj>
      <item>SVESA NATURA d.o.o., OIB 85557588753, Ivana Pintarića 29, 10290 Ivanec Bistranski</item>
    </izvorni_sadrzaj>
    <derivirana_varijabla naziv="DomainObject.Predmet.ProtuStrankaListFormatedWithAdressOIB_1">
      <item>SVESA NATURA d.o.o., OIB 85557588753, Ivana Pintarića 29, 10290 Ivanec Bistranski</item>
    </derivirana_varijabla>
  </DomainObject.Predmet.ProtuStrankaListFormatedWithAdressOIB>
  <DomainObject.Predmet.ProtuStrankaListNazivFormated>
    <izvorni_sadrzaj>
      <item>SVESA NATURA d.o.o.</item>
    </izvorni_sadrzaj>
    <derivirana_varijabla naziv="DomainObject.Predmet.ProtuStrankaListNazivFormated_1">
      <item>SVESA NATURA d.o.o.</item>
    </derivirana_varijabla>
  </DomainObject.Predmet.ProtuStrankaListNazivFormated>
  <DomainObject.Predmet.ProtuStrankaListNazivFormatedOIB>
    <izvorni_sadrzaj>
      <item>SVESA NATURA d.o.o., OIB 85557588753</item>
    </izvorni_sadrzaj>
    <derivirana_varijabla naziv="DomainObject.Predmet.ProtuStrankaListNazivFormatedOIB_1">
      <item>SVESA NATURA d.o.o., OIB 85557588753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2017.</izvorni_sadrzaj>
    <derivirana_varijabla naziv="DomainObject.Datum_1">5. listopada 2017.</derivirana_varijabla>
  </DomainObject.Datum>
  <DomainObject.PoslovniBrojDokumenta>
    <izvorni_sadrzaj/>
    <derivirana_varijabla naziv="DomainObject.PoslovniBrojDokumenta_1"/>
  </DomainObject.PoslovniBrojDokumenta>
  <DomainObject.Predmet.StrankaIDrugi>
    <izvorni_sadrzaj>SVESA NATURA d.o.o.</izvorni_sadrzaj>
    <derivirana_varijabla naziv="DomainObject.Predmet.StrankaIDrugi_1">SVESA NATURA d.o.o.</derivirana_varijabla>
  </DomainObject.Predmet.StrankaIDrugi>
  <DomainObject.Predmet.ProtustrankaIDrugi>
    <izvorni_sadrzaj>SVESA NATURA d.o.o.</izvorni_sadrzaj>
    <derivirana_varijabla naziv="DomainObject.Predmet.ProtustrankaIDrugi_1">SVESA NATURA d.o.o.</derivirana_varijabla>
  </DomainObject.Predmet.ProtustrankaIDrugi>
  <DomainObject.Predmet.StrankaIDrugiAdressOIB>
    <izvorni_sadrzaj>SVESA NATURA d.o.o., OIB 85557588753, Ivana Pintarića 29, 10290 Ivanec Bistranski</izvorni_sadrzaj>
    <derivirana_varijabla naziv="DomainObject.Predmet.StrankaIDrugiAdressOIB_1">SVESA NATURA d.o.o., OIB 85557588753, Ivana Pintarića 29, 10290 Ivanec Bistranski</derivirana_varijabla>
  </DomainObject.Predmet.StrankaIDrugiAdressOIB>
  <DomainObject.Predmet.ProtustrankaIDrugiAdressOIB>
    <izvorni_sadrzaj>SVESA NATURA d.o.o., OIB 85557588753, Ivana Pintarića 29, 10290 Ivanec Bistranski</izvorni_sadrzaj>
    <derivirana_varijabla naziv="DomainObject.Predmet.ProtustrankaIDrugiAdressOIB_1">SVESA NATURA d.o.o., OIB 85557588753, Ivana Pintarića 29, 10290 Ivanec Bistranski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SVESA NATURA d.o.o.</item>
      <item>SVESA NATURA d.o.o.</item>
    </izvorni_sadrzaj>
    <derivirana_varijabla naziv="DomainObject.Predmet.SudioniciListNaziv_1">
      <item>SVESA NATURA d.o.o.</item>
      <item>SVESA NATURA d.o.o.</item>
    </derivirana_varijabla>
  </DomainObject.Predmet.SudioniciListNaziv>
  <DomainObject.Predmet.SudioniciListAdressOIB>
    <izvorni_sadrzaj>
      <item>SVESA NATURA d.o.o., OIB 85557588753, Ivana Pintarića 29,10290 Ivanec Bistranski</item>
      <item>SVESA NATURA d.o.o., OIB 85557588753, Ivana Pintarića 29,10290 Ivanec Bistranski</item>
    </izvorni_sadrzaj>
    <derivirana_varijabla naziv="DomainObject.Predmet.SudioniciListAdressOIB_1">
      <item>SVESA NATURA d.o.o., OIB 85557588753, Ivana Pintarića 29,10290 Ivanec Bistranski</item>
      <item>SVESA NATURA d.o.o., OIB 85557588753, Ivana Pintarića 29,10290 Ivanec Bistranski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85557588753</item>
      <item>, OIB 85557588753</item>
    </izvorni_sadrzaj>
    <derivirana_varijabla naziv="DomainObject.Predmet.SudioniciListNazivOIB_1">
      <item>, OIB 85557588753</item>
      <item>, OIB 85557588753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DABDE5C-A012-4106-AE00-060BD21F043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10</properties:Pages>
  <properties:Words>3010</properties:Words>
  <properties:Characters>18292</properties:Characters>
  <properties:Lines>844</properties:Lines>
  <properties:Paragraphs>534</properties:Paragraphs>
  <properties:TotalTime>14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Vts</vt:lpstr>
      <vt:lpstr>Vts</vt:lpstr>
    </vt:vector>
  </properties:TitlesOfParts>
  <properties:LinksUpToDate>false</properties:LinksUpToDate>
  <properties:CharactersWithSpaces>21449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2017-10-04T13:02:00Z</dcterms:created>
  <dc:creator>agalic</dc:creator>
  <cp:lastModifiedBy>Matea Bizjak</cp:lastModifiedBy>
  <cp:lastPrinted>2017-10-05T08:07:00Z</cp:lastPrinted>
  <dcterms:modified xmlns:xsi="http://www.w3.org/2001/XMLSchema-instance" xsi:type="dcterms:W3CDTF">2017-10-05T08:14:00Z</dcterms:modified>
  <cp:revision>4</cp:revision>
  <dc:title>Vts</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10</vt:i4>
  </prop:property>
</prop:Properties>
</file>