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b8f8" w14:paraId="634b8f8" w:rsidRDefault="008838CE" w:rsidP="008838CE" w:rsidR="008838CE">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8335" cx="526415"/>
            <wp:effectExtent b="0"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6415"/>
                    </a:xfrm>
                    <a:prstGeom prst="rect">
                      <a:avLst/>
                    </a:prstGeom>
                    <a:noFill/>
                    <a:ln>
                      <a:noFill/>
                    </a:ln>
                  </pic:spPr>
                </pic:pic>
              </a:graphicData>
            </a:graphic>
          </wp:inline>
        </w:drawing>
      </w:r>
    </w:p>
    <w:p w:rsidRDefault="008838CE" w:rsidP="008838CE" w:rsidR="008838CE">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8838CE" w:rsidP="008838CE" w:rsidR="008838CE">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8838CE" w:rsidP="008838CE" w:rsidR="008838CE">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F222D9" w:rsidR="00F222D9" w:rsidRPr="00986CAE">
      <w:pPr>
        <w:rPr>
          <w:rFonts w:hAnsi="Times New Roman" w:ascii="Times New Roman"/>
          <w:b w:val="false"/>
        </w:rPr>
      </w:pPr>
    </w:p>
    <w:p w:rsidRDefault="00F222D9" w:rsidR="00F222D9" w:rsidRPr="00986CAE">
      <w:pPr>
        <w:jc w:val="both"/>
        <w:rPr>
          <w:rFonts w:hAnsi="Times New Roman" w:ascii="Times New Roman"/>
          <w:b w:val="false"/>
        </w:rPr>
      </w:pPr>
    </w:p>
    <w:p w:rsidRDefault="000C53CE" w:rsidR="000C53CE" w:rsidRPr="00986CAE">
      <w:pPr>
        <w:jc w:val="both"/>
        <w:rPr>
          <w:rFonts w:hAnsi="Times New Roman" w:ascii="Times New Roman"/>
          <w:b w:val="false"/>
        </w:rPr>
      </w:pPr>
    </w:p>
    <w:p w:rsidRDefault="00AC31E5" w:rsidR="00AC31E5" w:rsidRPr="00986CAE">
      <w:pPr>
        <w:jc w:val="center"/>
        <w:rPr>
          <w:rFonts w:hAnsi="Times New Roman" w:ascii="Times New Roman"/>
          <w:b w:val="false"/>
          <w:bCs/>
        </w:rPr>
      </w:pPr>
      <w:r w:rsidRPr="00986CAE">
        <w:rPr>
          <w:rFonts w:hAnsi="Times New Roman" w:ascii="Times New Roman"/>
          <w:b w:val="false"/>
          <w:bCs/>
        </w:rPr>
        <w:t>R</w:t>
      </w:r>
      <w:r w:rsidR="00A11CCE" w:rsidRPr="00986CAE">
        <w:rPr>
          <w:rFonts w:hAnsi="Times New Roman" w:ascii="Times New Roman"/>
          <w:b w:val="false"/>
          <w:bCs/>
        </w:rPr>
        <w:t xml:space="preserve"> </w:t>
      </w:r>
      <w:r w:rsidRPr="00986CAE">
        <w:rPr>
          <w:rFonts w:hAnsi="Times New Roman" w:ascii="Times New Roman"/>
          <w:b w:val="false"/>
          <w:bCs/>
        </w:rPr>
        <w:t>E</w:t>
      </w:r>
      <w:r w:rsidR="00A11CCE" w:rsidRPr="00986CAE">
        <w:rPr>
          <w:rFonts w:hAnsi="Times New Roman" w:ascii="Times New Roman"/>
          <w:b w:val="false"/>
          <w:bCs/>
        </w:rPr>
        <w:t xml:space="preserve"> </w:t>
      </w:r>
      <w:r w:rsidRPr="00986CAE">
        <w:rPr>
          <w:rFonts w:hAnsi="Times New Roman" w:ascii="Times New Roman"/>
          <w:b w:val="false"/>
          <w:bCs/>
        </w:rPr>
        <w:t>P</w:t>
      </w:r>
      <w:r w:rsidR="00A11CCE" w:rsidRPr="00986CAE">
        <w:rPr>
          <w:rFonts w:hAnsi="Times New Roman" w:ascii="Times New Roman"/>
          <w:b w:val="false"/>
          <w:bCs/>
        </w:rPr>
        <w:t xml:space="preserve"> </w:t>
      </w:r>
      <w:r w:rsidRPr="00986CAE">
        <w:rPr>
          <w:rFonts w:hAnsi="Times New Roman" w:ascii="Times New Roman"/>
          <w:b w:val="false"/>
          <w:bCs/>
        </w:rPr>
        <w:t>U</w:t>
      </w:r>
      <w:r w:rsidR="00A11CCE" w:rsidRPr="00986CAE">
        <w:rPr>
          <w:rFonts w:hAnsi="Times New Roman" w:ascii="Times New Roman"/>
          <w:b w:val="false"/>
          <w:bCs/>
        </w:rPr>
        <w:t xml:space="preserve"> </w:t>
      </w:r>
      <w:r w:rsidRPr="00986CAE">
        <w:rPr>
          <w:rFonts w:hAnsi="Times New Roman" w:ascii="Times New Roman"/>
          <w:b w:val="false"/>
          <w:bCs/>
        </w:rPr>
        <w:t>B</w:t>
      </w:r>
      <w:r w:rsidR="00A11CCE" w:rsidRPr="00986CAE">
        <w:rPr>
          <w:rFonts w:hAnsi="Times New Roman" w:ascii="Times New Roman"/>
          <w:b w:val="false"/>
          <w:bCs/>
        </w:rPr>
        <w:t xml:space="preserve"> </w:t>
      </w:r>
      <w:r w:rsidRPr="00986CAE">
        <w:rPr>
          <w:rFonts w:hAnsi="Times New Roman" w:ascii="Times New Roman"/>
          <w:b w:val="false"/>
          <w:bCs/>
        </w:rPr>
        <w:t>L</w:t>
      </w:r>
      <w:r w:rsidR="00A11CCE" w:rsidRPr="00986CAE">
        <w:rPr>
          <w:rFonts w:hAnsi="Times New Roman" w:ascii="Times New Roman"/>
          <w:b w:val="false"/>
          <w:bCs/>
        </w:rPr>
        <w:t xml:space="preserve"> </w:t>
      </w:r>
      <w:r w:rsidRPr="00986CAE">
        <w:rPr>
          <w:rFonts w:hAnsi="Times New Roman" w:ascii="Times New Roman"/>
          <w:b w:val="false"/>
          <w:bCs/>
        </w:rPr>
        <w:t>I</w:t>
      </w:r>
      <w:r w:rsidR="00A11CCE" w:rsidRPr="00986CAE">
        <w:rPr>
          <w:rFonts w:hAnsi="Times New Roman" w:ascii="Times New Roman"/>
          <w:b w:val="false"/>
          <w:bCs/>
        </w:rPr>
        <w:t xml:space="preserve"> </w:t>
      </w:r>
      <w:r w:rsidRPr="00986CAE">
        <w:rPr>
          <w:rFonts w:hAnsi="Times New Roman" w:ascii="Times New Roman"/>
          <w:b w:val="false"/>
          <w:bCs/>
        </w:rPr>
        <w:t>K</w:t>
      </w:r>
      <w:r w:rsidR="00A11CCE" w:rsidRPr="00986CAE">
        <w:rPr>
          <w:rFonts w:hAnsi="Times New Roman" w:ascii="Times New Roman"/>
          <w:b w:val="false"/>
          <w:bCs/>
        </w:rPr>
        <w:t xml:space="preserve"> </w:t>
      </w:r>
      <w:r w:rsidRPr="00986CAE">
        <w:rPr>
          <w:rFonts w:hAnsi="Times New Roman" w:ascii="Times New Roman"/>
          <w:b w:val="false"/>
          <w:bCs/>
        </w:rPr>
        <w:t xml:space="preserve">A </w:t>
      </w:r>
      <w:r w:rsidR="00A11CCE" w:rsidRPr="00986CAE">
        <w:rPr>
          <w:rFonts w:hAnsi="Times New Roman" w:ascii="Times New Roman"/>
          <w:b w:val="false"/>
          <w:bCs/>
        </w:rPr>
        <w:t xml:space="preserve">   </w:t>
      </w:r>
      <w:r w:rsidRPr="00986CAE">
        <w:rPr>
          <w:rFonts w:hAnsi="Times New Roman" w:ascii="Times New Roman"/>
          <w:b w:val="false"/>
          <w:bCs/>
        </w:rPr>
        <w:t>H</w:t>
      </w:r>
      <w:r w:rsidR="00A11CCE" w:rsidRPr="00986CAE">
        <w:rPr>
          <w:rFonts w:hAnsi="Times New Roman" w:ascii="Times New Roman"/>
          <w:b w:val="false"/>
          <w:bCs/>
        </w:rPr>
        <w:t xml:space="preserve"> </w:t>
      </w:r>
      <w:r w:rsidRPr="00986CAE">
        <w:rPr>
          <w:rFonts w:hAnsi="Times New Roman" w:ascii="Times New Roman"/>
          <w:b w:val="false"/>
          <w:bCs/>
        </w:rPr>
        <w:t>R</w:t>
      </w:r>
      <w:r w:rsidR="00A11CCE" w:rsidRPr="00986CAE">
        <w:rPr>
          <w:rFonts w:hAnsi="Times New Roman" w:ascii="Times New Roman"/>
          <w:b w:val="false"/>
          <w:bCs/>
        </w:rPr>
        <w:t xml:space="preserve"> </w:t>
      </w:r>
      <w:r w:rsidRPr="00986CAE">
        <w:rPr>
          <w:rFonts w:hAnsi="Times New Roman" w:ascii="Times New Roman"/>
          <w:b w:val="false"/>
          <w:bCs/>
        </w:rPr>
        <w:t>V</w:t>
      </w:r>
      <w:r w:rsidR="00A11CCE" w:rsidRPr="00986CAE">
        <w:rPr>
          <w:rFonts w:hAnsi="Times New Roman" w:ascii="Times New Roman"/>
          <w:b w:val="false"/>
          <w:bCs/>
        </w:rPr>
        <w:t xml:space="preserve"> </w:t>
      </w:r>
      <w:r w:rsidRPr="00986CAE">
        <w:rPr>
          <w:rFonts w:hAnsi="Times New Roman" w:ascii="Times New Roman"/>
          <w:b w:val="false"/>
          <w:bCs/>
        </w:rPr>
        <w:t>A</w:t>
      </w:r>
      <w:r w:rsidR="00A11CCE" w:rsidRPr="00986CAE">
        <w:rPr>
          <w:rFonts w:hAnsi="Times New Roman" w:ascii="Times New Roman"/>
          <w:b w:val="false"/>
          <w:bCs/>
        </w:rPr>
        <w:t xml:space="preserve"> </w:t>
      </w:r>
      <w:r w:rsidRPr="00986CAE">
        <w:rPr>
          <w:rFonts w:hAnsi="Times New Roman" w:ascii="Times New Roman"/>
          <w:b w:val="false"/>
          <w:bCs/>
        </w:rPr>
        <w:t>T</w:t>
      </w:r>
      <w:r w:rsidR="00A11CCE" w:rsidRPr="00986CAE">
        <w:rPr>
          <w:rFonts w:hAnsi="Times New Roman" w:ascii="Times New Roman"/>
          <w:b w:val="false"/>
          <w:bCs/>
        </w:rPr>
        <w:t xml:space="preserve"> </w:t>
      </w:r>
      <w:r w:rsidRPr="00986CAE">
        <w:rPr>
          <w:rFonts w:hAnsi="Times New Roman" w:ascii="Times New Roman"/>
          <w:b w:val="false"/>
          <w:bCs/>
        </w:rPr>
        <w:t>S</w:t>
      </w:r>
      <w:r w:rsidR="00A11CCE" w:rsidRPr="00986CAE">
        <w:rPr>
          <w:rFonts w:hAnsi="Times New Roman" w:ascii="Times New Roman"/>
          <w:b w:val="false"/>
          <w:bCs/>
        </w:rPr>
        <w:t xml:space="preserve"> </w:t>
      </w:r>
      <w:r w:rsidRPr="00986CAE">
        <w:rPr>
          <w:rFonts w:hAnsi="Times New Roman" w:ascii="Times New Roman"/>
          <w:b w:val="false"/>
          <w:bCs/>
        </w:rPr>
        <w:t>K</w:t>
      </w:r>
      <w:r w:rsidR="00A11CCE" w:rsidRPr="00986CAE">
        <w:rPr>
          <w:rFonts w:hAnsi="Times New Roman" w:ascii="Times New Roman"/>
          <w:b w:val="false"/>
          <w:bCs/>
        </w:rPr>
        <w:t xml:space="preserve"> </w:t>
      </w:r>
      <w:r w:rsidRPr="00986CAE">
        <w:rPr>
          <w:rFonts w:hAnsi="Times New Roman" w:ascii="Times New Roman"/>
          <w:b w:val="false"/>
          <w:bCs/>
        </w:rPr>
        <w:t>A</w:t>
      </w:r>
    </w:p>
    <w:p w:rsidRDefault="00F222D9" w:rsidR="00F222D9" w:rsidRPr="00986CAE">
      <w:pPr>
        <w:jc w:val="center"/>
        <w:rPr>
          <w:rFonts w:hAnsi="Times New Roman" w:ascii="Times New Roman"/>
          <w:b w:val="false"/>
          <w:bCs/>
        </w:rPr>
      </w:pPr>
      <w:r w:rsidRPr="00986CAE">
        <w:rPr>
          <w:rFonts w:hAnsi="Times New Roman" w:ascii="Times New Roman"/>
          <w:b w:val="false"/>
          <w:bCs/>
        </w:rPr>
        <w:t>R J E Š E N J E</w:t>
      </w:r>
    </w:p>
    <w:p w:rsidRDefault="00F222D9" w:rsidR="00F222D9" w:rsidRPr="00986CAE">
      <w:pPr>
        <w:jc w:val="both"/>
        <w:rPr>
          <w:rFonts w:hAnsi="Times New Roman" w:ascii="Times New Roman"/>
          <w:b w:val="false"/>
        </w:rPr>
      </w:pPr>
    </w:p>
    <w:p w:rsidRDefault="0013722A" w:rsidP="0013722A" w:rsidR="0013722A" w:rsidRPr="00986CAE">
      <w:pPr>
        <w:jc w:val="both"/>
        <w:rPr>
          <w:rFonts w:hAnsi="Times New Roman" w:ascii="Times New Roman"/>
          <w:b w:val="false"/>
          <w:color w:val="003366"/>
          <w:sz w:val="18"/>
          <w:szCs w:val="18"/>
        </w:rPr>
      </w:pPr>
      <w:r w:rsidRPr="00986CAE">
        <w:rPr>
          <w:rFonts w:hAnsi="Times New Roman" w:ascii="Times New Roman"/>
          <w:b w:val="false"/>
        </w:rPr>
        <w:tab/>
      </w:r>
      <w:r w:rsidRPr="00986CAE">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8A72FA" w:rsidRPr="00986CAE">
        <w:rPr>
          <w:rFonts w:hAnsi="Times New Roman" w:ascii="Times New Roman"/>
          <w:b w:val="false"/>
          <w:bCs/>
        </w:rPr>
        <w:t>ADRIA ARX</w:t>
      </w:r>
      <w:r w:rsidR="008A72FA" w:rsidRPr="00986CAE">
        <w:rPr>
          <w:rFonts w:hAnsi="Times New Roman" w:ascii="Times New Roman"/>
          <w:b w:val="false"/>
        </w:rPr>
        <w:t xml:space="preserve"> društvo s ograničenom odgovornošću za građenje i trgovinu Rijeka, Zvonimirova 18, OIB: 44308591845, MBS: 040191489</w:t>
      </w:r>
      <w:r w:rsidRPr="00986CAE">
        <w:rPr>
          <w:rFonts w:hAnsi="Times New Roman" w:ascii="Times New Roman"/>
          <w:b w:val="false"/>
        </w:rPr>
        <w:t xml:space="preserve">, dana </w:t>
      </w:r>
      <w:r w:rsidR="00EB25C0" w:rsidRPr="00986CAE">
        <w:rPr>
          <w:rFonts w:hAnsi="Times New Roman" w:ascii="Times New Roman"/>
          <w:b w:val="false"/>
        </w:rPr>
        <w:t>18. travnja 2017</w:t>
      </w:r>
      <w:r w:rsidRPr="00986CAE">
        <w:rPr>
          <w:rFonts w:hAnsi="Times New Roman" w:ascii="Times New Roman"/>
          <w:b w:val="false"/>
        </w:rPr>
        <w:t xml:space="preserve">. godine  </w:t>
      </w:r>
    </w:p>
    <w:p w:rsidRDefault="00F222D9" w:rsidR="00F222D9" w:rsidRPr="00986CAE">
      <w:pPr>
        <w:jc w:val="center"/>
        <w:rPr>
          <w:rFonts w:hAnsi="Times New Roman" w:ascii="Times New Roman"/>
          <w:b w:val="false"/>
          <w:bCs/>
        </w:rPr>
      </w:pPr>
      <w:r w:rsidRPr="00986CAE">
        <w:rPr>
          <w:rFonts w:hAnsi="Times New Roman" w:ascii="Times New Roman"/>
          <w:b w:val="false"/>
          <w:bCs/>
        </w:rPr>
        <w:t>r</w:t>
      </w:r>
      <w:r w:rsidR="0085224C" w:rsidRPr="00986CAE">
        <w:rPr>
          <w:rFonts w:hAnsi="Times New Roman" w:ascii="Times New Roman"/>
          <w:b w:val="false"/>
          <w:bCs/>
        </w:rPr>
        <w:t xml:space="preserve"> </w:t>
      </w:r>
      <w:r w:rsidRPr="00986CAE">
        <w:rPr>
          <w:rFonts w:hAnsi="Times New Roman" w:ascii="Times New Roman"/>
          <w:b w:val="false"/>
          <w:bCs/>
        </w:rPr>
        <w:t>i</w:t>
      </w:r>
      <w:r w:rsidR="0085224C" w:rsidRPr="00986CAE">
        <w:rPr>
          <w:rFonts w:hAnsi="Times New Roman" w:ascii="Times New Roman"/>
          <w:b w:val="false"/>
          <w:bCs/>
        </w:rPr>
        <w:t xml:space="preserve"> </w:t>
      </w:r>
      <w:r w:rsidRPr="00986CAE">
        <w:rPr>
          <w:rFonts w:hAnsi="Times New Roman" w:ascii="Times New Roman"/>
          <w:b w:val="false"/>
          <w:bCs/>
        </w:rPr>
        <w:t>j</w:t>
      </w:r>
      <w:r w:rsidR="0085224C" w:rsidRPr="00986CAE">
        <w:rPr>
          <w:rFonts w:hAnsi="Times New Roman" w:ascii="Times New Roman"/>
          <w:b w:val="false"/>
          <w:bCs/>
        </w:rPr>
        <w:t xml:space="preserve"> </w:t>
      </w:r>
      <w:r w:rsidRPr="00986CAE">
        <w:rPr>
          <w:rFonts w:hAnsi="Times New Roman" w:ascii="Times New Roman"/>
          <w:b w:val="false"/>
          <w:bCs/>
        </w:rPr>
        <w:t>e</w:t>
      </w:r>
      <w:r w:rsidR="0085224C" w:rsidRPr="00986CAE">
        <w:rPr>
          <w:rFonts w:hAnsi="Times New Roman" w:ascii="Times New Roman"/>
          <w:b w:val="false"/>
          <w:bCs/>
        </w:rPr>
        <w:t xml:space="preserve"> </w:t>
      </w:r>
      <w:r w:rsidRPr="00986CAE">
        <w:rPr>
          <w:rFonts w:hAnsi="Times New Roman" w:ascii="Times New Roman"/>
          <w:b w:val="false"/>
          <w:bCs/>
        </w:rPr>
        <w:t>š</w:t>
      </w:r>
      <w:r w:rsidR="0085224C" w:rsidRPr="00986CAE">
        <w:rPr>
          <w:rFonts w:hAnsi="Times New Roman" w:ascii="Times New Roman"/>
          <w:b w:val="false"/>
          <w:bCs/>
        </w:rPr>
        <w:t xml:space="preserve"> </w:t>
      </w:r>
      <w:r w:rsidRPr="00986CAE">
        <w:rPr>
          <w:rFonts w:hAnsi="Times New Roman" w:ascii="Times New Roman"/>
          <w:b w:val="false"/>
          <w:bCs/>
        </w:rPr>
        <w:t>i</w:t>
      </w:r>
      <w:r w:rsidR="0085224C" w:rsidRPr="00986CAE">
        <w:rPr>
          <w:rFonts w:hAnsi="Times New Roman" w:ascii="Times New Roman"/>
          <w:b w:val="false"/>
          <w:bCs/>
        </w:rPr>
        <w:t xml:space="preserve"> </w:t>
      </w:r>
      <w:r w:rsidRPr="00986CAE">
        <w:rPr>
          <w:rFonts w:hAnsi="Times New Roman" w:ascii="Times New Roman"/>
          <w:b w:val="false"/>
          <w:bCs/>
        </w:rPr>
        <w:t>o</w:t>
      </w:r>
      <w:r w:rsidR="0085224C" w:rsidRPr="00986CAE">
        <w:rPr>
          <w:rFonts w:hAnsi="Times New Roman" w:ascii="Times New Roman"/>
          <w:b w:val="false"/>
          <w:bCs/>
        </w:rPr>
        <w:t xml:space="preserve">  </w:t>
      </w:r>
      <w:r w:rsidRPr="00986CAE">
        <w:rPr>
          <w:rFonts w:hAnsi="Times New Roman" w:ascii="Times New Roman"/>
          <w:b w:val="false"/>
          <w:bCs/>
        </w:rPr>
        <w:t xml:space="preserve"> j</w:t>
      </w:r>
      <w:r w:rsidR="0085224C" w:rsidRPr="00986CAE">
        <w:rPr>
          <w:rFonts w:hAnsi="Times New Roman" w:ascii="Times New Roman"/>
          <w:b w:val="false"/>
          <w:bCs/>
        </w:rPr>
        <w:t xml:space="preserve"> </w:t>
      </w:r>
      <w:r w:rsidRPr="00986CAE">
        <w:rPr>
          <w:rFonts w:hAnsi="Times New Roman" w:ascii="Times New Roman"/>
          <w:b w:val="false"/>
          <w:bCs/>
        </w:rPr>
        <w:t>e</w:t>
      </w:r>
    </w:p>
    <w:p w:rsidRDefault="00A707AB" w:rsidP="00AB23B6" w:rsidR="00A707AB" w:rsidRPr="00986CAE">
      <w:pPr>
        <w:ind w:firstLine="1440"/>
        <w:jc w:val="both"/>
        <w:rPr>
          <w:rFonts w:hAnsi="Times New Roman" w:ascii="Times New Roman"/>
          <w:b w:val="false"/>
        </w:rPr>
      </w:pPr>
    </w:p>
    <w:p w:rsidRDefault="00EB25C0" w:rsidP="00EB25C0" w:rsidR="00EB25C0" w:rsidRPr="00986CAE">
      <w:pPr>
        <w:pStyle w:val="Odlomakpopisa"/>
        <w:numPr>
          <w:ilvl w:val="0"/>
          <w:numId w:val="5"/>
        </w:numPr>
        <w:jc w:val="both"/>
        <w:rPr>
          <w:bCs/>
        </w:rPr>
      </w:pPr>
      <w:r w:rsidRPr="00986CAE">
        <w:t xml:space="preserve">Pozivaju se </w:t>
      </w:r>
      <w:r w:rsidRPr="00986CAE">
        <w:rPr>
          <w:color w:val="000000"/>
        </w:rPr>
        <w:t xml:space="preserve">osobe koje imaju pravni interes za provedbom stečajnoga postupka nad dužnikom </w:t>
      </w:r>
      <w:r w:rsidRPr="00986CAE">
        <w:rPr>
          <w:bCs/>
        </w:rPr>
        <w:t>ADRIA ARX</w:t>
      </w:r>
      <w:r w:rsidRPr="00986CAE">
        <w:t xml:space="preserve"> društvo s ograničenom odgovornošću za građenje i trgovinu Rijeka, Zvonimirova 18, OIB: 44308591845, MBS: 040191489 </w:t>
      </w:r>
      <w:r w:rsidRPr="00986CAE">
        <w:rPr>
          <w:color w:val="000000"/>
        </w:rPr>
        <w:t>da u roku od 15 dana uplate predujam za namirenje troškova prethodnoga i otvorenoga stečajnog postupka</w:t>
      </w:r>
      <w:r w:rsidRPr="00986CAE">
        <w:t xml:space="preserve"> u iznosu od 62.800,00 kn na prolazni depozit suda koji se vodi kod Hrvatske poštanske banke d.d. Zagreb broj </w:t>
      </w:r>
      <w:r w:rsidRPr="00986CAE">
        <w:rPr>
          <w:bCs/>
        </w:rPr>
        <w:t>HR59 2390 0011 3000 0270 3.</w:t>
      </w:r>
    </w:p>
    <w:p w:rsidRDefault="00EB25C0" w:rsidP="00EB25C0" w:rsidR="00EB25C0" w:rsidRPr="00986CAE">
      <w:pPr>
        <w:pStyle w:val="Odlomakpopisa"/>
        <w:numPr>
          <w:ilvl w:val="0"/>
          <w:numId w:val="5"/>
        </w:numPr>
        <w:jc w:val="both"/>
      </w:pPr>
      <w:r w:rsidRPr="00986CAE">
        <w:rPr>
          <w:color w:val="000000"/>
        </w:rPr>
        <w:t>Ako osobe iz točke I. ovoga rješenja ne predujme traženi iznos, sud će donijeti rješenje o otvaranju i zaključenju stečajnoga postupka</w:t>
      </w:r>
      <w:r w:rsidRPr="00986CAE">
        <w:rPr>
          <w:bCs/>
        </w:rPr>
        <w:t xml:space="preserve"> </w:t>
      </w:r>
      <w:r w:rsidRPr="00986CAE">
        <w:t xml:space="preserve">nad dužnikom </w:t>
      </w:r>
      <w:r w:rsidRPr="00986CAE">
        <w:rPr>
          <w:bCs/>
        </w:rPr>
        <w:t>ADRIA ARX</w:t>
      </w:r>
      <w:r w:rsidRPr="00986CAE">
        <w:t xml:space="preserve"> društvo s ograničenom odgovornošću za građenje i trgovinu Rijeka, Zvonimirova 18, OIB: 44308591845, MBS: 040191489.</w:t>
      </w:r>
    </w:p>
    <w:p w:rsidRDefault="00EB25C0" w:rsidP="00EB25C0" w:rsidR="00EB25C0" w:rsidRPr="00986CAE">
      <w:pPr>
        <w:jc w:val="both"/>
        <w:rPr>
          <w:rFonts w:hAnsi="Times New Roman" w:ascii="Times New Roman"/>
          <w:b w:val="false"/>
        </w:rPr>
      </w:pPr>
    </w:p>
    <w:p w:rsidRDefault="00EB25C0" w:rsidP="00EB25C0" w:rsidR="00EB25C0" w:rsidRPr="00986CAE">
      <w:pPr>
        <w:jc w:val="center"/>
        <w:rPr>
          <w:rFonts w:hAnsi="Times New Roman" w:ascii="Times New Roman"/>
          <w:b w:val="false"/>
        </w:rPr>
      </w:pPr>
      <w:r w:rsidRPr="00986CAE">
        <w:rPr>
          <w:rFonts w:hAnsi="Times New Roman" w:ascii="Times New Roman"/>
          <w:b w:val="false"/>
        </w:rPr>
        <w:t>Obrazloženje</w:t>
      </w:r>
    </w:p>
    <w:p w:rsidRDefault="00EB25C0" w:rsidP="00EB25C0" w:rsidR="00EB25C0" w:rsidRPr="00986CAE">
      <w:pPr>
        <w:jc w:val="center"/>
        <w:rPr>
          <w:rFonts w:hAnsi="Times New Roman" w:ascii="Times New Roman"/>
          <w:b w:val="false"/>
        </w:rPr>
      </w:pPr>
    </w:p>
    <w:p w:rsidRDefault="00EB25C0" w:rsidP="00EB25C0" w:rsidR="00EB25C0" w:rsidRPr="00986CAE">
      <w:pPr>
        <w:jc w:val="both"/>
        <w:rPr>
          <w:rFonts w:hAnsi="Times New Roman" w:ascii="Times New Roman"/>
          <w:b w:val="false"/>
        </w:rPr>
      </w:pPr>
      <w:r w:rsidRPr="00986CAE">
        <w:rPr>
          <w:rFonts w:hAnsi="Times New Roman" w:ascii="Times New Roman"/>
          <w:b w:val="false"/>
        </w:rPr>
        <w:tab/>
      </w:r>
      <w:r w:rsidRPr="00986CAE">
        <w:rPr>
          <w:rFonts w:hAnsi="Times New Roman" w:ascii="Times New Roman"/>
          <w:b w:val="false"/>
        </w:rPr>
        <w:tab/>
        <w:t xml:space="preserve">Predlagatelj je podnio sudu prijedlog za otvaranje stečajnog postupka nad dužnikom </w:t>
      </w:r>
      <w:r w:rsidRPr="00986CAE">
        <w:rPr>
          <w:rFonts w:hAnsi="Times New Roman" w:ascii="Times New Roman"/>
          <w:b w:val="false"/>
          <w:bCs/>
        </w:rPr>
        <w:t>ADRIA ARX</w:t>
      </w:r>
      <w:r w:rsidRPr="00986CAE">
        <w:rPr>
          <w:rFonts w:hAnsi="Times New Roman" w:ascii="Times New Roman"/>
          <w:b w:val="false"/>
        </w:rPr>
        <w:t xml:space="preserve"> društvo s ograničenom odgovornošću za građenje i trgovinu Rijeka, Zvonimirova 18, OIB: 44308591845, MBS: 040191489.</w:t>
      </w:r>
    </w:p>
    <w:p w:rsidRDefault="00EB25C0" w:rsidP="00EB25C0" w:rsidR="00EB25C0" w:rsidRPr="00986CAE">
      <w:pPr>
        <w:ind w:firstLine="1440"/>
        <w:jc w:val="both"/>
        <w:rPr>
          <w:rFonts w:hAnsi="Times New Roman" w:ascii="Times New Roman"/>
          <w:b w:val="false"/>
        </w:rPr>
      </w:pPr>
      <w:r w:rsidRPr="00986CAE">
        <w:rPr>
          <w:rFonts w:hAnsi="Times New Roman" w:ascii="Times New Roman"/>
          <w:b w:val="false"/>
        </w:rPr>
        <w:t xml:space="preserve">Dana 14. studenoga 2016. godine doneseno je rješenje ovog suda posl. br. St-771/2016 kojim je pokrenut prethodni postupak radi utvrđivanja uvjeta za otvaranje stečajnog postupka nad dužnikom </w:t>
      </w:r>
      <w:r w:rsidRPr="00986CAE">
        <w:rPr>
          <w:rFonts w:hAnsi="Times New Roman" w:ascii="Times New Roman"/>
          <w:b w:val="false"/>
          <w:bCs/>
        </w:rPr>
        <w:t>VIKTORIJA UGOSTITELJSTVO</w:t>
      </w:r>
      <w:r w:rsidRPr="00986CAE">
        <w:rPr>
          <w:rFonts w:hAnsi="Times New Roman" w:ascii="Times New Roman"/>
          <w:b w:val="false"/>
        </w:rPr>
        <w:t xml:space="preserve"> društvo s ograničenom odgovornošću za ugostiteljstvo, trgovinu i usluge Delnice, Lučice, Novo naselje 19, OIB: 43513632858, MBS: 040284160.</w:t>
      </w:r>
    </w:p>
    <w:p w:rsidRDefault="00EB25C0" w:rsidP="00EB25C0" w:rsidR="00EB25C0" w:rsidRPr="00986CAE">
      <w:pPr>
        <w:ind w:firstLine="1440"/>
        <w:jc w:val="both"/>
        <w:rPr>
          <w:rFonts w:hAnsi="Times New Roman" w:ascii="Times New Roman"/>
          <w:b w:val="false"/>
        </w:rPr>
      </w:pPr>
      <w:r w:rsidRPr="00986CAE">
        <w:rPr>
          <w:rFonts w:hAnsi="Times New Roman" w:ascii="Times New Roman"/>
          <w:b w:val="false"/>
        </w:rPr>
        <w:t xml:space="preserve">Uvidom u </w:t>
      </w:r>
      <w:r w:rsidRPr="00986CAE">
        <w:rPr>
          <w:rFonts w:hAnsi="Times New Roman" w:ascii="Times New Roman"/>
          <w:b w:val="false"/>
          <w:bCs/>
        </w:rPr>
        <w:t xml:space="preserve">prijedlog Financijske agencije za otvaranje stečajnog postupka nad dužnikom i podnesak Financijske agencije od 22. studenoga 2016. godine, kao i </w:t>
      </w:r>
      <w:r w:rsidRPr="00986CAE">
        <w:rPr>
          <w:rFonts w:hAnsi="Times New Roman" w:ascii="Times New Roman"/>
          <w:b w:val="false"/>
          <w:bCs/>
        </w:rPr>
        <w:lastRenderedPageBreak/>
        <w:t xml:space="preserve">izvješće privremenog stečajnog upravitelja, </w:t>
      </w:r>
      <w:r w:rsidRPr="00986CAE">
        <w:rPr>
          <w:rFonts w:hAnsi="Times New Roman" w:ascii="Times New Roman"/>
          <w:b w:val="false"/>
        </w:rP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Naime, iako je Samiru Omeroviću kao osobi ovlaštenoj za zastupanje dužnika naloženo da u roku od osam dana preda sudu pisano izvješće o financijsko – gospodarskom stanju dužnika rješenjem sa zaključkom ovog suda posl. br. 14. St-800/2016 od 14. studenoga 2016. godine, isti navedeno izvješće nije dostavio, čak ni uz žalbu od 21. veljače 2017. godine.  Uz žalbu od 21. veljače 2017. godine je dužnik dostavio zapisnik posl. br. 15 St-1124/16-24 s ispitnog ročišta održanog dana 15. prosinca 2016. godine iz kojeg proizlazi da je dužniku u stečajnom postupku nad dužnikom BAŠĆANKA d.o.o. Rijeka, Zvonimirova 18 djelomično priznata tražbina  u iznosu od 3.786.272,93 kn, a osporena u iznos od 63.011.897,51 kn. Međutim, iako je navedena tražbina djelomično priznata (a radi se o velikom novčanom iznosu), ni dužnik ne navodi da je u tom postupku došlo do djelomične (ili završne) diobe zahvaljujući  kojoj bi dužnik raspolagao s nekim novčanim sredstvima. Dužnik prema podacima koje je dostavila Financijska agencija u svom prijedlogu ima evidentirane neizvršene osnove za plaćanje </w:t>
      </w:r>
      <w:r w:rsidR="00222C53" w:rsidRPr="00986CAE">
        <w:rPr>
          <w:rFonts w:hAnsi="Times New Roman" w:ascii="Times New Roman"/>
          <w:b w:val="false"/>
        </w:rPr>
        <w:t xml:space="preserve">na dan 30. ožujka 2016. godine </w:t>
      </w:r>
      <w:r w:rsidRPr="00986CAE">
        <w:rPr>
          <w:rFonts w:hAnsi="Times New Roman" w:ascii="Times New Roman"/>
          <w:b w:val="false"/>
        </w:rPr>
        <w:t>u neprekinutom razdoblju od 2</w:t>
      </w:r>
      <w:r w:rsidR="00222C53" w:rsidRPr="00986CAE">
        <w:rPr>
          <w:rFonts w:hAnsi="Times New Roman" w:ascii="Times New Roman"/>
          <w:b w:val="false"/>
        </w:rPr>
        <w:t>504 dana u ukupnom iznosu od 4.495.900,78 kn koji je iznos veći od 3.786.272,93 kn djelomično priznate mu tražbine u stečajnom postupku nad dužnikom BAŠĆANKA d.o.o. Rijeka, Zvonimirova 18. Pri čemu nema garancija da će se u navedenom stečajnom postupku koji se pred ovim sudom vodi pod posl. br. St-1124/2016 dužnik i naplatiti, već je za sada postupak u tijeku.</w:t>
      </w:r>
    </w:p>
    <w:p w:rsidRDefault="00222C53" w:rsidP="00EB25C0" w:rsidR="00222C53" w:rsidRPr="00986CAE">
      <w:pPr>
        <w:ind w:firstLine="1440"/>
        <w:jc w:val="both"/>
        <w:rPr>
          <w:rFonts w:hAnsi="Times New Roman" w:ascii="Times New Roman"/>
          <w:b w:val="false"/>
        </w:rPr>
      </w:pPr>
      <w:r w:rsidRPr="00986CAE">
        <w:rPr>
          <w:rFonts w:hAnsi="Times New Roman" w:ascii="Times New Roman"/>
          <w:b w:val="false"/>
        </w:rPr>
        <w:t>Nadalje, prema dokumentaciji koju je dužnik dostavio uz svoju žalbu od 21. veljače 2017. godine (i koja je jedina dokumentacija koju je dužnik dostavio u ovaj spis), a kao dokaz postojanja dužnikove imovine, za zaključiti je da je jedina dužnikova imovina tražbina prijavljena u stečajnom postupku nad dužnikom BAŠĆANKA d.o.o. Rijeka, Zvonimirova 18 koji se pred ovim sudom vodi pod posl. br. St-1124/2016, te imovina koja bi se utvrdila po dužnikovoj tužbi od 14. prosinca 2016. godine koja se parnica vodi pred ovim sudom u predmetu posl. br. P-862/2016, a gdje je kao vrijednost predmeta spora označeno 501.000,</w:t>
      </w:r>
      <w:r w:rsidR="0054134B" w:rsidRPr="00986CAE">
        <w:rPr>
          <w:rFonts w:hAnsi="Times New Roman" w:ascii="Times New Roman"/>
          <w:b w:val="false"/>
        </w:rPr>
        <w:t>00 kn. Budući da je dužnik po priloženoj dokumentaciji trebao biti posebnim rješenjem upućen u parnicu radi utvrđivanja osporene tražbine u iznosu od 63.011.897,51 kn, radi se o najmanje dvije parnice velike vrijednosti predmeta spora koje dužnik vodi.</w:t>
      </w:r>
    </w:p>
    <w:p w:rsidRDefault="00EB25C0" w:rsidP="00EB25C0" w:rsidR="00EB25C0" w:rsidRPr="00986CAE">
      <w:pPr>
        <w:ind w:firstLine="1440"/>
        <w:jc w:val="both"/>
        <w:rPr>
          <w:rFonts w:hAnsi="Times New Roman" w:ascii="Times New Roman"/>
          <w:b w:val="false"/>
          <w:color w:val="000000"/>
        </w:rPr>
      </w:pPr>
      <w:r w:rsidRPr="00986CAE">
        <w:rPr>
          <w:rFonts w:hAnsi="Times New Roman" w:ascii="Times New Roman"/>
          <w:b w:val="false"/>
        </w:rPr>
        <w:t xml:space="preserve">Prema odredbi članka 132. stavak 1. i 2. Stečajnog zakona (objavljen u NN 71/15), </w:t>
      </w:r>
      <w:r w:rsidRPr="00986CAE">
        <w:rPr>
          <w:rFonts w:hAnsi="Times New Roman" w:ascii="Times New Roman"/>
          <w:b w:val="false"/>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134B" w:rsidP="00EB25C0" w:rsidR="0054134B" w:rsidRPr="00986CAE">
      <w:pPr>
        <w:ind w:firstLine="1440"/>
        <w:jc w:val="both"/>
        <w:rPr>
          <w:rFonts w:hAnsi="Times New Roman" w:ascii="Times New Roman"/>
          <w:b w:val="false"/>
          <w:color w:val="000000"/>
        </w:rPr>
      </w:pPr>
      <w:r w:rsidRPr="00986CAE">
        <w:rPr>
          <w:rFonts w:hAnsi="Times New Roman" w:ascii="Times New Roman"/>
          <w:b w:val="false"/>
          <w:color w:val="000000"/>
        </w:rPr>
        <w:t xml:space="preserve">Iz navedenoga je za utvrditi da dužnik za sada nema imovinu dovoljnu za namirenje troškova stečajnog postupka. Prema dokumentaciji koju je dostavio, dužnik raspolaže s velikom tražbinom priznatom u drugom stečajnom postupku za koju ni ne tvrdi da je do sada dobio ikakvu isplatu ni djelomičnom ni završnom diobom u tom </w:t>
      </w:r>
      <w:r w:rsidRPr="00986CAE">
        <w:rPr>
          <w:rFonts w:hAnsi="Times New Roman" w:ascii="Times New Roman"/>
          <w:b w:val="false"/>
          <w:color w:val="000000"/>
        </w:rPr>
        <w:lastRenderedPageBreak/>
        <w:t xml:space="preserve">postupku, te vodi parnice visoke vrijednosti predmeta spora zbog kojih se može očekivati određene troškove. </w:t>
      </w:r>
    </w:p>
    <w:p w:rsidRDefault="0054134B" w:rsidP="0054134B" w:rsidR="0054134B" w:rsidRPr="00986CAE">
      <w:pPr>
        <w:ind w:firstLine="1418"/>
        <w:jc w:val="both"/>
        <w:rPr>
          <w:rFonts w:hAnsi="Times New Roman" w:ascii="Times New Roman"/>
          <w:b w:val="false"/>
          <w:bCs/>
        </w:rPr>
      </w:pPr>
      <w:r w:rsidRPr="00986CAE">
        <w:rPr>
          <w:rFonts w:hAnsi="Times New Roman" w:ascii="Times New Roman"/>
          <w:b w:val="false"/>
          <w:bCs/>
        </w:rPr>
        <w:t>Privremeni stečajni upravitelj je u svojoj dopuni izvješća od 13. veljače 2017. godine precizirao kako bi za namirenje troškova prethodnoga i otvorenoga stečajnog postupka valjalo predujmiti najmanje 62.800,00 kn, koji bi iznos obuhvaćao 7.000,00 kn pregleda poslovnih knjiga i sastavljanje tablica, 6.000,00 kn vođenja knjigovodstva za najmanje 6 mjeseci, 20.000,00 za sudski postupak tužitelja (ovdje dužnika) protiv tuženika Bašćanka d.o.o. zajedno sa sudskim pristojbama, 5.800,00 kn materijalnog troška, te 24.000,00 kn bruto naknade stečajnom upravitelju.</w:t>
      </w:r>
    </w:p>
    <w:p w:rsidRDefault="0054134B" w:rsidP="00EB25C0" w:rsidR="0054134B" w:rsidRPr="00986CAE">
      <w:pPr>
        <w:ind w:firstLine="1440"/>
        <w:jc w:val="both"/>
        <w:rPr>
          <w:rFonts w:hAnsi="Times New Roman" w:ascii="Times New Roman"/>
          <w:b w:val="false"/>
        </w:rPr>
      </w:pPr>
      <w:r w:rsidRPr="00986CAE">
        <w:rPr>
          <w:rFonts w:hAnsi="Times New Roman" w:ascii="Times New Roman"/>
          <w:b w:val="false"/>
        </w:rPr>
        <w:t xml:space="preserve">Sud je </w:t>
      </w:r>
      <w:r w:rsidR="000249BE" w:rsidRPr="00986CAE">
        <w:rPr>
          <w:rFonts w:hAnsi="Times New Roman" w:ascii="Times New Roman"/>
          <w:b w:val="false"/>
        </w:rPr>
        <w:t>navedeni iznos ocijenio realnim pri čemu valja napomenuti da ni do sada u spisu nema podataka o dužnikovom dostavljanju detaljnih podataka o financijsko – gospodarskom stanju dužnika privremenom stečajnom upravitelju iako je iz njegove žalbe vidljivo da zna za ovaj postupak i za imenovanje privremenog stečajnog upravitelja. Zbog toga je za zaključiti da će stečajnom upravitelju biti otežan pristup poslovnim podacima dužnika</w:t>
      </w:r>
      <w:r w:rsidR="00986CAE" w:rsidRPr="00986CAE">
        <w:rPr>
          <w:rFonts w:hAnsi="Times New Roman" w:ascii="Times New Roman"/>
          <w:b w:val="false"/>
        </w:rPr>
        <w:t xml:space="preserve"> te se iznos od </w:t>
      </w:r>
      <w:r w:rsidR="000249BE" w:rsidRPr="00986CAE">
        <w:rPr>
          <w:rFonts w:hAnsi="Times New Roman" w:ascii="Times New Roman"/>
          <w:b w:val="false"/>
        </w:rPr>
        <w:t xml:space="preserve"> </w:t>
      </w:r>
      <w:r w:rsidR="00986CAE" w:rsidRPr="00986CAE">
        <w:rPr>
          <w:rFonts w:hAnsi="Times New Roman" w:ascii="Times New Roman"/>
          <w:b w:val="false"/>
          <w:bCs/>
        </w:rPr>
        <w:t>7.000,00 kn za pregled poslovnih knjiga i sastavljanje tablica ne čini pretjeranim. Također je i iznos od 20.000,00 za sudski postupak tužitelja (ovdje dužnika) umjeren s obzirom na potrebu vođenja sporova velike vrijednosti predmeta spora, dok su i ostali navedeni iznosi u granicama prosjeka.</w:t>
      </w:r>
    </w:p>
    <w:p w:rsidRDefault="00EB25C0" w:rsidP="00EB25C0" w:rsidR="00EB25C0" w:rsidRPr="00986CAE">
      <w:pPr>
        <w:ind w:firstLine="1440"/>
        <w:jc w:val="both"/>
        <w:rPr>
          <w:rFonts w:hAnsi="Times New Roman" w:ascii="Times New Roman"/>
          <w:b w:val="false"/>
        </w:rPr>
      </w:pPr>
      <w:r w:rsidRPr="00986CAE">
        <w:rPr>
          <w:rFonts w:hAnsi="Times New Roman" w:ascii="Times New Roman"/>
          <w:b w:val="false"/>
        </w:rPr>
        <w:t>Slijedom navedenog, a na temelju citiranih zakonskih odredbi, odlučeno je kao u izreci ovog rješenja.</w:t>
      </w:r>
    </w:p>
    <w:p w:rsidRDefault="00EB25C0" w:rsidP="00EB25C0" w:rsidR="00EB25C0" w:rsidRPr="00986CAE">
      <w:pPr>
        <w:jc w:val="center"/>
        <w:rPr>
          <w:rFonts w:hAnsi="Times New Roman" w:ascii="Times New Roman"/>
          <w:b w:val="false"/>
        </w:rPr>
      </w:pPr>
      <w:r w:rsidRPr="00986CAE">
        <w:rPr>
          <w:rFonts w:hAnsi="Times New Roman" w:ascii="Times New Roman"/>
          <w:b w:val="false"/>
        </w:rPr>
        <w:t>Rijeka, 18. travnja 2017. godine</w:t>
      </w:r>
    </w:p>
    <w:p w:rsidRDefault="00EB25C0" w:rsidP="00EB25C0" w:rsidR="00EB25C0" w:rsidRPr="00986CAE">
      <w:pPr>
        <w:rPr>
          <w:rFonts w:hAnsi="Times New Roman" w:ascii="Times New Roman"/>
          <w:b w:val="false"/>
        </w:rPr>
      </w:pPr>
    </w:p>
    <w:p w:rsidRDefault="00EB25C0" w:rsidP="00EB25C0" w:rsidR="00EB25C0" w:rsidRPr="00986CAE">
      <w:pPr>
        <w:jc w:val="both"/>
        <w:rPr>
          <w:rFonts w:hAnsi="Times New Roman" w:ascii="Times New Roman"/>
          <w:b w:val="false"/>
        </w:rPr>
      </w:pPr>
      <w:r w:rsidRPr="00986CAE">
        <w:rPr>
          <w:rFonts w:hAnsi="Times New Roman" w:ascii="Times New Roman"/>
          <w:b w:val="false"/>
        </w:rPr>
        <w:t xml:space="preserve">                                                                                                        Sudac</w:t>
      </w:r>
    </w:p>
    <w:p w:rsidRDefault="00EB25C0" w:rsidP="00EB25C0" w:rsidR="00EB25C0" w:rsidRPr="00986CAE">
      <w:pPr>
        <w:jc w:val="both"/>
        <w:rPr>
          <w:rFonts w:hAnsi="Times New Roman" w:ascii="Times New Roman"/>
          <w:b w:val="false"/>
        </w:rPr>
      </w:pPr>
      <w:r w:rsidRPr="00986CAE">
        <w:rPr>
          <w:rFonts w:hAnsi="Times New Roman" w:ascii="Times New Roman"/>
          <w:b w:val="false"/>
        </w:rPr>
        <w:t xml:space="preserve">                                                                                                 Vera Jelenović </w:t>
      </w:r>
    </w:p>
    <w:p w:rsidRDefault="00EB25C0" w:rsidP="00EB25C0" w:rsidR="00EB25C0" w:rsidRPr="00986CAE">
      <w:pPr>
        <w:rPr>
          <w:rFonts w:hAnsi="Times New Roman" w:ascii="Times New Roman"/>
          <w:b w:val="false"/>
        </w:rPr>
      </w:pPr>
    </w:p>
    <w:p w:rsidRDefault="00EB25C0" w:rsidP="00EB25C0" w:rsidR="00EB25C0" w:rsidRPr="00986CAE">
      <w:pPr>
        <w:rPr>
          <w:rFonts w:hAnsi="Times New Roman" w:ascii="Times New Roman"/>
          <w:b w:val="false"/>
        </w:rPr>
      </w:pPr>
      <w:r w:rsidRPr="00986CAE">
        <w:rPr>
          <w:rFonts w:hAnsi="Times New Roman" w:ascii="Times New Roman"/>
          <w:b w:val="false"/>
        </w:rPr>
        <w:t>UPUTA O PRAVNOM LIJEKU:</w:t>
      </w:r>
    </w:p>
    <w:p w:rsidRDefault="00EB25C0" w:rsidP="00EB25C0" w:rsidR="00EB25C0" w:rsidRPr="00986CAE">
      <w:pPr>
        <w:jc w:val="both"/>
        <w:rPr>
          <w:rFonts w:hAnsi="Times New Roman" w:ascii="Times New Roman"/>
          <w:b w:val="false"/>
        </w:rPr>
      </w:pPr>
      <w:r w:rsidRPr="00986CAE">
        <w:rPr>
          <w:rFonts w:hAnsi="Times New Roman" w:ascii="Times New Roman"/>
          <w:b w:val="false"/>
        </w:rPr>
        <w:tab/>
        <w:t>Protiv  ovog  rješenja nezadovoljna stranka može podnijeti žalbu u roku od 8 dana od   dana primitka istog. Žalba  se podnosi putem ovog  suda u tri  istovjetna primjerka, a o žalbi odlučuje Visoki trgovački sud  Republike  Hrvatske.</w:t>
      </w:r>
    </w:p>
    <w:p w:rsidRDefault="00EB25C0" w:rsidP="00EB25C0" w:rsidR="00EB25C0" w:rsidRPr="00986CAE">
      <w:pPr>
        <w:rPr>
          <w:rFonts w:hAnsi="Times New Roman" w:ascii="Times New Roman"/>
          <w:b w:val="false"/>
        </w:rPr>
      </w:pPr>
    </w:p>
    <w:p w:rsidRDefault="008535C0" w:rsidR="008535C0" w:rsidRPr="00986CAE">
      <w:pPr>
        <w:rPr>
          <w:rFonts w:hAnsi="Times New Roman" w:ascii="Times New Roman"/>
          <w:b w:val="false"/>
        </w:rPr>
      </w:pPr>
    </w:p>
    <w:p w:rsidRDefault="0013722A" w:rsidR="0013722A" w:rsidRPr="00986CAE">
      <w:pPr>
        <w:rPr>
          <w:rFonts w:hAnsi="Times New Roman" w:ascii="Times New Roman"/>
          <w:b w:val="false"/>
        </w:rPr>
      </w:pPr>
    </w:p>
    <w:p w:rsidRDefault="0013722A" w:rsidR="0013722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pPr>
        <w:rPr>
          <w:rFonts w:hAnsi="Times New Roman" w:ascii="Times New Roman"/>
          <w:b w:val="false"/>
        </w:rPr>
      </w:pPr>
    </w:p>
    <w:p w:rsidRDefault="001B4D5A" w:rsidR="001B4D5A" w:rsidRPr="00986CAE">
      <w:pPr>
        <w:rPr>
          <w:rFonts w:hAnsi="Times New Roman" w:ascii="Times New Roman"/>
          <w:b w:val="false"/>
        </w:rPr>
      </w:pPr>
    </w:p>
    <w:p w:rsidRDefault="008535C0" w:rsidR="008535C0" w:rsidRPr="00986CAE">
      <w:pPr>
        <w:rPr>
          <w:rFonts w:hAnsi="Times New Roman" w:ascii="Times New Roman"/>
          <w:b w:val="false"/>
        </w:rPr>
      </w:pPr>
      <w:r w:rsidRPr="00986CAE">
        <w:rPr>
          <w:rFonts w:hAnsi="Times New Roman" w:ascii="Times New Roman"/>
          <w:b w:val="false"/>
        </w:rPr>
        <w:t>DNA</w:t>
      </w:r>
    </w:p>
    <w:p w:rsidRDefault="00A707AB" w:rsidP="00A707AB" w:rsidR="00A707AB" w:rsidRPr="00986CAE">
      <w:pPr>
        <w:numPr>
          <w:ilvl w:val="0"/>
          <w:numId w:val="2"/>
        </w:numPr>
        <w:jc w:val="both"/>
        <w:rPr>
          <w:rFonts w:hAnsi="Times New Roman" w:ascii="Times New Roman"/>
          <w:b w:val="false"/>
        </w:rPr>
      </w:pPr>
      <w:r w:rsidRPr="00986CAE">
        <w:rPr>
          <w:rFonts w:hAnsi="Times New Roman" w:ascii="Times New Roman"/>
          <w:b w:val="false"/>
        </w:rPr>
        <w:t>podnositelju prijedloga</w:t>
      </w:r>
      <w:r w:rsidR="00986CAE">
        <w:rPr>
          <w:rFonts w:hAnsi="Times New Roman" w:ascii="Times New Roman"/>
          <w:b w:val="false"/>
        </w:rPr>
        <w:t xml:space="preserve"> uz rj. VTS RH</w:t>
      </w:r>
    </w:p>
    <w:p w:rsidRDefault="00A707AB" w:rsidP="00A707AB" w:rsidR="00A707AB" w:rsidRPr="00986CAE">
      <w:pPr>
        <w:numPr>
          <w:ilvl w:val="0"/>
          <w:numId w:val="2"/>
        </w:numPr>
        <w:jc w:val="both"/>
        <w:rPr>
          <w:rFonts w:hAnsi="Times New Roman" w:ascii="Times New Roman"/>
          <w:b w:val="false"/>
        </w:rPr>
      </w:pPr>
      <w:r w:rsidRPr="00986CAE">
        <w:rPr>
          <w:rFonts w:hAnsi="Times New Roman" w:ascii="Times New Roman"/>
          <w:b w:val="false"/>
        </w:rPr>
        <w:t>dužniku</w:t>
      </w:r>
      <w:r w:rsidR="00986CAE">
        <w:rPr>
          <w:rFonts w:hAnsi="Times New Roman" w:ascii="Times New Roman"/>
          <w:b w:val="false"/>
        </w:rPr>
        <w:t xml:space="preserve"> po pun. uz rj. VTS RH</w:t>
      </w:r>
    </w:p>
    <w:p w:rsidRDefault="00A707AB" w:rsidP="00A707AB" w:rsidR="00A707AB" w:rsidRPr="00986CAE">
      <w:pPr>
        <w:numPr>
          <w:ilvl w:val="0"/>
          <w:numId w:val="2"/>
        </w:numPr>
        <w:jc w:val="both"/>
        <w:rPr>
          <w:rFonts w:hAnsi="Times New Roman" w:ascii="Times New Roman"/>
          <w:b w:val="false"/>
        </w:rPr>
      </w:pPr>
      <w:r w:rsidRPr="00986CAE">
        <w:rPr>
          <w:rFonts w:hAnsi="Times New Roman" w:ascii="Times New Roman"/>
          <w:b w:val="false"/>
        </w:rPr>
        <w:t>e-Oglasna ploča</w:t>
      </w:r>
    </w:p>
    <w:p w:rsidRDefault="00B74B71" w:rsidP="00A707AB" w:rsidR="00B74B71" w:rsidRPr="00986CAE">
      <w:pPr>
        <w:numPr>
          <w:ilvl w:val="0"/>
          <w:numId w:val="2"/>
        </w:numPr>
        <w:jc w:val="both"/>
        <w:rPr>
          <w:rFonts w:hAnsi="Times New Roman" w:ascii="Times New Roman"/>
          <w:b w:val="false"/>
        </w:rPr>
      </w:pPr>
      <w:r w:rsidRPr="00986CAE">
        <w:rPr>
          <w:rFonts w:hAnsi="Times New Roman" w:ascii="Times New Roman"/>
          <w:b w:val="false"/>
        </w:rPr>
        <w:t xml:space="preserve">privremenom st. upravitelju </w:t>
      </w:r>
      <w:r w:rsidR="00986CAE">
        <w:rPr>
          <w:rFonts w:hAnsi="Times New Roman" w:ascii="Times New Roman"/>
          <w:b w:val="false"/>
        </w:rPr>
        <w:t>uz rj. VTS RH</w:t>
      </w:r>
    </w:p>
    <w:p w:rsidRDefault="00EC5B32" w:rsidR="008535C0" w:rsidRPr="00986CAE">
      <w:pPr>
        <w:rPr>
          <w:rFonts w:hAnsi="Times New Roman" w:ascii="Times New Roman"/>
          <w:b w:val="false"/>
        </w:rPr>
      </w:pPr>
      <w:r w:rsidRPr="00986CAE">
        <w:rPr>
          <w:rFonts w:hAnsi="Times New Roman" w:ascii="Times New Roman"/>
          <w:b w:val="false"/>
        </w:rPr>
        <w:t xml:space="preserve">Rijeka, </w:t>
      </w:r>
      <w:r w:rsidR="00986CAE">
        <w:rPr>
          <w:rFonts w:hAnsi="Times New Roman" w:ascii="Times New Roman"/>
          <w:b w:val="false"/>
        </w:rPr>
        <w:t xml:space="preserve">18. travnja </w:t>
      </w:r>
      <w:r w:rsidR="006111CB" w:rsidRPr="00986CAE">
        <w:rPr>
          <w:rFonts w:hAnsi="Times New Roman" w:ascii="Times New Roman"/>
          <w:b w:val="false"/>
        </w:rPr>
        <w:t>2017</w:t>
      </w:r>
      <w:r w:rsidRPr="00986CAE">
        <w:rPr>
          <w:rFonts w:hAnsi="Times New Roman" w:ascii="Times New Roman"/>
          <w:b w:val="false"/>
        </w:rPr>
        <w:t>.g.</w:t>
      </w:r>
    </w:p>
    <w:p w:rsidRDefault="00EC5B32" w:rsidR="00EC5B32" w:rsidRPr="00986CAE">
      <w:pPr>
        <w:jc w:val="center"/>
        <w:rPr>
          <w:rFonts w:hAnsi="Times New Roman" w:ascii="Times New Roman"/>
          <w:b w:val="false"/>
        </w:rPr>
      </w:pPr>
      <w:r w:rsidRPr="00986CAE">
        <w:rPr>
          <w:rFonts w:hAnsi="Times New Roman" w:ascii="Times New Roman"/>
          <w:b w:val="false"/>
        </w:rPr>
        <w:t xml:space="preserve">                                                                                </w:t>
      </w:r>
      <w:r w:rsidR="00A707AB" w:rsidRPr="00986CAE">
        <w:rPr>
          <w:rFonts w:hAnsi="Times New Roman" w:ascii="Times New Roman"/>
          <w:b w:val="false"/>
        </w:rPr>
        <w:t>S</w:t>
      </w:r>
      <w:r w:rsidRPr="00986CAE">
        <w:rPr>
          <w:rFonts w:hAnsi="Times New Roman" w:ascii="Times New Roman"/>
          <w:b w:val="false"/>
        </w:rPr>
        <w:t>udac</w:t>
      </w:r>
    </w:p>
    <w:p w:rsidRDefault="00EC5B32" w:rsidR="00EC5B32" w:rsidRPr="00986CAE">
      <w:pPr>
        <w:jc w:val="both"/>
        <w:rPr>
          <w:rFonts w:hAnsi="Times New Roman" w:ascii="Times New Roman"/>
          <w:b w:val="false"/>
        </w:rPr>
      </w:pPr>
      <w:r w:rsidRPr="00986CAE">
        <w:rPr>
          <w:rFonts w:hAnsi="Times New Roman" w:ascii="Times New Roman"/>
          <w:b w:val="false"/>
        </w:rPr>
        <w:t xml:space="preserve">                                                                                         </w:t>
      </w:r>
      <w:r w:rsidR="00AC31E5" w:rsidRPr="00986CAE">
        <w:rPr>
          <w:rFonts w:hAnsi="Times New Roman" w:ascii="Times New Roman"/>
          <w:b w:val="false"/>
        </w:rPr>
        <w:t xml:space="preserve">        </w:t>
      </w:r>
      <w:r w:rsidRPr="00986CAE">
        <w:rPr>
          <w:rFonts w:hAnsi="Times New Roman" w:ascii="Times New Roman"/>
          <w:b w:val="false"/>
        </w:rPr>
        <w:t xml:space="preserve">    Vera Jelenović</w:t>
      </w:r>
    </w:p>
    <w:p w:rsidRDefault="00EC5B32" w:rsidR="00EC5B32" w:rsidRPr="00986CAE">
      <w:pPr>
        <w:rPr>
          <w:rFonts w:hAnsi="Times New Roman" w:ascii="Times New Roman"/>
          <w:b w:val="false"/>
        </w:rPr>
      </w:pPr>
    </w:p>
    <w:sectPr w:rsidSect="00F222D9" w:rsidR="00EC5B32" w:rsidRPr="00986CA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3B44" w:rsidR="008A3B44">
      <w:r>
        <w:separator/>
      </w:r>
    </w:p>
  </w:endnote>
  <w:endnote w:id="0" w:type="continuationSeparator">
    <w:p w:rsidRDefault="008A3B44" w:rsidR="008A3B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4C3B" w:rsidR="006F4C3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4C3B" w:rsidR="006F4C3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4C3B" w:rsidR="006F4C3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38CE">
      <w:rPr>
        <w:rStyle w:val="Brojstranice"/>
        <w:noProof/>
      </w:rPr>
      <w:t>4</w:t>
    </w:r>
    <w:r>
      <w:rPr>
        <w:rStyle w:val="Brojstranice"/>
      </w:rPr>
      <w:fldChar w:fldCharType="end"/>
    </w:r>
  </w:p>
  <w:p w:rsidRDefault="006F4C3B" w:rsidR="006F4C3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3B44" w:rsidR="008A3B44">
      <w:r>
        <w:separator/>
      </w:r>
    </w:p>
  </w:footnote>
  <w:footnote w:id="0" w:type="continuationSeparator">
    <w:p w:rsidRDefault="008A3B44" w:rsidR="008A3B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4C3B" w:rsidP="000C53CE" w:rsidR="006F4C3B" w:rsidRPr="00BD1897">
    <w:pPr>
      <w:jc w:val="right"/>
      <w:rPr>
        <w:rFonts w:hAnsi="Times New Roman" w:ascii="Times New Roman"/>
        <w:b w:val="false"/>
      </w:rPr>
    </w:pPr>
    <w:r w:rsidRPr="00BD1897">
      <w:rPr>
        <w:rFonts w:hAnsi="Times New Roman" w:ascii="Times New Roman"/>
        <w:b w:val="false"/>
      </w:rPr>
      <w:t xml:space="preserve">        </w:t>
    </w:r>
    <w:r w:rsidRPr="00BD1897">
      <w:rPr>
        <w:rFonts w:hAnsi="Times New Roman" w:ascii="Times New Roman"/>
        <w:b w:val="false"/>
      </w:rPr>
      <w:tab/>
    </w:r>
    <w:r w:rsidRPr="00BD1897">
      <w:rPr>
        <w:rFonts w:hAnsi="Times New Roman" w:ascii="Times New Roman"/>
        <w:b w:val="false"/>
      </w:rPr>
      <w:tab/>
    </w:r>
    <w:r w:rsidRPr="00BD1897">
      <w:rPr>
        <w:rFonts w:hAnsi="Times New Roman" w:ascii="Times New Roman"/>
        <w:b w:val="false"/>
      </w:rPr>
      <w:tab/>
    </w:r>
    <w:r w:rsidRPr="00BD1897">
      <w:rPr>
        <w:rFonts w:hAnsi="Times New Roman" w:ascii="Times New Roman"/>
        <w:b w:val="false"/>
      </w:rPr>
      <w:tab/>
    </w:r>
    <w:r w:rsidRPr="00BD1897">
      <w:rPr>
        <w:rFonts w:hAnsi="Times New Roman" w:ascii="Times New Roman"/>
        <w:b w:val="false"/>
      </w:rPr>
      <w:tab/>
    </w:r>
    <w:r w:rsidRPr="00BD1897">
      <w:rPr>
        <w:rFonts w:hAnsi="Times New Roman" w:ascii="Times New Roman"/>
        <w:b w:val="false"/>
      </w:rPr>
      <w:tab/>
    </w:r>
    <w:r w:rsidRPr="00BD1897">
      <w:rPr>
        <w:rFonts w:hAnsi="Times New Roman" w:ascii="Times New Roman"/>
        <w:b w:val="false"/>
      </w:rPr>
      <w:tab/>
    </w:r>
    <w:r w:rsidRPr="00BD1897">
      <w:rPr>
        <w:rFonts w:hAnsi="Times New Roman" w:ascii="Times New Roman"/>
        <w:b w:val="false"/>
      </w:rPr>
      <w:tab/>
      <w:t>Posl.br. 14 St-</w:t>
    </w:r>
    <w:r w:rsidR="008A72FA">
      <w:rPr>
        <w:rFonts w:hAnsi="Times New Roman" w:ascii="Times New Roman"/>
        <w:b w:val="false"/>
      </w:rPr>
      <w:t>800</w:t>
    </w:r>
    <w:r w:rsidR="00A707AB">
      <w:rPr>
        <w:rFonts w:hAnsi="Times New Roman" w:ascii="Times New Roman"/>
        <w:b w:val="false"/>
      </w:rPr>
      <w:t>/201</w:t>
    </w:r>
    <w:r w:rsidR="00FB54DE">
      <w:rPr>
        <w:rFonts w:hAnsi="Times New Roman" w:ascii="Times New Roman"/>
        <w:b w:val="false"/>
      </w:rPr>
      <w:t>6</w:t>
    </w:r>
  </w:p>
  <w:p w:rsidRDefault="006F4C3B" w:rsidR="006F4C3B" w:rsidRPr="00BD1897">
    <w:pPr>
      <w:pStyle w:val="Zaglavlje"/>
      <w:rPr>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B7612B4"/>
    <w:multiLevelType w:val="hybridMultilevel"/>
    <w:tmpl w:val="1598AB72"/>
    <w:lvl w:tplc="E80007E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E232E9"/>
    <w:multiLevelType w:val="hybridMultilevel"/>
    <w:tmpl w:val="F3907CD2"/>
    <w:lvl w:tplc="AEB85AA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636"/>
    <w:rsid w:val="000117F8"/>
    <w:rsid w:val="00011D2C"/>
    <w:rsid w:val="00013DEE"/>
    <w:rsid w:val="00015CED"/>
    <w:rsid w:val="000167C8"/>
    <w:rsid w:val="00017D8C"/>
    <w:rsid w:val="000219BB"/>
    <w:rsid w:val="00022408"/>
    <w:rsid w:val="000249BE"/>
    <w:rsid w:val="00027126"/>
    <w:rsid w:val="000275F6"/>
    <w:rsid w:val="00030CEC"/>
    <w:rsid w:val="00032989"/>
    <w:rsid w:val="0003330A"/>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0F2"/>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062"/>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159A"/>
    <w:rsid w:val="00122FD5"/>
    <w:rsid w:val="00123754"/>
    <w:rsid w:val="00123E13"/>
    <w:rsid w:val="00126080"/>
    <w:rsid w:val="00126B16"/>
    <w:rsid w:val="00127D19"/>
    <w:rsid w:val="001305BD"/>
    <w:rsid w:val="00130FF7"/>
    <w:rsid w:val="0013181A"/>
    <w:rsid w:val="00131BFB"/>
    <w:rsid w:val="00131F68"/>
    <w:rsid w:val="001330E9"/>
    <w:rsid w:val="001335C6"/>
    <w:rsid w:val="00133C88"/>
    <w:rsid w:val="00133E3C"/>
    <w:rsid w:val="00134950"/>
    <w:rsid w:val="00135F48"/>
    <w:rsid w:val="0013722A"/>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4D5A"/>
    <w:rsid w:val="001B63CC"/>
    <w:rsid w:val="001C152F"/>
    <w:rsid w:val="001C2C82"/>
    <w:rsid w:val="001C2E73"/>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0F74"/>
    <w:rsid w:val="00216BBD"/>
    <w:rsid w:val="00221B84"/>
    <w:rsid w:val="00222C53"/>
    <w:rsid w:val="002247EB"/>
    <w:rsid w:val="00226D90"/>
    <w:rsid w:val="0022792A"/>
    <w:rsid w:val="00231324"/>
    <w:rsid w:val="00231C8B"/>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5E0B"/>
    <w:rsid w:val="002E6400"/>
    <w:rsid w:val="002F0DA4"/>
    <w:rsid w:val="002F1954"/>
    <w:rsid w:val="002F2077"/>
    <w:rsid w:val="002F312A"/>
    <w:rsid w:val="002F396E"/>
    <w:rsid w:val="002F4F52"/>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29FC"/>
    <w:rsid w:val="003443CA"/>
    <w:rsid w:val="00347D67"/>
    <w:rsid w:val="00350E3D"/>
    <w:rsid w:val="00351350"/>
    <w:rsid w:val="003529DD"/>
    <w:rsid w:val="003540C6"/>
    <w:rsid w:val="003553E9"/>
    <w:rsid w:val="00355EBC"/>
    <w:rsid w:val="003561B9"/>
    <w:rsid w:val="003564EF"/>
    <w:rsid w:val="00357987"/>
    <w:rsid w:val="003605AF"/>
    <w:rsid w:val="00360C05"/>
    <w:rsid w:val="00363A0E"/>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979FC"/>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1389"/>
    <w:rsid w:val="003D4329"/>
    <w:rsid w:val="003D5BDE"/>
    <w:rsid w:val="003D6A26"/>
    <w:rsid w:val="003E3737"/>
    <w:rsid w:val="003E5377"/>
    <w:rsid w:val="003E6357"/>
    <w:rsid w:val="003F0440"/>
    <w:rsid w:val="003F17A0"/>
    <w:rsid w:val="003F2A7B"/>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048"/>
    <w:rsid w:val="004201BC"/>
    <w:rsid w:val="00420333"/>
    <w:rsid w:val="00421BF8"/>
    <w:rsid w:val="00423B77"/>
    <w:rsid w:val="00424275"/>
    <w:rsid w:val="0042577C"/>
    <w:rsid w:val="0042654B"/>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2D32"/>
    <w:rsid w:val="0045300F"/>
    <w:rsid w:val="00454B90"/>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2B1F"/>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34B"/>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230F"/>
    <w:rsid w:val="005A3FD7"/>
    <w:rsid w:val="005A49AC"/>
    <w:rsid w:val="005B1E3E"/>
    <w:rsid w:val="005B236F"/>
    <w:rsid w:val="005B65A4"/>
    <w:rsid w:val="005C06A3"/>
    <w:rsid w:val="005C1F05"/>
    <w:rsid w:val="005C5E9A"/>
    <w:rsid w:val="005D05AF"/>
    <w:rsid w:val="005D0FF7"/>
    <w:rsid w:val="005D11B5"/>
    <w:rsid w:val="005D12C7"/>
    <w:rsid w:val="005D183E"/>
    <w:rsid w:val="005D2270"/>
    <w:rsid w:val="005D45D2"/>
    <w:rsid w:val="005D494F"/>
    <w:rsid w:val="005D5529"/>
    <w:rsid w:val="005D6517"/>
    <w:rsid w:val="005D6A35"/>
    <w:rsid w:val="005D754D"/>
    <w:rsid w:val="005D77C1"/>
    <w:rsid w:val="005E0B37"/>
    <w:rsid w:val="005E3063"/>
    <w:rsid w:val="005E38E3"/>
    <w:rsid w:val="005E6BDA"/>
    <w:rsid w:val="005F1117"/>
    <w:rsid w:val="005F3980"/>
    <w:rsid w:val="00601454"/>
    <w:rsid w:val="006021E3"/>
    <w:rsid w:val="00602CDA"/>
    <w:rsid w:val="006062EF"/>
    <w:rsid w:val="00606DBA"/>
    <w:rsid w:val="0060712E"/>
    <w:rsid w:val="006111CB"/>
    <w:rsid w:val="00611300"/>
    <w:rsid w:val="00611D05"/>
    <w:rsid w:val="0061276B"/>
    <w:rsid w:val="006138E0"/>
    <w:rsid w:val="006163BE"/>
    <w:rsid w:val="00616577"/>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677F6"/>
    <w:rsid w:val="00670603"/>
    <w:rsid w:val="00673195"/>
    <w:rsid w:val="00676025"/>
    <w:rsid w:val="00676E46"/>
    <w:rsid w:val="00677738"/>
    <w:rsid w:val="0068001D"/>
    <w:rsid w:val="00686925"/>
    <w:rsid w:val="0068766D"/>
    <w:rsid w:val="00691A3B"/>
    <w:rsid w:val="00694D45"/>
    <w:rsid w:val="006A1085"/>
    <w:rsid w:val="006A339A"/>
    <w:rsid w:val="006A3D66"/>
    <w:rsid w:val="006A429E"/>
    <w:rsid w:val="006A460F"/>
    <w:rsid w:val="006A52AD"/>
    <w:rsid w:val="006A5D29"/>
    <w:rsid w:val="006A5FED"/>
    <w:rsid w:val="006A7848"/>
    <w:rsid w:val="006B0AF5"/>
    <w:rsid w:val="006B0F67"/>
    <w:rsid w:val="006B123B"/>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0FB9"/>
    <w:rsid w:val="006E159C"/>
    <w:rsid w:val="006E190A"/>
    <w:rsid w:val="006E1977"/>
    <w:rsid w:val="006E3759"/>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6AC"/>
    <w:rsid w:val="00745F15"/>
    <w:rsid w:val="007516D4"/>
    <w:rsid w:val="00751C91"/>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30B0"/>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4B4"/>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1082"/>
    <w:rsid w:val="0085224C"/>
    <w:rsid w:val="008524CF"/>
    <w:rsid w:val="00853182"/>
    <w:rsid w:val="008535C0"/>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38CE"/>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3B44"/>
    <w:rsid w:val="008A41E8"/>
    <w:rsid w:val="008A4A58"/>
    <w:rsid w:val="008A59FB"/>
    <w:rsid w:val="008A6819"/>
    <w:rsid w:val="008A72FA"/>
    <w:rsid w:val="008A7C43"/>
    <w:rsid w:val="008A7DF4"/>
    <w:rsid w:val="008B0003"/>
    <w:rsid w:val="008B2816"/>
    <w:rsid w:val="008B383C"/>
    <w:rsid w:val="008B3E11"/>
    <w:rsid w:val="008B50AE"/>
    <w:rsid w:val="008B6023"/>
    <w:rsid w:val="008C2659"/>
    <w:rsid w:val="008C2E2E"/>
    <w:rsid w:val="008C4A6E"/>
    <w:rsid w:val="008C58DC"/>
    <w:rsid w:val="008C5AC4"/>
    <w:rsid w:val="008D0E75"/>
    <w:rsid w:val="008D1FCC"/>
    <w:rsid w:val="008D3259"/>
    <w:rsid w:val="008D4159"/>
    <w:rsid w:val="008E1213"/>
    <w:rsid w:val="008E4430"/>
    <w:rsid w:val="008E4568"/>
    <w:rsid w:val="008E4695"/>
    <w:rsid w:val="008E4896"/>
    <w:rsid w:val="008E6BF1"/>
    <w:rsid w:val="008F10EA"/>
    <w:rsid w:val="008F11FB"/>
    <w:rsid w:val="008F30C1"/>
    <w:rsid w:val="008F349C"/>
    <w:rsid w:val="008F4216"/>
    <w:rsid w:val="008F6B7C"/>
    <w:rsid w:val="008F7ADE"/>
    <w:rsid w:val="009010F1"/>
    <w:rsid w:val="00901D18"/>
    <w:rsid w:val="009022B9"/>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0CCD"/>
    <w:rsid w:val="0095217B"/>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6CAE"/>
    <w:rsid w:val="0098713D"/>
    <w:rsid w:val="00990011"/>
    <w:rsid w:val="00990A74"/>
    <w:rsid w:val="009967D2"/>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B57"/>
    <w:rsid w:val="009E4FD9"/>
    <w:rsid w:val="009E51BF"/>
    <w:rsid w:val="009E6156"/>
    <w:rsid w:val="009F04E1"/>
    <w:rsid w:val="009F36E4"/>
    <w:rsid w:val="009F4CD6"/>
    <w:rsid w:val="009F7820"/>
    <w:rsid w:val="00A00227"/>
    <w:rsid w:val="00A025D8"/>
    <w:rsid w:val="00A06586"/>
    <w:rsid w:val="00A06A13"/>
    <w:rsid w:val="00A06A71"/>
    <w:rsid w:val="00A06ECC"/>
    <w:rsid w:val="00A07C7C"/>
    <w:rsid w:val="00A10373"/>
    <w:rsid w:val="00A10798"/>
    <w:rsid w:val="00A11A29"/>
    <w:rsid w:val="00A11CCE"/>
    <w:rsid w:val="00A13468"/>
    <w:rsid w:val="00A1352E"/>
    <w:rsid w:val="00A163F4"/>
    <w:rsid w:val="00A2272F"/>
    <w:rsid w:val="00A22D64"/>
    <w:rsid w:val="00A26323"/>
    <w:rsid w:val="00A26EDE"/>
    <w:rsid w:val="00A3150D"/>
    <w:rsid w:val="00A322A5"/>
    <w:rsid w:val="00A32A36"/>
    <w:rsid w:val="00A32A93"/>
    <w:rsid w:val="00A32ED5"/>
    <w:rsid w:val="00A33652"/>
    <w:rsid w:val="00A342C6"/>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7A6"/>
    <w:rsid w:val="00A62740"/>
    <w:rsid w:val="00A62C1E"/>
    <w:rsid w:val="00A63236"/>
    <w:rsid w:val="00A64A24"/>
    <w:rsid w:val="00A65E24"/>
    <w:rsid w:val="00A65E26"/>
    <w:rsid w:val="00A707AB"/>
    <w:rsid w:val="00A71752"/>
    <w:rsid w:val="00A74A17"/>
    <w:rsid w:val="00A7562A"/>
    <w:rsid w:val="00A763C1"/>
    <w:rsid w:val="00A81A0D"/>
    <w:rsid w:val="00A83B6A"/>
    <w:rsid w:val="00A8598B"/>
    <w:rsid w:val="00A859F7"/>
    <w:rsid w:val="00A85B53"/>
    <w:rsid w:val="00A91459"/>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3912"/>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E7BC4"/>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4B71"/>
    <w:rsid w:val="00B758A4"/>
    <w:rsid w:val="00B75CD5"/>
    <w:rsid w:val="00B770E6"/>
    <w:rsid w:val="00B805C5"/>
    <w:rsid w:val="00B80B19"/>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897"/>
    <w:rsid w:val="00BD19F2"/>
    <w:rsid w:val="00BD37AB"/>
    <w:rsid w:val="00BD6CCE"/>
    <w:rsid w:val="00BD7E3D"/>
    <w:rsid w:val="00BE028F"/>
    <w:rsid w:val="00BE0400"/>
    <w:rsid w:val="00BE0D1E"/>
    <w:rsid w:val="00BE14E5"/>
    <w:rsid w:val="00BE2F53"/>
    <w:rsid w:val="00BE376E"/>
    <w:rsid w:val="00BE3D8E"/>
    <w:rsid w:val="00BF3411"/>
    <w:rsid w:val="00BF43AA"/>
    <w:rsid w:val="00BF4E06"/>
    <w:rsid w:val="00BF50C7"/>
    <w:rsid w:val="00C001D1"/>
    <w:rsid w:val="00C04324"/>
    <w:rsid w:val="00C046EF"/>
    <w:rsid w:val="00C067A4"/>
    <w:rsid w:val="00C106C4"/>
    <w:rsid w:val="00C12ACF"/>
    <w:rsid w:val="00C13BB9"/>
    <w:rsid w:val="00C153C5"/>
    <w:rsid w:val="00C155D6"/>
    <w:rsid w:val="00C15B64"/>
    <w:rsid w:val="00C16A2B"/>
    <w:rsid w:val="00C16D4D"/>
    <w:rsid w:val="00C1733C"/>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ED"/>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B16"/>
    <w:rsid w:val="00CC6E7D"/>
    <w:rsid w:val="00CD0A77"/>
    <w:rsid w:val="00CD0BA8"/>
    <w:rsid w:val="00CD24DE"/>
    <w:rsid w:val="00CD288B"/>
    <w:rsid w:val="00CD4F57"/>
    <w:rsid w:val="00CD739C"/>
    <w:rsid w:val="00CE2188"/>
    <w:rsid w:val="00CE3004"/>
    <w:rsid w:val="00CE316B"/>
    <w:rsid w:val="00CE3A5C"/>
    <w:rsid w:val="00CE5999"/>
    <w:rsid w:val="00CF1A65"/>
    <w:rsid w:val="00CF2F9A"/>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130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B756C"/>
    <w:rsid w:val="00DC143B"/>
    <w:rsid w:val="00DC4FB1"/>
    <w:rsid w:val="00DC59E9"/>
    <w:rsid w:val="00DC73CF"/>
    <w:rsid w:val="00DD05A6"/>
    <w:rsid w:val="00DD299E"/>
    <w:rsid w:val="00DD50DF"/>
    <w:rsid w:val="00DE017E"/>
    <w:rsid w:val="00DE2397"/>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49E7"/>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A6FAF"/>
    <w:rsid w:val="00EB09F4"/>
    <w:rsid w:val="00EB25C0"/>
    <w:rsid w:val="00EB2E7B"/>
    <w:rsid w:val="00EB2F8E"/>
    <w:rsid w:val="00EB34F2"/>
    <w:rsid w:val="00EB3DE3"/>
    <w:rsid w:val="00EC0B75"/>
    <w:rsid w:val="00EC2774"/>
    <w:rsid w:val="00EC4219"/>
    <w:rsid w:val="00EC48A1"/>
    <w:rsid w:val="00EC4FAB"/>
    <w:rsid w:val="00EC5B32"/>
    <w:rsid w:val="00ED1598"/>
    <w:rsid w:val="00ED3CC2"/>
    <w:rsid w:val="00ED3D09"/>
    <w:rsid w:val="00ED5741"/>
    <w:rsid w:val="00EE1BB9"/>
    <w:rsid w:val="00EE3552"/>
    <w:rsid w:val="00EE3578"/>
    <w:rsid w:val="00EE46A8"/>
    <w:rsid w:val="00EE4D7A"/>
    <w:rsid w:val="00EE4ED3"/>
    <w:rsid w:val="00EE5489"/>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15AD"/>
    <w:rsid w:val="00F95EEB"/>
    <w:rsid w:val="00F9619B"/>
    <w:rsid w:val="00F966E1"/>
    <w:rsid w:val="00F97515"/>
    <w:rsid w:val="00FA040C"/>
    <w:rsid w:val="00FA0AE0"/>
    <w:rsid w:val="00FA1695"/>
    <w:rsid w:val="00FA290C"/>
    <w:rsid w:val="00FA363D"/>
    <w:rsid w:val="00FA5FDA"/>
    <w:rsid w:val="00FA7C0C"/>
    <w:rsid w:val="00FB07D9"/>
    <w:rsid w:val="00FB0B4B"/>
    <w:rsid w:val="00FB2074"/>
    <w:rsid w:val="00FB283B"/>
    <w:rsid w:val="00FB2ADC"/>
    <w:rsid w:val="00FB330A"/>
    <w:rsid w:val="00FB5396"/>
    <w:rsid w:val="00FB54DE"/>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ekstbalonia" w:type="paragraph">
    <w:name w:val="Balloon Text"/>
    <w:basedOn w:val="Normal"/>
    <w:link w:val="TekstbaloniaChar"/>
    <w:rsid w:val="0013722A"/>
    <w:rPr>
      <w:rFonts w:cs="Tahoma" w:hAnsi="Tahoma" w:ascii="Tahoma"/>
      <w:sz w:val="16"/>
      <w:szCs w:val="16"/>
    </w:rPr>
  </w:style>
  <w:style w:customStyle="true" w:styleId="TekstbaloniaChar" w:type="character">
    <w:name w:val="Tekst balončića Char"/>
    <w:basedOn w:val="Zadanifontodlomka"/>
    <w:link w:val="Tekstbalonia"/>
    <w:rsid w:val="0013722A"/>
    <w:rPr>
      <w:rFonts w:cs="Tahoma" w:hAnsi="Tahoma" w:ascii="Tahoma"/>
      <w:b/>
      <w:sz w:val="16"/>
      <w:szCs w:val="16"/>
      <w:lang w:eastAsia="en-US"/>
    </w:rPr>
  </w:style>
  <w:style w:styleId="Odlomakpopisa" w:type="paragraph">
    <w:name w:val="List Paragraph"/>
    <w:basedOn w:val="Normal"/>
    <w:uiPriority w:val="34"/>
    <w:qFormat/>
    <w:rsid w:val="00EB25C0"/>
    <w:pPr>
      <w:ind w:left="720"/>
      <w:contextualSpacing/>
    </w:pPr>
    <w:rPr>
      <w:rFonts w:hAnsi="Times New Roman" w:ascii="Times New Roman"/>
      <w:b w:val="false"/>
      <w:lang w:eastAsia="hr-HR"/>
    </w:rPr>
  </w:style>
  <w:style w:styleId="Tekstrezerviranogmjesta" w:type="character">
    <w:name w:val="Placeholder Text"/>
    <w:basedOn w:val="Zadanifontodlomka"/>
    <w:uiPriority w:val="99"/>
    <w:semiHidden/>
    <w:rsid w:val="008838CE"/>
    <w:rPr>
      <w:color w:val="808080"/>
      <w:bdr w:space="0" w:sz="0" w:color="auto" w:val="none"/>
      <w:shd w:fill="auto" w:color="auto" w:val="clear"/>
    </w:rPr>
  </w:style>
  <w:style w:customStyle="true" w:styleId="eSPISCCParagraphDefaultFont" w:type="character">
    <w:name w:val="eSPIS_CC_Paragraph Default Font"/>
    <w:basedOn w:val="Zadanifontodlomka"/>
    <w:rsid w:val="008838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38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838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38C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838C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ekstbalonia" w:type="paragraph">
    <w:name w:val="Balloon Text"/>
    <w:basedOn w:val="Normal"/>
    <w:link w:val="TekstbaloniaChar"/>
    <w:rsid w:val="0013722A"/>
    <w:rPr>
      <w:rFonts w:ascii="Tahoma" w:cs="Tahoma" w:hAnsi="Tahoma"/>
      <w:sz w:val="16"/>
      <w:szCs w:val="16"/>
    </w:rPr>
  </w:style>
  <w:style w:customStyle="1" w:styleId="TekstbaloniaChar" w:type="character">
    <w:name w:val="Tekst balončića Char"/>
    <w:basedOn w:val="Zadanifontodlomka"/>
    <w:link w:val="Tekstbalonia"/>
    <w:rsid w:val="0013722A"/>
    <w:rPr>
      <w:rFonts w:ascii="Tahoma" w:cs="Tahoma" w:hAnsi="Tahoma"/>
      <w:b/>
      <w:sz w:val="16"/>
      <w:szCs w:val="16"/>
      <w:lang w:eastAsia="en-US"/>
    </w:rPr>
  </w:style>
  <w:style w:styleId="Odlomakpopisa" w:type="paragraph">
    <w:name w:val="List Paragraph"/>
    <w:basedOn w:val="Normal"/>
    <w:uiPriority w:val="34"/>
    <w:qFormat/>
    <w:rsid w:val="00EB25C0"/>
    <w:pPr>
      <w:ind w:left="720"/>
      <w:contextualSpacing/>
    </w:pPr>
    <w:rPr>
      <w:rFonts w:ascii="Times New Roman" w:hAnsi="Times New Roman"/>
      <w:b w:val="0"/>
      <w:lang w:eastAsia="hr-HR"/>
    </w:rPr>
  </w:style>
  <w:style w:styleId="Tekstrezerviranogmjesta" w:type="character">
    <w:name w:val="Placeholder Text"/>
    <w:basedOn w:val="Zadanifontodlomka"/>
    <w:uiPriority w:val="99"/>
    <w:semiHidden/>
    <w:rsid w:val="008838CE"/>
    <w:rPr>
      <w:color w:val="808080"/>
      <w:bdr w:color="auto" w:space="0" w:sz="0" w:val="none"/>
      <w:shd w:color="auto" w:fill="auto" w:val="clear"/>
    </w:rPr>
  </w:style>
  <w:style w:customStyle="1" w:styleId="eSPISCCParagraphDefaultFont" w:type="character">
    <w:name w:val="eSPIS_CC_Paragraph Default Font"/>
    <w:basedOn w:val="Zadanifontodlomka"/>
    <w:rsid w:val="008838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38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838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38C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838C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956862">
      <w:bodyDiv w:val="true"/>
      <w:marLeft w:val="0"/>
      <w:marRight w:val="0"/>
      <w:marTop w:val="0"/>
      <w:marBottom w:val="0"/>
      <w:divBdr>
        <w:top w:space="0" w:sz="0" w:color="auto" w:val="none"/>
        <w:left w:space="0" w:sz="0" w:color="auto" w:val="none"/>
        <w:bottom w:space="0" w:sz="0" w:color="auto" w:val="none"/>
        <w:right w:space="0" w:sz="0" w:color="auto" w:val="none"/>
      </w:divBdr>
    </w:div>
    <w:div w:id="772475558">
      <w:bodyDiv w:val="true"/>
      <w:marLeft w:val="0"/>
      <w:marRight w:val="0"/>
      <w:marTop w:val="0"/>
      <w:marBottom w:val="0"/>
      <w:divBdr>
        <w:top w:space="0" w:sz="0" w:color="auto" w:val="none"/>
        <w:left w:space="0" w:sz="0" w:color="auto" w:val="none"/>
        <w:bottom w:space="0" w:sz="0" w:color="auto" w:val="none"/>
        <w:right w:space="0" w:sz="0" w:color="auto" w:val="none"/>
      </w:divBdr>
    </w:div>
    <w:div w:id="1448161248">
      <w:bodyDiv w:val="true"/>
      <w:marLeft w:val="0"/>
      <w:marRight w:val="0"/>
      <w:marTop w:val="0"/>
      <w:marBottom w:val="0"/>
      <w:divBdr>
        <w:top w:space="0" w:sz="0" w:color="auto" w:val="none"/>
        <w:left w:space="0" w:sz="0" w:color="auto" w:val="none"/>
        <w:bottom w:space="0" w:sz="0" w:color="auto" w:val="none"/>
        <w:right w:space="0" w:sz="0" w:color="auto" w:val="none"/>
      </w:divBdr>
    </w:div>
    <w:div w:id="1560903333">
      <w:bodyDiv w:val="true"/>
      <w:marLeft w:val="0"/>
      <w:marRight w:val="0"/>
      <w:marTop w:val="0"/>
      <w:marBottom w:val="0"/>
      <w:divBdr>
        <w:top w:space="0" w:sz="0" w:color="auto" w:val="none"/>
        <w:left w:space="0" w:sz="0" w:color="auto" w:val="none"/>
        <w:bottom w:space="0" w:sz="0" w:color="auto" w:val="none"/>
        <w:right w:space="0" w:sz="0" w:color="auto" w:val="none"/>
      </w:divBdr>
    </w:div>
    <w:div w:id="1612394515">
      <w:bodyDiv w:val="true"/>
      <w:marLeft w:val="0"/>
      <w:marRight w:val="0"/>
      <w:marTop w:val="0"/>
      <w:marBottom w:val="0"/>
      <w:divBdr>
        <w:top w:space="0" w:sz="0" w:color="auto" w:val="none"/>
        <w:left w:space="0" w:sz="0" w:color="auto" w:val="none"/>
        <w:bottom w:space="0" w:sz="0" w:color="auto" w:val="none"/>
        <w:right w:space="0" w:sz="0" w:color="auto" w:val="none"/>
      </w:divBdr>
    </w:div>
    <w:div w:id="1738353989">
      <w:bodyDiv w:val="true"/>
      <w:marLeft w:val="0"/>
      <w:marRight w:val="0"/>
      <w:marTop w:val="0"/>
      <w:marBottom w:val="0"/>
      <w:divBdr>
        <w:top w:space="0" w:sz="0" w:color="auto" w:val="none"/>
        <w:left w:space="0" w:sz="0" w:color="auto" w:val="none"/>
        <w:bottom w:space="0" w:sz="0" w:color="auto" w:val="none"/>
        <w:right w:space="0" w:sz="0" w:color="auto" w:val="none"/>
      </w:divBdr>
    </w:div>
    <w:div w:id="18335246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St-800/2016</izvorni_sadrzaj>
    <derivirana_varijabla naziv="DomainObject.Predmet.OznakaBroj_1">St-800/2016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ARX d.o.o.</izvorni_sadrzaj>
    <derivirana_varijabla naziv="DomainObject.Predmet.ProtustrankaFormated_1">  ADRIA ARX d.o.o.</derivirana_varijabla>
  </DomainObject.Predmet.ProtustrankaFormated>
  <DomainObject.Predmet.ProtustrankaFormatedOIB>
    <izvorni_sadrzaj>  ADRIA ARX d.o.o., OIB 44308591845</izvorni_sadrzaj>
    <derivirana_varijabla naziv="DomainObject.Predmet.ProtustrankaFormatedOIB_1">  ADRIA ARX d.o.o., OIB 44308591845</derivirana_varijabla>
  </DomainObject.Predmet.ProtustrankaFormatedOIB>
  <DomainObject.Predmet.ProtustrankaFormatedWithAdress>
    <izvorni_sadrzaj> ADRIA ARX d.o.o., Zvonimirova 18, 51000 Rijeka</izvorni_sadrzaj>
    <derivirana_varijabla naziv="DomainObject.Predmet.ProtustrankaFormatedWithAdress_1"> ADRIA ARX d.o.o., Zvonimirova 18, 51000 Rijeka</derivirana_varijabla>
  </DomainObject.Predmet.ProtustrankaFormatedWithAdress>
  <DomainObject.Predmet.ProtustrankaFormatedWithAdressOIB>
    <izvorni_sadrzaj> ADRIA ARX d.o.o., OIB 44308591845, Zvonimirova 18, 51000 Rijeka</izvorni_sadrzaj>
    <derivirana_varijabla naziv="DomainObject.Predmet.ProtustrankaFormatedWithAdressOIB_1"> ADRIA ARX d.o.o., OIB 44308591845, Zvonimirova 18, 51000 Rijeka</derivirana_varijabla>
  </DomainObject.Predmet.ProtustrankaFormatedWithAdressOIB>
  <DomainObject.Predmet.ProtustrankaWithAdress>
    <izvorni_sadrzaj>ADRIA ARX d.o.o. Zvonimirova 18, 51000 Rijeka</izvorni_sadrzaj>
    <derivirana_varijabla naziv="DomainObject.Predmet.ProtustrankaWithAdress_1">ADRIA ARX d.o.o. Zvonimirova 18, 51000 Rijeka</derivirana_varijabla>
  </DomainObject.Predmet.ProtustrankaWithAdress>
  <DomainObject.Predmet.ProtustrankaWithAdressOIB>
    <izvorni_sadrzaj>ADRIA ARX d.o.o., OIB 44308591845, Zvonimirova 18, 51000 Rijeka</izvorni_sadrzaj>
    <derivirana_varijabla naziv="DomainObject.Predmet.ProtustrankaWithAdressOIB_1">ADRIA ARX d.o.o., OIB 44308591845, Zvonimirova 18, 51000 Rijeka</derivirana_varijabla>
  </DomainObject.Predmet.ProtustrankaWithAdressOIB>
  <DomainObject.Predmet.ProtustrankaNazivFormated>
    <izvorni_sadrzaj>ADRIA ARX d.o.o.</izvorni_sadrzaj>
    <derivirana_varijabla naziv="DomainObject.Predmet.ProtustrankaNazivFormated_1">ADRIA ARX d.o.o.</derivirana_varijabla>
  </DomainObject.Predmet.ProtustrankaNazivFormated>
  <DomainObject.Predmet.ProtustrankaNazivFormatedOIB>
    <izvorni_sadrzaj>ADRIA ARX d.o.o., OIB 44308591845</izvorni_sadrzaj>
    <derivirana_varijabla naziv="DomainObject.Predmet.ProtustrankaNazivFormatedOIB_1">ADRIA ARX d.o.o., OIB 44308591845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ARX d.o.o.</item>
    </izvorni_sadrzaj>
    <derivirana_varijabla naziv="DomainObject.Predmet.ProtuStrankaListFormated_1">
      <item>ADRIA ARX d.o.o.</item>
    </derivirana_varijabla>
  </DomainObject.Predmet.ProtuStrankaListFormated>
  <DomainObject.Predmet.ProtuStrankaListFormatedOIB>
    <izvorni_sadrzaj>
      <item>ADRIA ARX d.o.o., OIB 44308591845</item>
    </izvorni_sadrzaj>
    <derivirana_varijabla naziv="DomainObject.Predmet.ProtuStrankaListFormatedOIB_1">
      <item>ADRIA ARX d.o.o., OIB 44308591845</item>
    </derivirana_varijabla>
  </DomainObject.Predmet.ProtuStrankaListFormatedOIB>
  <DomainObject.Predmet.ProtuStrankaListFormatedWithAdress>
    <izvorni_sadrzaj>
      <item>ADRIA ARX d.o.o., Zvonimirova 18, 51000 Rijeka</item>
    </izvorni_sadrzaj>
    <derivirana_varijabla naziv="DomainObject.Predmet.ProtuStrankaListFormatedWithAdress_1">
      <item>ADRIA ARX d.o.o., Zvonimirova 18, 51000 Rijeka</item>
    </derivirana_varijabla>
  </DomainObject.Predmet.ProtuStrankaListFormatedWithAdress>
  <DomainObject.Predmet.ProtuStrankaListFormatedWithAdressOIB>
    <izvorni_sadrzaj>
      <item>ADRIA ARX d.o.o., OIB 44308591845, Zvonimirova 18, 51000 Rijeka</item>
    </izvorni_sadrzaj>
    <derivirana_varijabla naziv="DomainObject.Predmet.ProtuStrankaListFormatedWithAdressOIB_1">
      <item>ADRIA ARX d.o.o., OIB 44308591845, Zvonimirova 18, 51000 Rijeka</item>
    </derivirana_varijabla>
  </DomainObject.Predmet.ProtuStrankaListFormatedWithAdressOIB>
  <DomainObject.Predmet.ProtuStrankaListNazivFormated>
    <izvorni_sadrzaj>
      <item>ADRIA ARX d.o.o.</item>
    </izvorni_sadrzaj>
    <derivirana_varijabla naziv="DomainObject.Predmet.ProtuStrankaListNazivFormated_1">
      <item>ADRIA ARX d.o.o.</item>
    </derivirana_varijabla>
  </DomainObject.Predmet.ProtuStrankaListNazivFormated>
  <DomainObject.Predmet.ProtuStrankaListNazivFormatedOIB>
    <izvorni_sadrzaj>
      <item>ADRIA ARX d.o.o., OIB 44308591845</item>
    </izvorni_sadrzaj>
    <derivirana_varijabla naziv="DomainObject.Predmet.ProtuStrankaListNazivFormatedOIB_1">
      <item>ADRIA ARX d.o.o., OIB 44308591845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ARX d.o.o.</izvorni_sadrzaj>
    <derivirana_varijabla naziv="DomainObject.Predmet.ProtustrankaIDrugi_1">ADRIA ARX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ARX d.o.o., OIB 44308591845, Zvonimirova 18, 51000 Rijeka</izvorni_sadrzaj>
    <derivirana_varijabla naziv="DomainObject.Predmet.ProtustrankaIDrugiAdressOIB_1">ADRIA ARX d.o.o., OIB 44308591845, Zvonimirova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ARX d.o.o.</item>
    </izvorni_sadrzaj>
    <derivirana_varijabla naziv="DomainObject.Predmet.SudioniciListNaziv_1">
      <item>FINA  Rijeka</item>
      <item>ADRIA ARX d.o.o.</item>
    </derivirana_varijabla>
  </DomainObject.Predmet.SudioniciListNaziv>
  <DomainObject.Predmet.SudioniciListAdressOIB>
    <izvorni_sadrzaj>
      <item>FINA  Rijeka, OIB 85821130368, Frana Kurelca 8,51000 Rijeka</item>
      <item>ADRIA ARX d.o.o., OIB 44308591845, Zvonimirova 18,51000 Rijeka</item>
    </izvorni_sadrzaj>
    <derivirana_varijabla naziv="DomainObject.Predmet.SudioniciListAdressOIB_1">
      <item>FINA  Rijeka, OIB 85821130368, Frana Kurelca 8,51000 Rijeka</item>
      <item>ADRIA ARX d.o.o., OIB 44308591845, Zvonimirova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44308591845</item>
    </izvorni_sadrzaj>
    <derivirana_varijabla naziv="DomainObject.Predmet.SudioniciListNazivOIB_1">
      <item>, OIB 85821130368</item>
      <item>, OIB 44308591845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1169</properties:Words>
  <properties:Characters>6446</properties:Characters>
  <properties:Lines>150</properties:Lines>
  <properties:Paragraphs>32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8021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2017-04-18T09:58:00Z</dcterms:created>
  <dc:creator>korlevicd</dc:creator>
  <cp:lastModifiedBy>Nika Ostojić</cp:lastModifiedBy>
  <cp:lastPrinted>2017-04-18T11:11:00Z</cp:lastPrinted>
  <dcterms:modified xmlns:xsi="http://www.w3.org/2001/XMLSchema-instance" xsi:type="dcterms:W3CDTF">2017-04-18T11:26:00Z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