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d3ea" w14:paraId="b59d3ea" w:rsidRDefault="00B0124F" w:rsidP="00922021" w:rsidR="00B0124F" w:rsidRPr="00C9496A">
      <w:pPr>
        <w15:collapsed w:val="false"/>
        <w:rPr>
          <w:rStyle w:val="Brojstranice"/>
        </w:rPr>
      </w:pPr>
      <w:bookmarkStart w:name="_GoBack" w:id="0"/>
      <w:bookmarkEnd w:id="0"/>
      <w:r w:rsidRPr="00C9496A">
        <w:tab/>
      </w:r>
      <w:r w:rsidR="00C9496A">
        <w:t xml:space="preserve">   </w:t>
      </w:r>
      <w:r w:rsidRPr="00C9496A">
        <w:t xml:space="preserve">  </w:t>
      </w:r>
      <w:r w:rsidR="00922021" w:rsidRPr="00C9496A">
        <w:t xml:space="preserve"> </w:t>
      </w:r>
      <w:r w:rsidR="000404F1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C9496A">
        <w:rPr>
          <w:rStyle w:val="Brojstranice"/>
        </w:rPr>
        <w:t xml:space="preserve"> </w:t>
      </w:r>
      <w:r w:rsidRPr="00C9496A">
        <w:rPr>
          <w:rStyle w:val="Brojstranice"/>
        </w:rPr>
        <w:tab/>
      </w:r>
      <w:r w:rsidRPr="00C9496A">
        <w:rPr>
          <w:rStyle w:val="Brojstranice"/>
        </w:rPr>
        <w:tab/>
      </w:r>
    </w:p>
    <w:p w:rsidRDefault="00C9496A" w:rsidP="00922021" w:rsidR="008C33C5" w:rsidRPr="00C9496A">
      <w:pPr>
        <w:rPr>
          <w:bCs/>
        </w:rPr>
      </w:pPr>
      <w:r>
        <w:rPr>
          <w:bCs/>
        </w:rPr>
        <w:t xml:space="preserve">   </w:t>
      </w:r>
      <w:r w:rsidR="00922021" w:rsidRPr="00C9496A">
        <w:rPr>
          <w:bCs/>
        </w:rPr>
        <w:t>REPUBLIKA  HRVATSKA</w:t>
      </w:r>
      <w:r w:rsidR="00922021" w:rsidRPr="00C9496A">
        <w:t xml:space="preserve"> </w:t>
      </w:r>
      <w:r w:rsidR="00922021" w:rsidRPr="00C9496A">
        <w:br/>
      </w:r>
      <w:r w:rsidR="00922021" w:rsidRPr="00C9496A">
        <w:rPr>
          <w:bCs/>
        </w:rPr>
        <w:t>TRGOVAČKI SUD U PAZINU</w:t>
      </w:r>
    </w:p>
    <w:p w:rsidRDefault="008C33C5" w:rsidP="00C9496A" w:rsidR="00922021" w:rsidRPr="00C9496A">
      <w:pPr>
        <w:ind w:firstLine="708"/>
      </w:pPr>
      <w:r w:rsidRPr="00C9496A">
        <w:rPr>
          <w:bCs/>
        </w:rPr>
        <w:t>Pazin, Dršćevka 1</w:t>
      </w:r>
      <w:r w:rsidR="00922021" w:rsidRPr="00C9496A">
        <w:t xml:space="preserve"> </w:t>
      </w:r>
    </w:p>
    <w:p w:rsidRDefault="00C9496A" w:rsidP="00B0124F" w:rsidR="00C9496A">
      <w:pPr>
        <w:ind w:firstLine="708" w:left="4956"/>
        <w:rPr>
          <w:rStyle w:val="Brojstranice"/>
        </w:rPr>
      </w:pPr>
    </w:p>
    <w:p w:rsidRDefault="00C9496A" w:rsidP="00C9496A" w:rsidR="00C9496A">
      <w:pPr>
        <w:jc w:val="center"/>
        <w:rPr>
          <w:rStyle w:val="Brojstranice"/>
        </w:rPr>
      </w:pPr>
      <w:r>
        <w:rPr>
          <w:bCs/>
        </w:rPr>
        <w:t xml:space="preserve">U   I M E   </w:t>
      </w:r>
      <w:r w:rsidRPr="00C9496A">
        <w:rPr>
          <w:bCs/>
        </w:rPr>
        <w:t>R</w:t>
      </w:r>
      <w:r>
        <w:rPr>
          <w:bCs/>
        </w:rPr>
        <w:t xml:space="preserve"> </w:t>
      </w:r>
      <w:r w:rsidRPr="00C9496A">
        <w:rPr>
          <w:bCs/>
        </w:rPr>
        <w:t>E</w:t>
      </w:r>
      <w:r>
        <w:rPr>
          <w:bCs/>
        </w:rPr>
        <w:t xml:space="preserve"> </w:t>
      </w:r>
      <w:r w:rsidRPr="00C9496A">
        <w:rPr>
          <w:bCs/>
        </w:rPr>
        <w:t>P</w:t>
      </w:r>
      <w:r>
        <w:rPr>
          <w:bCs/>
        </w:rPr>
        <w:t xml:space="preserve"> </w:t>
      </w:r>
      <w:r w:rsidRPr="00C9496A">
        <w:rPr>
          <w:bCs/>
        </w:rPr>
        <w:t>U</w:t>
      </w:r>
      <w:r>
        <w:rPr>
          <w:bCs/>
        </w:rPr>
        <w:t xml:space="preserve"> </w:t>
      </w:r>
      <w:r w:rsidRPr="00C9496A">
        <w:rPr>
          <w:bCs/>
        </w:rPr>
        <w:t>B</w:t>
      </w:r>
      <w:r>
        <w:rPr>
          <w:bCs/>
        </w:rPr>
        <w:t xml:space="preserve"> </w:t>
      </w:r>
      <w:r w:rsidRPr="00C9496A">
        <w:rPr>
          <w:bCs/>
        </w:rPr>
        <w:t>L</w:t>
      </w:r>
      <w:r>
        <w:rPr>
          <w:bCs/>
        </w:rPr>
        <w:t xml:space="preserve"> </w:t>
      </w:r>
      <w:r w:rsidRPr="00C9496A">
        <w:rPr>
          <w:bCs/>
        </w:rPr>
        <w:t>I</w:t>
      </w:r>
      <w:r>
        <w:rPr>
          <w:bCs/>
        </w:rPr>
        <w:t xml:space="preserve"> </w:t>
      </w:r>
      <w:r w:rsidRPr="00C9496A">
        <w:rPr>
          <w:bCs/>
        </w:rPr>
        <w:t>K</w:t>
      </w:r>
      <w:r>
        <w:rPr>
          <w:bCs/>
        </w:rPr>
        <w:t xml:space="preserve"> E</w:t>
      </w:r>
      <w:r w:rsidRPr="00C9496A">
        <w:rPr>
          <w:bCs/>
        </w:rPr>
        <w:t xml:space="preserve"> </w:t>
      </w:r>
      <w:r>
        <w:rPr>
          <w:bCs/>
        </w:rPr>
        <w:t xml:space="preserve">  </w:t>
      </w:r>
      <w:r w:rsidRPr="00C9496A">
        <w:rPr>
          <w:bCs/>
        </w:rPr>
        <w:t>H</w:t>
      </w:r>
      <w:r>
        <w:rPr>
          <w:bCs/>
        </w:rPr>
        <w:t xml:space="preserve"> </w:t>
      </w:r>
      <w:r w:rsidRPr="00C9496A">
        <w:rPr>
          <w:bCs/>
        </w:rPr>
        <w:t>R</w:t>
      </w:r>
      <w:r>
        <w:rPr>
          <w:bCs/>
        </w:rPr>
        <w:t xml:space="preserve"> </w:t>
      </w:r>
      <w:r w:rsidRPr="00C9496A">
        <w:rPr>
          <w:bCs/>
        </w:rPr>
        <w:t>V</w:t>
      </w:r>
      <w:r>
        <w:rPr>
          <w:bCs/>
        </w:rPr>
        <w:t xml:space="preserve"> </w:t>
      </w:r>
      <w:r w:rsidRPr="00C9496A">
        <w:rPr>
          <w:bCs/>
        </w:rPr>
        <w:t>A</w:t>
      </w:r>
      <w:r>
        <w:rPr>
          <w:bCs/>
        </w:rPr>
        <w:t xml:space="preserve"> </w:t>
      </w:r>
      <w:r w:rsidRPr="00C9496A">
        <w:rPr>
          <w:bCs/>
        </w:rPr>
        <w:t>T</w:t>
      </w:r>
      <w:r>
        <w:rPr>
          <w:bCs/>
        </w:rPr>
        <w:t xml:space="preserve"> </w:t>
      </w:r>
      <w:r w:rsidRPr="00C9496A">
        <w:rPr>
          <w:bCs/>
        </w:rPr>
        <w:t>S</w:t>
      </w:r>
      <w:r>
        <w:rPr>
          <w:bCs/>
        </w:rPr>
        <w:t xml:space="preserve"> </w:t>
      </w:r>
      <w:r w:rsidRPr="00C9496A">
        <w:rPr>
          <w:bCs/>
        </w:rPr>
        <w:t>K</w:t>
      </w:r>
      <w:r>
        <w:rPr>
          <w:bCs/>
        </w:rPr>
        <w:t xml:space="preserve"> E</w:t>
      </w:r>
    </w:p>
    <w:p w:rsidRDefault="00B0124F" w:rsidP="00B0124F" w:rsidR="00B0124F" w:rsidRPr="00C9496A">
      <w:pPr>
        <w:ind w:firstLine="708" w:left="4956"/>
        <w:rPr>
          <w:rStyle w:val="Brojstranice"/>
        </w:rPr>
      </w:pPr>
      <w:r w:rsidRPr="00C9496A">
        <w:rPr>
          <w:rStyle w:val="Brojstranice"/>
        </w:rPr>
        <w:tab/>
      </w:r>
      <w:r w:rsidRPr="00C9496A">
        <w:rPr>
          <w:rStyle w:val="Brojstranice"/>
        </w:rPr>
        <w:tab/>
      </w:r>
    </w:p>
    <w:p w:rsidRDefault="00922021" w:rsidP="00B0124F" w:rsidR="00922021" w:rsidRPr="00C9496A">
      <w:pPr>
        <w:jc w:val="center"/>
        <w:rPr>
          <w:rStyle w:val="Brojstranice"/>
        </w:rPr>
      </w:pPr>
      <w:r w:rsidRPr="00C9496A">
        <w:rPr>
          <w:rStyle w:val="Brojstranice"/>
        </w:rPr>
        <w:t>R J E Š E N J E</w:t>
      </w:r>
    </w:p>
    <w:p w:rsidRDefault="00922021" w:rsidP="00922021" w:rsidR="00922021" w:rsidRPr="00C9496A">
      <w:pPr>
        <w:rPr>
          <w:rStyle w:val="Brojstranice"/>
        </w:rPr>
      </w:pPr>
    </w:p>
    <w:p w:rsidRDefault="00200774" w:rsidP="002869D5" w:rsidR="002869D5">
      <w:pPr>
        <w:jc w:val="both"/>
        <w:rPr>
          <w:rStyle w:val="Brojstranice"/>
        </w:rPr>
      </w:pPr>
      <w:r w:rsidRPr="00C9496A">
        <w:rPr>
          <w:rStyle w:val="Brojstranice"/>
        </w:rPr>
        <w:tab/>
      </w:r>
      <w:r w:rsidR="002869D5" w:rsidRPr="00C9496A">
        <w:rPr>
          <w:rStyle w:val="Brojstranice"/>
        </w:rPr>
        <w:t>Trgovački sud u Pazinu, po sucu Ivanu Dujiću, u stečajnom postupku nad dužnikom FOLAN d.o.o. u stečaju Pula, Prilaz Puljskih Španjolskih boraca 4, OIB: 86619734573, 26. lipnja 2018.</w:t>
      </w:r>
    </w:p>
    <w:p w:rsidRDefault="00C9496A" w:rsidP="002869D5" w:rsidR="00C9496A" w:rsidRPr="00C9496A">
      <w:pPr>
        <w:jc w:val="both"/>
        <w:rPr>
          <w:rStyle w:val="Brojstranice"/>
        </w:rPr>
      </w:pPr>
    </w:p>
    <w:p w:rsidRDefault="00A0482D" w:rsidP="002869D5" w:rsidR="00A04550" w:rsidRPr="00C9496A">
      <w:pPr>
        <w:jc w:val="center"/>
      </w:pPr>
      <w:r w:rsidRPr="00C9496A">
        <w:t>r i j e š i o   j e</w:t>
      </w:r>
    </w:p>
    <w:p w:rsidRDefault="00A04550" w:rsidP="00A04550" w:rsidR="00A04550" w:rsidRPr="00C9496A">
      <w:pPr>
        <w:jc w:val="center"/>
      </w:pPr>
    </w:p>
    <w:p w:rsidRDefault="008F7E00" w:rsidP="00A04550" w:rsidR="00B81B99" w:rsidRPr="00C9496A">
      <w:pPr>
        <w:jc w:val="both"/>
      </w:pPr>
      <w:r w:rsidRPr="00C9496A">
        <w:t>I</w:t>
      </w:r>
      <w:r w:rsidRPr="00C9496A">
        <w:tab/>
      </w:r>
      <w:r w:rsidR="00B81B99" w:rsidRPr="00C9496A">
        <w:t xml:space="preserve">Zaključuje se stečajni postupak </w:t>
      </w:r>
      <w:r w:rsidR="00E06F67" w:rsidRPr="00C9496A">
        <w:t>nad dužnikom FOLAN d.o.o. u stečaju Pula, Prilaz Puljskih Španjolskih boraca 4, OIB: 86619734573</w:t>
      </w:r>
      <w:r w:rsidR="00B81B99" w:rsidRPr="00C9496A">
        <w:t>.</w:t>
      </w:r>
    </w:p>
    <w:p w:rsidRDefault="00B81B99" w:rsidP="00A04550" w:rsidR="00B81B99" w:rsidRPr="00C9496A">
      <w:pPr>
        <w:jc w:val="both"/>
      </w:pPr>
    </w:p>
    <w:p w:rsidRDefault="008F7E00" w:rsidP="0000514A" w:rsidR="0000514A" w:rsidRPr="00C9496A">
      <w:pPr>
        <w:jc w:val="both"/>
      </w:pPr>
      <w:r w:rsidRPr="00C9496A">
        <w:t>II</w:t>
      </w:r>
      <w:r w:rsidR="0000514A" w:rsidRPr="00C9496A">
        <w:tab/>
      </w:r>
      <w:r w:rsidR="00FE3258" w:rsidRPr="00C9496A">
        <w:t>Nalaže se sudskom registru ovoga suda da, p</w:t>
      </w:r>
      <w:r w:rsidR="0000514A" w:rsidRPr="00C9496A">
        <w:t>o pravomoćnosti ovog rješenja</w:t>
      </w:r>
      <w:r w:rsidR="00FE3258" w:rsidRPr="00C9496A">
        <w:t>,</w:t>
      </w:r>
      <w:r w:rsidR="0000514A" w:rsidRPr="00C9496A">
        <w:t xml:space="preserve"> bri</w:t>
      </w:r>
      <w:r w:rsidR="00FE3258" w:rsidRPr="00C9496A">
        <w:t>še i</w:t>
      </w:r>
      <w:r w:rsidR="0000514A" w:rsidRPr="00C9496A">
        <w:t>z sudskog registra</w:t>
      </w:r>
      <w:r w:rsidR="00FE3258" w:rsidRPr="00C9496A">
        <w:t xml:space="preserve"> </w:t>
      </w:r>
      <w:r w:rsidR="00E06F67" w:rsidRPr="00C9496A">
        <w:t>dužnika FOLAN d.o.o. u stečaju Pula, Prilaz Puljskih Španjolskih boraca 4, OIB: 86619734573</w:t>
      </w:r>
      <w:r w:rsidR="00FE3258" w:rsidRPr="00C9496A">
        <w:t>.</w:t>
      </w:r>
    </w:p>
    <w:p w:rsidRDefault="00B81B99" w:rsidP="00B81B99" w:rsidR="00B81B99" w:rsidRPr="00C9496A">
      <w:pPr>
        <w:jc w:val="both"/>
      </w:pPr>
    </w:p>
    <w:p w:rsidRDefault="00B81B99" w:rsidP="00B81B99" w:rsidR="00B81B99" w:rsidRPr="00C9496A">
      <w:pPr>
        <w:jc w:val="center"/>
      </w:pPr>
      <w:r w:rsidRPr="00C9496A">
        <w:t>Obrazloženje</w:t>
      </w:r>
    </w:p>
    <w:p w:rsidRDefault="00B81B99" w:rsidP="00B81B99" w:rsidR="00B81B99" w:rsidRPr="00C9496A">
      <w:pPr>
        <w:jc w:val="both"/>
      </w:pPr>
    </w:p>
    <w:p w:rsidRDefault="00B81B99" w:rsidP="00E06F67" w:rsidR="00A13645" w:rsidRPr="00C9496A">
      <w:pPr>
        <w:jc w:val="both"/>
      </w:pPr>
      <w:r w:rsidRPr="00C9496A">
        <w:tab/>
      </w:r>
      <w:r w:rsidR="00EF4129" w:rsidRPr="00C9496A">
        <w:t xml:space="preserve">Stečajni upravitelj je </w:t>
      </w:r>
      <w:r w:rsidR="00E06F67" w:rsidRPr="00C9496A">
        <w:t xml:space="preserve">dostavio završni račun 21. svibnja 2018., stečajni sudac </w:t>
      </w:r>
      <w:r w:rsidR="00A13645" w:rsidRPr="00C9496A">
        <w:t xml:space="preserve">je </w:t>
      </w:r>
      <w:r w:rsidR="00E06F67" w:rsidRPr="00C9496A">
        <w:t>prije ročišta vjerovnika 5. lipnja 2018. ispitao završni račun upravitelja i na njemu potvrdio da ga je ispitao, te je ispitani završni račun stečajni sudac stavio na uvid vjerovnicima u pisarnici suda dana 5. lipnja 2018.</w:t>
      </w:r>
    </w:p>
    <w:p w:rsidRDefault="00E06F67" w:rsidP="00E06F67" w:rsidR="00E06F67" w:rsidRPr="00C9496A">
      <w:pPr>
        <w:jc w:val="both"/>
      </w:pPr>
      <w:r w:rsidRPr="00C9496A">
        <w:tab/>
      </w:r>
    </w:p>
    <w:p w:rsidRDefault="00A13645" w:rsidP="00E06F67" w:rsidR="00EF4129" w:rsidRPr="00C9496A">
      <w:pPr>
        <w:jc w:val="both"/>
      </w:pPr>
      <w:r w:rsidRPr="00C9496A">
        <w:tab/>
      </w:r>
      <w:r w:rsidR="00EF4129" w:rsidRPr="00C9496A">
        <w:t>Stečajni upravitelj je u završno</w:t>
      </w:r>
      <w:r w:rsidR="00200774" w:rsidRPr="00C9496A">
        <w:t>m</w:t>
      </w:r>
      <w:r w:rsidR="00EF4129" w:rsidRPr="00C9496A">
        <w:t xml:space="preserve"> račun</w:t>
      </w:r>
      <w:r w:rsidR="00200774" w:rsidRPr="00C9496A">
        <w:t xml:space="preserve">u naveo </w:t>
      </w:r>
      <w:r w:rsidR="00EF4129" w:rsidRPr="00C9496A">
        <w:t>kako slijedi:</w:t>
      </w:r>
    </w:p>
    <w:p w:rsidRDefault="00E47930" w:rsidP="00A13645" w:rsidR="00A13645" w:rsidRPr="00C9496A">
      <w:pPr>
        <w:jc w:val="both"/>
        <w:rPr>
          <w:bCs/>
        </w:rPr>
      </w:pPr>
      <w:r w:rsidRPr="00C9496A">
        <w:tab/>
      </w:r>
      <w:r w:rsidR="00EF4129" w:rsidRPr="00C9496A">
        <w:t>„</w:t>
      </w:r>
      <w:r w:rsidR="00A13645" w:rsidRPr="00C9496A">
        <w:rPr>
          <w:bCs/>
        </w:rPr>
        <w:t>I. RAČUN PRIHODA I RASHODA</w:t>
      </w:r>
    </w:p>
    <w:p w:rsidRDefault="00A13645" w:rsidP="00A13645" w:rsidR="00A13645" w:rsidRPr="00C9496A">
      <w:pPr>
        <w:jc w:val="both"/>
        <w:rPr>
          <w:bCs/>
        </w:rPr>
      </w:pP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Rješenjem Trgovačkog suda u Pazinu, posl. br. St-665/16, dana 14.07.2016. godine otvoren je stečajni postupak nad stečajnim dužnikom.</w:t>
      </w: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Obveze stečajnog dužnika utvrđene su temeljem prijavljenih, ispitanih k priznatih tražbina stečajnih vjerovnika na ispitnom ročištu održanom 11.10.2016., na kojima su tražbine utvrđene i priznate u iznosu od 211.508,06 kn.</w:t>
      </w:r>
    </w:p>
    <w:p w:rsidRDefault="00A13645" w:rsidP="00A13645" w:rsidR="00A13645" w:rsidRPr="00C9496A">
      <w:pPr>
        <w:jc w:val="both"/>
        <w:rPr>
          <w:bCs/>
        </w:rPr>
      </w:pP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Tražbine su razvrstane u redove :</w:t>
      </w: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·</w:t>
      </w:r>
      <w:r w:rsidRPr="00C9496A">
        <w:rPr>
          <w:bCs/>
        </w:rPr>
        <w:tab/>
        <w:t>tražbine I. višeg isplatnog reda u iznosu od 35.119,47 kn</w:t>
      </w: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·</w:t>
      </w:r>
      <w:r w:rsidRPr="00C9496A">
        <w:rPr>
          <w:bCs/>
        </w:rPr>
        <w:tab/>
        <w:t>tražbine II. višeg isplatnog reda u iznosu od 176.388,59 kn</w:t>
      </w: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·</w:t>
      </w:r>
      <w:r w:rsidRPr="00C9496A">
        <w:rPr>
          <w:bCs/>
        </w:rPr>
        <w:tab/>
        <w:t>tražbine s osnove razlučnog prava.</w:t>
      </w:r>
    </w:p>
    <w:p w:rsidRDefault="00A13645" w:rsidP="00A13645" w:rsidR="00A13645" w:rsidRPr="00C9496A">
      <w:pPr>
        <w:jc w:val="both"/>
        <w:rPr>
          <w:bCs/>
        </w:rPr>
      </w:pP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U nastavku se daje izvješće o ostvarenim prihodima i rashodima stečajnog postupka, u razdoblju od 14.07.2016. do 10.05.2018.</w:t>
      </w:r>
    </w:p>
    <w:p w:rsidRDefault="00A13645" w:rsidP="00A13645" w:rsidR="00A13645" w:rsidRPr="00C9496A">
      <w:pPr>
        <w:jc w:val="both"/>
        <w:rPr>
          <w:bCs/>
        </w:rPr>
      </w:pP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A) PREGLED PRIHODA</w:t>
      </w: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lastRenderedPageBreak/>
        <w:t>Tijekom ovog stečajnog postupka unovčena je stečajna masa prodajom imovine stečajnog dužnika u iznosu od 131.001,00 kn.</w:t>
      </w: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Prihodi su ostvareni prodajom nekretnine i pokretnine stečajnog dužnika kako slijedi:</w:t>
      </w:r>
    </w:p>
    <w:p w:rsidRDefault="00A13645" w:rsidP="00A13645" w:rsidR="00A13645" w:rsidRPr="00C9496A">
      <w:pPr>
        <w:jc w:val="both"/>
        <w:rPr>
          <w:bCs/>
        </w:rPr>
      </w:pP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U razdoblju od 14.07.2016. do 10.05.2018. godine prodana je sva imovina stečajnog dužnika, a koja se sastojala od nekretnine procijenjene vrijednosti 471.730,20 kn, unovčene za iznos od 127.001,00 kn, te pokretnina osobni automobil RENAULT TWINGO, unovčen za iznos 4.000,00 kn.</w:t>
      </w:r>
    </w:p>
    <w:p w:rsidRDefault="00A13645" w:rsidP="00A13645" w:rsidR="00A13645" w:rsidRPr="00C9496A">
      <w:pPr>
        <w:jc w:val="both"/>
        <w:rPr>
          <w:bCs/>
        </w:rPr>
      </w:pP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1.</w:t>
      </w:r>
      <w:r w:rsidRPr="00C9496A">
        <w:rPr>
          <w:bCs/>
        </w:rPr>
        <w:tab/>
        <w:t xml:space="preserve">Nekretnine </w:t>
      </w: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U razdoblju od 14.07.2016. do 10.05.2018. godine, putem elektroničke javne dražbe, prodana je nekretnina stečajnog dužnika kupcu Leonidu Holjaru iz Oprića, Put Braće Honoviča 20, za iznos od 127.001,00 kn.</w:t>
      </w: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Vrijednost nekretnine evidentirana je u poslovnim evidencijama na dan otvaranja stečajnog postupka u knjigovodstvenoj vrijednosti od 304.754,00 kn, dok je naknadno dobivenom procjenom nekretnine, utvrđena vrijednost iste u iznosu od 471.730,20 kn.</w:t>
      </w: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Za gore navedenu nekretninu dostavljena je obavijest o postojanju razlučnog prava u korist ZAGREBAČKE BANKE d.d. Zagreb, te u korist RH Ministarstvo financija, Porezna uprava, Područni ured Pazin.</w:t>
      </w: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Dana 22.11.2017. godine temeljem Ugovora o ustupu potraživanja tražbina vjerovnika Zagrebačke banke d.d. ustupljena je novom vjerovniku Borisu Vretenaru, u tablicama ispitanih i priznatih tražbina izvršen je ispravak istog, te je prodajom predmetne nekretnine namiren razlučni vjerovnik u iznosu od 93.380,65 kn.</w:t>
      </w:r>
    </w:p>
    <w:p w:rsidRDefault="00A13645" w:rsidP="00A13645" w:rsidR="00A13645" w:rsidRPr="00C9496A">
      <w:pPr>
        <w:jc w:val="both"/>
        <w:rPr>
          <w:bCs/>
        </w:rPr>
      </w:pP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2.</w:t>
      </w:r>
      <w:r w:rsidRPr="00C9496A">
        <w:rPr>
          <w:bCs/>
        </w:rPr>
        <w:tab/>
        <w:t>Pokretnine</w:t>
      </w: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Pokretnina osobni automobil marke Renault Twingo nije pronađena tijekom inventure, a isto tako nije ni bila zavedena u poslovnoj evidenciji stečajnog dužnika, pa samim time nije bila iskazana ni u početnoj bilanci, te Pregledu imovine i obveza na dan otvaranja stečajnog postupka.</w:t>
      </w: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S obzirom da je RH Ministarstvo financija, Porezna uprava uz prijavu tražbine dostavila i obavijest o postojanju razlučnog prava nad navedenom pokretninom, zatražena je dokumentacija od PU Pula, te je ista naknadno pronađena i unovčena za iznos od 4.000,00 kn, čime je namiren razlučni vjerovnik RH Ministarstvo financija, Porezna uprava u iznosu od 3.800,00 kn.</w:t>
      </w:r>
    </w:p>
    <w:p w:rsidRDefault="00A13645" w:rsidP="00A13645" w:rsidR="00A13645" w:rsidRPr="00C9496A">
      <w:pPr>
        <w:jc w:val="both"/>
        <w:rPr>
          <w:bCs/>
        </w:rPr>
      </w:pP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Slijedom iznijetog, prodajom i unovčenjem imovine u stečajnom postupku namireni su vjerovnici u ukupnom iznosu od 97.180,65 kn</w:t>
      </w:r>
    </w:p>
    <w:p w:rsidRDefault="00A13645" w:rsidP="00A13645" w:rsidR="00A13645" w:rsidRPr="00C9496A">
      <w:pPr>
        <w:jc w:val="both"/>
        <w:rPr>
          <w:bCs/>
        </w:rPr>
      </w:pP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3.</w:t>
      </w:r>
      <w:r w:rsidRPr="00C9496A">
        <w:rPr>
          <w:bCs/>
        </w:rPr>
        <w:tab/>
        <w:t xml:space="preserve">Priljevi i odljevi na računu stečajnog dužnika </w:t>
      </w: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U razdoblju od 14.07.2016. do 10.05.2018. godine ostvareni su na račun stečajnog dužnika priljevi u iznosu od 150.007,64 kn i odljevi u iznosu od 148.915,92 kn, a kako slijedi u Tabeli 1.</w:t>
      </w:r>
    </w:p>
    <w:p w:rsidRDefault="00A13645" w:rsidP="00A13645" w:rsidR="00A13645" w:rsidRPr="00C9496A">
      <w:pPr>
        <w:jc w:val="both"/>
        <w:rPr>
          <w:bCs/>
        </w:rPr>
      </w:pP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Tabela 1.</w:t>
      </w:r>
    </w:p>
    <w:tbl>
      <w:tblPr>
        <w:tblW w:type="dxa" w:w="9892"/>
        <w:tblInd w:type="dxa" w:w="-39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7397"/>
        <w:gridCol w:w="2495"/>
      </w:tblGrid>
      <w:tr w:rsidTr="009B3D9B" w:rsidR="00A13645" w:rsidRPr="00C9496A">
        <w:trPr>
          <w:trHeight w:hRule="exact" w:val="389"/>
        </w:trPr>
        <w:tc>
          <w:tcPr>
            <w:tcW w:type="dxa" w:w="7397"/>
            <w:tcBorders>
              <w:top w:space="0" w:sz="9" w:color="auto" w:val="double"/>
              <w:left w:space="0" w:sz="5" w:color="auto" w:val="single"/>
              <w:bottom w:space="0" w:sz="5" w:color="auto" w:val="single"/>
              <w:right w:space="0" w:sz="5" w:color="auto" w:val="single"/>
            </w:tcBorders>
            <w:shd w:fill="auto" w:color="D6D8D8" w:val="solid"/>
            <w:vAlign w:val="center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99" w:after="23" w:before="57"/>
              <w:ind w:right="4417"/>
              <w:jc w:val="right"/>
              <w:textAlignment w:val="baseline"/>
              <w:rPr>
                <w:b/>
                <w:bCs/>
              </w:rPr>
            </w:pPr>
            <w:r w:rsidRPr="00C9496A">
              <w:rPr>
                <w:b/>
                <w:bCs/>
              </w:rPr>
              <w:t>1.Unovčenje siečajne mase</w:t>
            </w:r>
          </w:p>
        </w:tc>
        <w:tc>
          <w:tcPr>
            <w:tcW w:type="dxa" w:w="2495"/>
            <w:tcBorders>
              <w:top w:space="0" w:sz="9" w:color="auto" w:val="double"/>
              <w:left w:space="0" w:sz="5" w:color="auto" w:val="single"/>
              <w:bottom w:space="0" w:sz="5" w:color="auto" w:val="single"/>
              <w:right w:space="0" w:sz="5" w:color="auto" w:val="single"/>
            </w:tcBorders>
            <w:shd w:fill="auto" w:color="D6D8D8" w:val="solid"/>
            <w:vAlign w:val="center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78" w:after="35" w:before="66"/>
              <w:ind w:right="943"/>
              <w:jc w:val="right"/>
              <w:textAlignment w:val="baseline"/>
              <w:rPr>
                <w:b/>
                <w:bCs/>
              </w:rPr>
            </w:pPr>
            <w:r w:rsidRPr="00C9496A">
              <w:rPr>
                <w:b/>
                <w:bCs/>
              </w:rPr>
              <w:t>Iznos</w:t>
            </w:r>
          </w:p>
        </w:tc>
      </w:tr>
      <w:tr w:rsidTr="009B3D9B" w:rsidR="00A13645" w:rsidRPr="00C9496A">
        <w:trPr>
          <w:trHeight w:hRule="exact" w:val="345"/>
        </w:trPr>
        <w:tc>
          <w:tcPr>
            <w:tcW w:type="dxa" w:w="7397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82" w:after="33"/>
              <w:ind w:left="120"/>
              <w:textAlignment w:val="baseline"/>
            </w:pPr>
            <w:r w:rsidRPr="00C9496A">
              <w:rPr>
                <w:bCs/>
              </w:rPr>
              <w:t xml:space="preserve">Priljevi </w:t>
            </w:r>
            <w:r w:rsidRPr="00C9496A">
              <w:t>od uplate predujma za otvaranje stečajnog postupka</w:t>
            </w:r>
          </w:p>
        </w:tc>
        <w:tc>
          <w:tcPr>
            <w:tcW w:type="dxa" w:w="249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71" w:after="53"/>
              <w:textAlignment w:val="baseline"/>
            </w:pPr>
            <w:r w:rsidRPr="00C9496A">
              <w:t>18.000,00</w:t>
            </w:r>
          </w:p>
        </w:tc>
      </w:tr>
      <w:tr w:rsidTr="009B3D9B" w:rsidR="00A13645" w:rsidRPr="00C9496A">
        <w:trPr>
          <w:trHeight w:hRule="exact" w:val="351"/>
        </w:trPr>
        <w:tc>
          <w:tcPr>
            <w:tcW w:type="dxa" w:w="7397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72" w:after="47" w:before="31"/>
              <w:ind w:left="120"/>
              <w:textAlignment w:val="baseline"/>
            </w:pPr>
            <w:r w:rsidRPr="00C9496A">
              <w:t>Priljevi od prodaje pokretnina</w:t>
            </w:r>
          </w:p>
        </w:tc>
        <w:tc>
          <w:tcPr>
            <w:tcW w:type="dxa" w:w="249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71" w:after="58"/>
              <w:textAlignment w:val="baseline"/>
            </w:pPr>
            <w:r w:rsidRPr="00C9496A">
              <w:t>4.000,00</w:t>
            </w:r>
          </w:p>
        </w:tc>
      </w:tr>
      <w:tr w:rsidTr="009B3D9B" w:rsidR="00A13645" w:rsidRPr="00C9496A">
        <w:trPr>
          <w:trHeight w:hRule="exact" w:val="345"/>
        </w:trPr>
        <w:tc>
          <w:tcPr>
            <w:tcW w:type="dxa" w:w="7397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72" w:after="33"/>
              <w:ind w:left="120"/>
              <w:textAlignment w:val="baseline"/>
            </w:pPr>
            <w:r w:rsidRPr="00C9496A">
              <w:t>Priljevi od prodaje nekretnine</w:t>
            </w:r>
          </w:p>
        </w:tc>
        <w:tc>
          <w:tcPr>
            <w:tcW w:type="dxa" w:w="249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71" w:after="43"/>
              <w:textAlignment w:val="baseline"/>
            </w:pPr>
            <w:r w:rsidRPr="00C9496A">
              <w:t>127.001,00</w:t>
            </w:r>
          </w:p>
        </w:tc>
      </w:tr>
      <w:tr w:rsidTr="009B3D9B" w:rsidR="00A13645" w:rsidRPr="00C9496A">
        <w:trPr>
          <w:trHeight w:hRule="exact" w:val="346"/>
        </w:trPr>
        <w:tc>
          <w:tcPr>
            <w:tcW w:type="dxa" w:w="7397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78" w:after="42"/>
              <w:ind w:left="120"/>
              <w:textAlignment w:val="baseline"/>
              <w:rPr>
                <w:bCs/>
              </w:rPr>
            </w:pPr>
            <w:r w:rsidRPr="00C9496A">
              <w:rPr>
                <w:bCs/>
              </w:rPr>
              <w:t>PDV u priljevima</w:t>
            </w:r>
          </w:p>
        </w:tc>
        <w:tc>
          <w:tcPr>
            <w:tcW w:type="dxa" w:w="249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78" w:after="50"/>
              <w:textAlignment w:val="baseline"/>
              <w:rPr>
                <w:bCs/>
              </w:rPr>
            </w:pPr>
            <w:r w:rsidRPr="00C9496A">
              <w:rPr>
                <w:bCs/>
              </w:rPr>
              <w:t>1.000,00</w:t>
            </w:r>
          </w:p>
        </w:tc>
      </w:tr>
      <w:tr w:rsidTr="009B3D9B" w:rsidR="00A13645" w:rsidRPr="00C9496A">
        <w:trPr>
          <w:trHeight w:hRule="exact" w:val="346"/>
        </w:trPr>
        <w:tc>
          <w:tcPr>
            <w:tcW w:type="dxa" w:w="7397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71" w:after="50"/>
              <w:ind w:left="120"/>
              <w:textAlignment w:val="baseline"/>
            </w:pPr>
            <w:r w:rsidRPr="00C9496A">
              <w:t>Priljevi od bankovnih kamata</w:t>
            </w:r>
          </w:p>
        </w:tc>
        <w:tc>
          <w:tcPr>
            <w:tcW w:type="dxa" w:w="249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78" w:after="48"/>
              <w:textAlignment w:val="baseline"/>
              <w:rPr>
                <w:bCs/>
              </w:rPr>
            </w:pPr>
            <w:r w:rsidRPr="00C9496A">
              <w:rPr>
                <w:bCs/>
              </w:rPr>
              <w:t>6,64</w:t>
            </w:r>
          </w:p>
        </w:tc>
      </w:tr>
      <w:tr w:rsidTr="009B3D9B" w:rsidR="00A13645" w:rsidRPr="00C9496A">
        <w:trPr>
          <w:trHeight w:hRule="exact" w:val="350"/>
        </w:trPr>
        <w:tc>
          <w:tcPr>
            <w:tcW w:type="dxa" w:w="7397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shd w:fill="auto" w:color="D6D8D8" w:val="solid"/>
            <w:vAlign w:val="center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78" w:after="31" w:before="36"/>
              <w:ind w:left="120"/>
              <w:textAlignment w:val="baseline"/>
              <w:rPr>
                <w:b/>
                <w:bCs/>
              </w:rPr>
            </w:pPr>
            <w:r w:rsidRPr="00C9496A">
              <w:rPr>
                <w:b/>
                <w:bCs/>
              </w:rPr>
              <w:t>Ukupno priljevi na račun</w:t>
            </w:r>
          </w:p>
        </w:tc>
        <w:tc>
          <w:tcPr>
            <w:tcW w:type="dxa" w:w="249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shd w:fill="auto" w:color="D6D8D8" w:val="solid"/>
            <w:vAlign w:val="center"/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78" w:after="39"/>
              <w:textAlignment w:val="baseline"/>
              <w:rPr>
                <w:b/>
                <w:bCs/>
              </w:rPr>
            </w:pPr>
            <w:r w:rsidRPr="00C9496A">
              <w:rPr>
                <w:b/>
                <w:bCs/>
              </w:rPr>
              <w:t>150.007,64</w:t>
            </w:r>
          </w:p>
        </w:tc>
      </w:tr>
      <w:tr w:rsidTr="009B3D9B" w:rsidR="00A13645" w:rsidRPr="00C9496A">
        <w:trPr>
          <w:trHeight w:hRule="exact" w:val="346"/>
        </w:trPr>
        <w:tc>
          <w:tcPr>
            <w:tcW w:type="dxa" w:w="7397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shd w:fill="auto" w:color="D6D8D8" w:val="solid"/>
            <w:vAlign w:val="center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78" w:after="31" w:before="31"/>
              <w:ind w:left="120"/>
              <w:textAlignment w:val="baseline"/>
              <w:rPr>
                <w:b/>
                <w:bCs/>
              </w:rPr>
            </w:pPr>
            <w:r w:rsidRPr="00C9496A">
              <w:rPr>
                <w:b/>
                <w:bCs/>
              </w:rPr>
              <w:t>2.0dIjevi sa računa/ troškovi stečajnog postupka</w:t>
            </w:r>
          </w:p>
        </w:tc>
        <w:tc>
          <w:tcPr>
            <w:tcW w:type="dxa" w:w="249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shd w:fill="auto" w:color="C1C5C5" w:val="solid"/>
            <w:vAlign w:val="center"/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78" w:after="36"/>
              <w:textAlignment w:val="baseline"/>
            </w:pPr>
            <w:r w:rsidRPr="00C9496A">
              <w:rPr>
                <w:b/>
                <w:bCs/>
              </w:rPr>
              <w:t>51.735,27</w:t>
            </w:r>
          </w:p>
        </w:tc>
      </w:tr>
      <w:tr w:rsidTr="009B3D9B" w:rsidR="00A13645" w:rsidRPr="00C9496A">
        <w:trPr>
          <w:trHeight w:hRule="exact" w:val="681"/>
        </w:trPr>
        <w:tc>
          <w:tcPr>
            <w:tcW w:type="dxa" w:w="7397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314" w:after="43"/>
              <w:ind w:right="468" w:left="144"/>
              <w:textAlignment w:val="baseline"/>
            </w:pPr>
            <w:r w:rsidRPr="00C9496A">
              <w:t>Troškovi birotehničkih usluga, uredskog materijala, poštarine, pohrane arhive</w:t>
            </w:r>
          </w:p>
        </w:tc>
        <w:tc>
          <w:tcPr>
            <w:tcW w:type="dxa" w:w="249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71" w:after="384"/>
              <w:textAlignment w:val="baseline"/>
            </w:pPr>
            <w:r w:rsidRPr="00C9496A">
              <w:t>8.698,73</w:t>
            </w:r>
          </w:p>
        </w:tc>
      </w:tr>
      <w:tr w:rsidTr="009B3D9B" w:rsidR="00A13645" w:rsidRPr="00C9496A">
        <w:trPr>
          <w:trHeight w:hRule="exact" w:val="677"/>
        </w:trPr>
        <w:tc>
          <w:tcPr>
            <w:tcW w:type="dxa" w:w="7397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310" w:after="47"/>
              <w:ind w:right="684" w:left="144"/>
              <w:textAlignment w:val="baseline"/>
            </w:pPr>
            <w:r w:rsidRPr="00C9496A">
              <w:t>Troškovi knjigovodstvenih usluga, javnobilježničke usluge, troškovi izrade financijskih izvješća</w:t>
            </w:r>
          </w:p>
        </w:tc>
        <w:tc>
          <w:tcPr>
            <w:tcW w:type="dxa" w:w="249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71" w:after="385"/>
              <w:textAlignment w:val="baseline"/>
            </w:pPr>
            <w:r w:rsidRPr="00C9496A">
              <w:t xml:space="preserve">8.639,80 </w:t>
            </w:r>
          </w:p>
        </w:tc>
      </w:tr>
      <w:tr w:rsidTr="009B3D9B" w:rsidR="00A13645" w:rsidRPr="00C9496A">
        <w:trPr>
          <w:trHeight w:hRule="exact" w:val="346"/>
        </w:trPr>
        <w:tc>
          <w:tcPr>
            <w:tcW w:type="dxa" w:w="7397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76" w:after="45"/>
              <w:ind w:left="120"/>
              <w:textAlignment w:val="baseline"/>
            </w:pPr>
            <w:r w:rsidRPr="00C9496A">
              <w:t>Troškovi provedbe elektroničke javne dražbe</w:t>
            </w:r>
          </w:p>
        </w:tc>
        <w:tc>
          <w:tcPr>
            <w:tcW w:type="dxa" w:w="249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71" w:after="50"/>
              <w:textAlignment w:val="baseline"/>
            </w:pPr>
            <w:r w:rsidRPr="00C9496A">
              <w:t>2.240,00</w:t>
            </w:r>
          </w:p>
        </w:tc>
      </w:tr>
      <w:tr w:rsidTr="009B3D9B" w:rsidR="00A13645" w:rsidRPr="00C9496A">
        <w:trPr>
          <w:trHeight w:hRule="exact" w:val="350"/>
        </w:trPr>
        <w:tc>
          <w:tcPr>
            <w:tcW w:type="dxa" w:w="7397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78" w:after="50"/>
              <w:ind w:left="120"/>
              <w:textAlignment w:val="baseline"/>
              <w:rPr>
                <w:bCs/>
              </w:rPr>
            </w:pPr>
            <w:r w:rsidRPr="00C9496A">
              <w:rPr>
                <w:bCs/>
              </w:rPr>
              <w:t>PDV u odljevima</w:t>
            </w:r>
          </w:p>
        </w:tc>
        <w:tc>
          <w:tcPr>
            <w:tcW w:type="dxa" w:w="249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78" w:after="51"/>
              <w:textAlignment w:val="baseline"/>
              <w:rPr>
                <w:bCs/>
              </w:rPr>
            </w:pPr>
            <w:r w:rsidRPr="00C9496A">
              <w:rPr>
                <w:bCs/>
              </w:rPr>
              <w:t>4.810,00</w:t>
            </w:r>
          </w:p>
        </w:tc>
      </w:tr>
      <w:tr w:rsidTr="009B3D9B" w:rsidR="00A13645" w:rsidRPr="00C9496A">
        <w:trPr>
          <w:trHeight w:hRule="exact" w:val="346"/>
        </w:trPr>
        <w:tc>
          <w:tcPr>
            <w:tcW w:type="dxa" w:w="7397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78" w:after="53"/>
              <w:ind w:left="120"/>
              <w:textAlignment w:val="baseline"/>
              <w:rPr>
                <w:bCs/>
              </w:rPr>
            </w:pPr>
            <w:r w:rsidRPr="00C9496A">
              <w:rPr>
                <w:bCs/>
              </w:rPr>
              <w:t>Troškovi osiguranja imovine</w:t>
            </w:r>
          </w:p>
        </w:tc>
        <w:tc>
          <w:tcPr>
            <w:tcW w:type="dxa" w:w="249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78" w:after="52"/>
              <w:textAlignment w:val="baseline"/>
              <w:rPr>
                <w:bCs/>
              </w:rPr>
            </w:pPr>
            <w:r w:rsidRPr="00C9496A">
              <w:rPr>
                <w:bCs/>
              </w:rPr>
              <w:t>1.150,14</w:t>
            </w:r>
          </w:p>
        </w:tc>
      </w:tr>
      <w:tr w:rsidTr="009B3D9B" w:rsidR="00A13645" w:rsidRPr="00C9496A">
        <w:trPr>
          <w:trHeight w:hRule="exact" w:val="345"/>
        </w:trPr>
        <w:tc>
          <w:tcPr>
            <w:tcW w:type="dxa" w:w="7397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78" w:after="50"/>
              <w:ind w:left="120"/>
              <w:textAlignment w:val="baseline"/>
              <w:rPr>
                <w:bCs/>
              </w:rPr>
            </w:pPr>
            <w:r w:rsidRPr="00C9496A">
              <w:rPr>
                <w:bCs/>
              </w:rPr>
              <w:t>Bankovne usluge</w:t>
            </w:r>
          </w:p>
        </w:tc>
        <w:tc>
          <w:tcPr>
            <w:tcW w:type="dxa" w:w="249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78" w:after="51"/>
              <w:textAlignment w:val="baseline"/>
              <w:rPr>
                <w:bCs/>
              </w:rPr>
            </w:pPr>
            <w:r w:rsidRPr="00C9496A">
              <w:rPr>
                <w:bCs/>
              </w:rPr>
              <w:t>224,40</w:t>
            </w:r>
          </w:p>
        </w:tc>
      </w:tr>
      <w:tr w:rsidTr="009B3D9B" w:rsidR="00A13645" w:rsidRPr="00C9496A">
        <w:trPr>
          <w:trHeight w:hRule="exact" w:val="346"/>
        </w:trPr>
        <w:tc>
          <w:tcPr>
            <w:tcW w:type="dxa" w:w="7397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78" w:after="51"/>
              <w:ind w:left="120"/>
              <w:textAlignment w:val="baseline"/>
              <w:rPr>
                <w:bCs/>
              </w:rPr>
            </w:pPr>
            <w:r w:rsidRPr="00C9496A">
              <w:rPr>
                <w:bCs/>
              </w:rPr>
              <w:t>Bruto nagrada i putni troškovi stečajnog upravitelja</w:t>
            </w:r>
          </w:p>
        </w:tc>
        <w:tc>
          <w:tcPr>
            <w:tcW w:type="dxa" w:w="249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78" w:after="50"/>
              <w:textAlignment w:val="baseline"/>
              <w:rPr>
                <w:bCs/>
              </w:rPr>
            </w:pPr>
            <w:r w:rsidRPr="00C9496A">
              <w:rPr>
                <w:bCs/>
              </w:rPr>
              <w:t>25.532,20</w:t>
            </w:r>
          </w:p>
        </w:tc>
      </w:tr>
      <w:tr w:rsidTr="009B3D9B" w:rsidR="00A13645" w:rsidRPr="00C9496A">
        <w:trPr>
          <w:trHeight w:hRule="exact" w:val="345"/>
        </w:trPr>
        <w:tc>
          <w:tcPr>
            <w:tcW w:type="dxa" w:w="7397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78" w:after="40"/>
              <w:ind w:left="120"/>
              <w:textAlignment w:val="baseline"/>
              <w:rPr>
                <w:bCs/>
              </w:rPr>
            </w:pPr>
            <w:r w:rsidRPr="00C9496A">
              <w:rPr>
                <w:bCs/>
              </w:rPr>
              <w:t>Plaćeni PDV u stečaju</w:t>
            </w:r>
          </w:p>
        </w:tc>
        <w:tc>
          <w:tcPr>
            <w:tcW w:type="dxa" w:w="249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78" w:after="34"/>
              <w:textAlignment w:val="baseline"/>
              <w:rPr>
                <w:bCs/>
              </w:rPr>
            </w:pPr>
            <w:r w:rsidRPr="00C9496A">
              <w:rPr>
                <w:bCs/>
              </w:rPr>
              <w:t>440,00</w:t>
            </w:r>
          </w:p>
        </w:tc>
      </w:tr>
      <w:tr w:rsidTr="009B3D9B" w:rsidR="00A13645" w:rsidRPr="00C9496A">
        <w:trPr>
          <w:trHeight w:hRule="exact" w:val="677"/>
        </w:trPr>
        <w:tc>
          <w:tcPr>
            <w:tcW w:type="dxa" w:w="7397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shd w:fill="auto" w:color="C1C5C5" w:val="solid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78" w:after="376"/>
              <w:ind w:left="120"/>
              <w:textAlignment w:val="baseline"/>
              <w:rPr>
                <w:b/>
                <w:bCs/>
              </w:rPr>
            </w:pPr>
            <w:r w:rsidRPr="00C9496A">
              <w:rPr>
                <w:b/>
                <w:bCs/>
              </w:rPr>
              <w:t>2,1. Odljevi /namirenje vjerovnika</w:t>
            </w:r>
          </w:p>
        </w:tc>
        <w:tc>
          <w:tcPr>
            <w:tcW w:type="dxa" w:w="249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shd w:fill="auto" w:color="C1C5C5" w:val="solid"/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78" w:after="374"/>
              <w:textAlignment w:val="baseline"/>
              <w:rPr>
                <w:b/>
                <w:bCs/>
              </w:rPr>
            </w:pPr>
            <w:r w:rsidRPr="00C9496A">
              <w:rPr>
                <w:b/>
                <w:bCs/>
              </w:rPr>
              <w:t>97.180,65</w:t>
            </w:r>
          </w:p>
        </w:tc>
      </w:tr>
      <w:tr w:rsidTr="009B3D9B" w:rsidR="00A13645" w:rsidRPr="00C9496A">
        <w:trPr>
          <w:trHeight w:hRule="exact" w:val="346"/>
        </w:trPr>
        <w:tc>
          <w:tcPr>
            <w:tcW w:type="dxa" w:w="7397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71" w:after="59"/>
              <w:ind w:left="120"/>
              <w:textAlignment w:val="baseline"/>
            </w:pPr>
            <w:r w:rsidRPr="00C9496A">
              <w:t>Namirenje razlučnog vjerovnika RH Ministarstvo financija</w:t>
            </w:r>
          </w:p>
        </w:tc>
        <w:tc>
          <w:tcPr>
            <w:tcW w:type="dxa" w:w="249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71" w:after="54"/>
              <w:textAlignment w:val="baseline"/>
            </w:pPr>
            <w:r w:rsidRPr="00C9496A">
              <w:t>3.800,00</w:t>
            </w:r>
          </w:p>
        </w:tc>
      </w:tr>
      <w:tr w:rsidTr="009B3D9B" w:rsidR="00A13645" w:rsidRPr="00C9496A">
        <w:trPr>
          <w:trHeight w:hRule="exact" w:val="345"/>
        </w:trPr>
        <w:tc>
          <w:tcPr>
            <w:tcW w:type="dxa" w:w="7397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72" w:after="47"/>
              <w:ind w:left="120"/>
              <w:textAlignment w:val="baseline"/>
            </w:pPr>
            <w:r w:rsidRPr="00C9496A">
              <w:t>Namirenje razlučnog vjerovnika Boris Vretenar</w:t>
            </w:r>
          </w:p>
        </w:tc>
        <w:tc>
          <w:tcPr>
            <w:tcW w:type="dxa" w:w="2495"/>
            <w:tcBorders>
              <w:top w:space="0" w:sz="5" w:color="auto" w:val="single"/>
              <w:left w:space="0" w:sz="5" w:color="auto" w:val="single"/>
              <w:bottom w:space="0" w:sz="5" w:color="auto" w:val="single"/>
              <w:right w:space="0" w:sz="5" w:color="auto" w:val="single"/>
            </w:tcBorders>
            <w:vAlign w:val="center"/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71" w:after="39"/>
              <w:textAlignment w:val="baseline"/>
            </w:pPr>
            <w:r w:rsidRPr="00C9496A">
              <w:t>93.380,65</w:t>
            </w:r>
          </w:p>
        </w:tc>
      </w:tr>
      <w:tr w:rsidTr="009B3D9B" w:rsidR="00A13645" w:rsidRPr="00C9496A">
        <w:trPr>
          <w:trHeight w:hRule="exact" w:val="730"/>
        </w:trPr>
        <w:tc>
          <w:tcPr>
            <w:tcW w:type="dxa" w:w="7397"/>
            <w:tcBorders>
              <w:top w:space="0" w:sz="5" w:color="auto" w:val="single"/>
              <w:left w:space="0" w:sz="5" w:color="auto" w:val="single"/>
              <w:bottom w:space="0" w:sz="9" w:color="auto" w:val="double"/>
              <w:right w:space="0" w:sz="5" w:color="auto" w:val="single"/>
            </w:tcBorders>
            <w:shd w:fill="auto" w:color="C1C5C5" w:val="solid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78" w:after="416"/>
              <w:ind w:left="120"/>
              <w:textAlignment w:val="baseline"/>
              <w:rPr>
                <w:b/>
                <w:bCs/>
              </w:rPr>
            </w:pPr>
            <w:r w:rsidRPr="00C9496A">
              <w:rPr>
                <w:b/>
                <w:bCs/>
              </w:rPr>
              <w:t>2.2. Ukupni odljevi sa računa</w:t>
            </w:r>
          </w:p>
        </w:tc>
        <w:tc>
          <w:tcPr>
            <w:tcW w:type="dxa" w:w="2495"/>
            <w:tcBorders>
              <w:top w:space="0" w:sz="5" w:color="auto" w:val="single"/>
              <w:left w:space="0" w:sz="5" w:color="auto" w:val="single"/>
              <w:bottom w:space="0" w:sz="9" w:color="auto" w:val="double"/>
              <w:right w:space="0" w:sz="5" w:color="auto" w:val="single"/>
            </w:tcBorders>
            <w:shd w:fill="auto" w:color="C1C5C5" w:val="solid"/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95" w:after="410"/>
              <w:textAlignment w:val="baseline"/>
              <w:rPr>
                <w:b/>
                <w:bCs/>
              </w:rPr>
            </w:pPr>
            <w:r w:rsidRPr="00C9496A">
              <w:rPr>
                <w:b/>
                <w:bCs/>
              </w:rPr>
              <w:t>148.915,92</w:t>
            </w:r>
          </w:p>
        </w:tc>
      </w:tr>
    </w:tbl>
    <w:p w:rsidRDefault="00A13645" w:rsidP="00A13645" w:rsidR="00A13645" w:rsidRPr="00C9496A">
      <w:pPr>
        <w:jc w:val="both"/>
        <w:rPr>
          <w:bCs/>
        </w:rPr>
      </w:pP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Nakon unovčenja stečajne mase te podmirenja troškova stečajnog postupka i namirenja razlučnih vjerovnika, na računu stečajnog dužnika na dan 10.05.2018. godine nalaze se novčana sredstva u iznosu od 1.091,72 kn (150.007,64 - 148.915,92).</w:t>
      </w:r>
    </w:p>
    <w:p w:rsidRDefault="00A13645" w:rsidP="00A13645" w:rsidR="00A13645" w:rsidRPr="00C9496A">
      <w:pPr>
        <w:jc w:val="both"/>
        <w:rPr>
          <w:bCs/>
        </w:rPr>
      </w:pP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II. ZAVRŠNA BILANCA</w:t>
      </w:r>
    </w:p>
    <w:p w:rsidRDefault="00A13645" w:rsidP="00A13645" w:rsidR="00A13645" w:rsidRPr="00C9496A">
      <w:pPr>
        <w:jc w:val="both"/>
        <w:rPr>
          <w:bCs/>
        </w:rPr>
      </w:pP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Danom otvaranja stečajnog postupka, 14.07.2016. godine, po izvršenoj analizi knjigovodstveno evidentiranog stanja imovine i obveza, prijavljenih tražbina vjerovnika stečajnog dužnika, izvršene procjene mogućnosti naplate potraživanja, izrađena je sukladno čl. 227. Stečajnog zakona početna stečajna bilanca kako je prikazano u Tabeli 2.</w:t>
      </w:r>
    </w:p>
    <w:p w:rsidRDefault="00A13645" w:rsidP="00A13645" w:rsidR="00A13645" w:rsidRPr="00C9496A">
      <w:pPr>
        <w:jc w:val="both"/>
        <w:rPr>
          <w:bCs/>
        </w:rPr>
      </w:pP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Tabela 2.</w:t>
      </w:r>
    </w:p>
    <w:tbl>
      <w:tblPr>
        <w:tblW w:type="auto" w:w="0"/>
        <w:tblInd w:type="dxa" w:w="28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72"/>
        <w:gridCol w:w="4085"/>
        <w:gridCol w:w="2414"/>
        <w:gridCol w:w="2361"/>
      </w:tblGrid>
      <w:tr w:rsidTr="009B3D9B" w:rsidR="00A13645" w:rsidRPr="00C9496A">
        <w:trPr>
          <w:trHeight w:hRule="exact" w:val="1138"/>
        </w:trPr>
        <w:tc>
          <w:tcPr>
            <w:tcW w:type="dxa" w:w="672"/>
            <w:tcBorders>
              <w:top w:space="0" w:sz="10" w:color="auto" w:val="double"/>
              <w:left w:space="0" w:sz="7" w:color="auto" w:val="single"/>
              <w:bottom w:space="0" w:sz="7" w:color="auto" w:val="single"/>
              <w:right w:space="0" w:sz="7" w:color="auto" w:val="single"/>
            </w:tcBorders>
            <w:shd w:fill="auto" w:color="D6DADA" w:val="solid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326" w:after="446" w:before="39"/>
              <w:ind w:right="108" w:left="180"/>
              <w:textAlignment w:val="baseline"/>
              <w:rPr>
                <w:b/>
                <w:bCs/>
              </w:rPr>
            </w:pPr>
            <w:r w:rsidRPr="00C9496A">
              <w:rPr>
                <w:b/>
                <w:bCs/>
              </w:rPr>
              <w:t>R.b r</w:t>
            </w:r>
          </w:p>
        </w:tc>
        <w:tc>
          <w:tcPr>
            <w:tcW w:type="dxa" w:w="4085"/>
            <w:tcBorders>
              <w:top w:space="0" w:sz="10" w:color="auto" w:val="double"/>
              <w:left w:space="0" w:sz="7" w:color="auto" w:val="single"/>
              <w:bottom w:space="0" w:sz="7" w:color="auto" w:val="single"/>
              <w:right w:space="0" w:sz="7" w:color="auto" w:val="single"/>
            </w:tcBorders>
            <w:shd w:fill="auto" w:color="D6DADA" w:val="solid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82" w:after="780" w:before="75"/>
              <w:ind w:right="1561"/>
              <w:jc w:val="right"/>
              <w:textAlignment w:val="baseline"/>
              <w:rPr>
                <w:b/>
                <w:bCs/>
              </w:rPr>
            </w:pPr>
            <w:r w:rsidRPr="00C9496A">
              <w:rPr>
                <w:b/>
                <w:bCs/>
              </w:rPr>
              <w:t>Opis</w:t>
            </w:r>
          </w:p>
        </w:tc>
        <w:tc>
          <w:tcPr>
            <w:tcW w:type="dxa" w:w="2414"/>
            <w:tcBorders>
              <w:top w:space="0" w:sz="10" w:color="auto" w:val="double"/>
              <w:left w:space="0" w:sz="7" w:color="auto" w:val="single"/>
              <w:bottom w:space="0" w:sz="7" w:color="auto" w:val="single"/>
              <w:right w:space="0" w:sz="7" w:color="auto" w:val="single"/>
            </w:tcBorders>
            <w:shd w:fill="auto" w:color="D6DADA" w:val="solid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322" w:before="33"/>
              <w:ind w:left="432"/>
              <w:jc w:val="center"/>
              <w:textAlignment w:val="baseline"/>
              <w:rPr>
                <w:b/>
                <w:bCs/>
              </w:rPr>
            </w:pPr>
            <w:r w:rsidRPr="00C9496A">
              <w:rPr>
                <w:b/>
                <w:bCs/>
              </w:rPr>
              <w:t>Početna stečajna</w:t>
            </w:r>
            <w:r w:rsidRPr="00C9496A">
              <w:rPr>
                <w:b/>
                <w:bCs/>
              </w:rPr>
              <w:br/>
              <w:t>bilanca</w:t>
            </w:r>
          </w:p>
          <w:p w:rsidRDefault="00A13645" w:rsidP="009B3D9B" w:rsidR="00A13645" w:rsidRPr="00C9496A">
            <w:pPr>
              <w:kinsoku w:val="false"/>
              <w:overflowPunct w:val="false"/>
              <w:spacing w:lineRule="exact" w:line="282" w:after="120" w:before="58"/>
              <w:ind w:left="792"/>
              <w:textAlignment w:val="baseline"/>
              <w:rPr>
                <w:b/>
                <w:bCs/>
              </w:rPr>
            </w:pPr>
            <w:r w:rsidRPr="00C9496A">
              <w:rPr>
                <w:b/>
                <w:bCs/>
              </w:rPr>
              <w:t>14.07.2016.</w:t>
            </w:r>
          </w:p>
        </w:tc>
        <w:tc>
          <w:tcPr>
            <w:tcW w:type="dxa" w:w="2361"/>
            <w:tcBorders>
              <w:top w:space="0" w:sz="10" w:color="auto" w:val="double"/>
              <w:left w:space="0" w:sz="7" w:color="auto" w:val="single"/>
              <w:bottom w:space="0" w:sz="7" w:color="auto" w:val="single"/>
              <w:right w:space="0" w:sz="10" w:color="auto" w:val="double"/>
            </w:tcBorders>
            <w:shd w:fill="auto" w:color="D6DADA" w:val="solid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333" w:after="120"/>
              <w:ind w:left="360"/>
              <w:jc w:val="center"/>
              <w:textAlignment w:val="baseline"/>
              <w:rPr>
                <w:b/>
                <w:bCs/>
              </w:rPr>
            </w:pPr>
            <w:r w:rsidRPr="00C9496A">
              <w:rPr>
                <w:b/>
                <w:bCs/>
              </w:rPr>
              <w:t>Prijedlog</w:t>
            </w:r>
            <w:r w:rsidRPr="00C9496A">
              <w:rPr>
                <w:b/>
                <w:bCs/>
              </w:rPr>
              <w:br/>
              <w:t>završne stečajne</w:t>
            </w:r>
            <w:r w:rsidRPr="00C9496A">
              <w:rPr>
                <w:b/>
                <w:bCs/>
              </w:rPr>
              <w:br/>
              <w:t>bilance 1(I.05.18.</w:t>
            </w:r>
          </w:p>
        </w:tc>
      </w:tr>
      <w:tr w:rsidTr="009B3D9B" w:rsidR="00A13645" w:rsidRPr="00C9496A">
        <w:trPr>
          <w:trHeight w:hRule="exact" w:val="432"/>
        </w:trPr>
        <w:tc>
          <w:tcPr>
            <w:tcW w:type="dxa" w:w="672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  <w:vAlign w:val="center"/>
          </w:tcPr>
          <w:p w:rsidRDefault="00A13645" w:rsidP="00A13645" w:rsidR="00A13645" w:rsidRPr="00C9496A">
            <w:pPr>
              <w:widowControl w:val="false"/>
              <w:numPr>
                <w:ilvl w:val="0"/>
                <w:numId w:val="13"/>
              </w:numPr>
              <w:kinsoku w:val="false"/>
              <w:overflowPunct w:val="false"/>
              <w:spacing w:lineRule="exact" w:line="282" w:after="115" w:before="34"/>
              <w:ind w:right="96"/>
              <w:jc w:val="right"/>
              <w:textAlignment w:val="baseline"/>
              <w:rPr>
                <w:bCs/>
              </w:rPr>
            </w:pPr>
          </w:p>
        </w:tc>
        <w:tc>
          <w:tcPr>
            <w:tcW w:type="dxa" w:w="4085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  <w:vAlign w:val="center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69" w:after="128" w:before="34"/>
              <w:ind w:left="67"/>
              <w:textAlignment w:val="baseline"/>
              <w:rPr>
                <w:bCs/>
              </w:rPr>
            </w:pPr>
            <w:r w:rsidRPr="00C9496A">
              <w:rPr>
                <w:bCs/>
              </w:rPr>
              <w:t>Nekretnine</w:t>
            </w:r>
          </w:p>
        </w:tc>
        <w:tc>
          <w:tcPr>
            <w:tcW w:type="dxa" w:w="2414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69" w:after="142"/>
              <w:textAlignment w:val="baseline"/>
              <w:rPr>
                <w:bCs/>
              </w:rPr>
            </w:pPr>
            <w:r w:rsidRPr="00C9496A">
              <w:rPr>
                <w:bCs/>
              </w:rPr>
              <w:t>305.754,00</w:t>
            </w:r>
          </w:p>
        </w:tc>
        <w:tc>
          <w:tcPr>
            <w:tcW w:type="dxa" w:w="2361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10" w:color="auto" w:val="double"/>
            </w:tcBorders>
          </w:tcPr>
          <w:p w:rsidRDefault="00A13645" w:rsidP="009B3D9B" w:rsidR="00A13645" w:rsidRPr="00C9496A">
            <w:pPr>
              <w:tabs>
                <w:tab w:pos="1872" w:val="decimal"/>
              </w:tabs>
              <w:kinsoku w:val="false"/>
              <w:overflowPunct w:val="false"/>
              <w:spacing w:lineRule="exact" w:line="269" w:after="142"/>
              <w:textAlignment w:val="baseline"/>
              <w:rPr>
                <w:bCs/>
              </w:rPr>
            </w:pPr>
            <w:r w:rsidRPr="00C9496A">
              <w:rPr>
                <w:bCs/>
              </w:rPr>
              <w:t>0,00</w:t>
            </w:r>
          </w:p>
        </w:tc>
      </w:tr>
      <w:tr w:rsidTr="009B3D9B" w:rsidR="00A13645" w:rsidRPr="00C9496A">
        <w:trPr>
          <w:trHeight w:hRule="exact" w:val="427"/>
        </w:trPr>
        <w:tc>
          <w:tcPr>
            <w:tcW w:type="dxa" w:w="672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</w:tcPr>
          <w:p w:rsidRDefault="00A13645" w:rsidP="00A13645" w:rsidR="00A13645" w:rsidRPr="00C9496A">
            <w:pPr>
              <w:widowControl w:val="false"/>
              <w:numPr>
                <w:ilvl w:val="0"/>
                <w:numId w:val="13"/>
              </w:numPr>
              <w:kinsoku w:val="false"/>
              <w:overflowPunct w:val="false"/>
              <w:spacing w:lineRule="exact" w:line="269" w:after="126"/>
              <w:ind w:right="96"/>
              <w:jc w:val="right"/>
              <w:textAlignment w:val="baseline"/>
              <w:rPr>
                <w:bCs/>
              </w:rPr>
            </w:pPr>
          </w:p>
        </w:tc>
        <w:tc>
          <w:tcPr>
            <w:tcW w:type="dxa" w:w="4085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69" w:after="128"/>
              <w:ind w:left="67"/>
              <w:textAlignment w:val="baseline"/>
              <w:rPr>
                <w:bCs/>
              </w:rPr>
            </w:pPr>
            <w:r w:rsidRPr="00C9496A">
              <w:rPr>
                <w:bCs/>
              </w:rPr>
              <w:t>Pokretnine</w:t>
            </w:r>
          </w:p>
        </w:tc>
        <w:tc>
          <w:tcPr>
            <w:tcW w:type="dxa" w:w="2414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69" w:after="133"/>
              <w:textAlignment w:val="baseline"/>
              <w:rPr>
                <w:bCs/>
              </w:rPr>
            </w:pPr>
            <w:r w:rsidRPr="00C9496A">
              <w:rPr>
                <w:bCs/>
              </w:rPr>
              <w:t>0,00</w:t>
            </w:r>
          </w:p>
        </w:tc>
        <w:tc>
          <w:tcPr>
            <w:tcW w:type="dxa" w:w="2361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10" w:color="auto" w:val="double"/>
            </w:tcBorders>
          </w:tcPr>
          <w:p w:rsidRDefault="00A13645" w:rsidP="009B3D9B" w:rsidR="00A13645" w:rsidRPr="00C9496A">
            <w:pPr>
              <w:tabs>
                <w:tab w:pos="1872" w:val="decimal"/>
              </w:tabs>
              <w:kinsoku w:val="false"/>
              <w:overflowPunct w:val="false"/>
              <w:spacing w:lineRule="exact" w:line="269" w:after="133"/>
              <w:textAlignment w:val="baseline"/>
              <w:rPr>
                <w:bCs/>
              </w:rPr>
            </w:pPr>
            <w:r w:rsidRPr="00C9496A">
              <w:rPr>
                <w:bCs/>
              </w:rPr>
              <w:t>0,00</w:t>
            </w:r>
          </w:p>
        </w:tc>
      </w:tr>
      <w:tr w:rsidTr="009B3D9B" w:rsidR="00A13645" w:rsidRPr="00C9496A">
        <w:trPr>
          <w:trHeight w:hRule="exact" w:val="427"/>
        </w:trPr>
        <w:tc>
          <w:tcPr>
            <w:tcW w:type="dxa" w:w="672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  <w:vAlign w:val="center"/>
          </w:tcPr>
          <w:p w:rsidRDefault="00A13645" w:rsidP="00A13645" w:rsidR="00A13645" w:rsidRPr="00C9496A">
            <w:pPr>
              <w:widowControl w:val="false"/>
              <w:numPr>
                <w:ilvl w:val="0"/>
                <w:numId w:val="13"/>
              </w:numPr>
              <w:kinsoku w:val="false"/>
              <w:overflowPunct w:val="false"/>
              <w:spacing w:lineRule="exact" w:line="269" w:after="128"/>
              <w:ind w:right="96"/>
              <w:jc w:val="right"/>
              <w:textAlignment w:val="baseline"/>
              <w:rPr>
                <w:bCs/>
              </w:rPr>
            </w:pPr>
          </w:p>
        </w:tc>
        <w:tc>
          <w:tcPr>
            <w:tcW w:type="dxa" w:w="4085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  <w:vAlign w:val="center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69" w:after="128"/>
              <w:ind w:left="67"/>
              <w:textAlignment w:val="baseline"/>
              <w:rPr>
                <w:bCs/>
              </w:rPr>
            </w:pPr>
            <w:r w:rsidRPr="00C9496A">
              <w:rPr>
                <w:bCs/>
              </w:rPr>
              <w:t>Zalihe</w:t>
            </w:r>
          </w:p>
        </w:tc>
        <w:tc>
          <w:tcPr>
            <w:tcW w:type="dxa" w:w="2414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69" w:after="133"/>
              <w:textAlignment w:val="baseline"/>
              <w:rPr>
                <w:bCs/>
              </w:rPr>
            </w:pPr>
            <w:r w:rsidRPr="00C9496A">
              <w:rPr>
                <w:bCs/>
              </w:rPr>
              <w:t>0,00</w:t>
            </w:r>
          </w:p>
        </w:tc>
        <w:tc>
          <w:tcPr>
            <w:tcW w:type="dxa" w:w="2361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10" w:color="auto" w:val="double"/>
            </w:tcBorders>
          </w:tcPr>
          <w:p w:rsidRDefault="00A13645" w:rsidP="009B3D9B" w:rsidR="00A13645" w:rsidRPr="00C9496A">
            <w:pPr>
              <w:tabs>
                <w:tab w:pos="1872" w:val="decimal"/>
              </w:tabs>
              <w:kinsoku w:val="false"/>
              <w:overflowPunct w:val="false"/>
              <w:spacing w:lineRule="exact" w:line="269" w:after="138"/>
              <w:textAlignment w:val="baseline"/>
              <w:rPr>
                <w:bCs/>
              </w:rPr>
            </w:pPr>
            <w:r w:rsidRPr="00C9496A">
              <w:rPr>
                <w:bCs/>
              </w:rPr>
              <w:t>0,00</w:t>
            </w:r>
          </w:p>
        </w:tc>
      </w:tr>
      <w:tr w:rsidTr="009B3D9B" w:rsidR="00A13645" w:rsidRPr="00C9496A">
        <w:trPr>
          <w:trHeight w:hRule="exact" w:val="432"/>
        </w:trPr>
        <w:tc>
          <w:tcPr>
            <w:tcW w:type="dxa" w:w="672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  <w:vAlign w:val="center"/>
          </w:tcPr>
          <w:p w:rsidRDefault="00A13645" w:rsidP="00A13645" w:rsidR="00A13645" w:rsidRPr="00C9496A">
            <w:pPr>
              <w:widowControl w:val="false"/>
              <w:numPr>
                <w:ilvl w:val="0"/>
                <w:numId w:val="13"/>
              </w:numPr>
              <w:kinsoku w:val="false"/>
              <w:overflowPunct w:val="false"/>
              <w:spacing w:lineRule="exact" w:line="269" w:after="128"/>
              <w:ind w:right="96"/>
              <w:jc w:val="right"/>
              <w:textAlignment w:val="baseline"/>
              <w:rPr>
                <w:bCs/>
              </w:rPr>
            </w:pPr>
          </w:p>
        </w:tc>
        <w:tc>
          <w:tcPr>
            <w:tcW w:type="dxa" w:w="4085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71" w:after="134"/>
              <w:ind w:left="67"/>
              <w:textAlignment w:val="baseline"/>
              <w:rPr>
                <w:bCs/>
              </w:rPr>
            </w:pPr>
            <w:r w:rsidRPr="00C9496A">
              <w:rPr>
                <w:bCs/>
              </w:rPr>
              <w:t>Potraživanja od kupaca</w:t>
            </w:r>
          </w:p>
        </w:tc>
        <w:tc>
          <w:tcPr>
            <w:tcW w:type="dxa" w:w="2414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69" w:after="143"/>
              <w:textAlignment w:val="baseline"/>
              <w:rPr>
                <w:bCs/>
              </w:rPr>
            </w:pPr>
            <w:r w:rsidRPr="00C9496A">
              <w:rPr>
                <w:bCs/>
              </w:rPr>
              <w:t>0,00</w:t>
            </w:r>
          </w:p>
        </w:tc>
        <w:tc>
          <w:tcPr>
            <w:tcW w:type="dxa" w:w="2361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10" w:color="auto" w:val="double"/>
            </w:tcBorders>
          </w:tcPr>
          <w:p w:rsidRDefault="00A13645" w:rsidP="009B3D9B" w:rsidR="00A13645" w:rsidRPr="00C9496A">
            <w:pPr>
              <w:tabs>
                <w:tab w:pos="1872" w:val="decimal"/>
              </w:tabs>
              <w:kinsoku w:val="false"/>
              <w:overflowPunct w:val="false"/>
              <w:spacing w:lineRule="exact" w:line="269" w:after="143"/>
              <w:textAlignment w:val="baseline"/>
              <w:rPr>
                <w:bCs/>
              </w:rPr>
            </w:pPr>
            <w:r w:rsidRPr="00C9496A">
              <w:rPr>
                <w:bCs/>
              </w:rPr>
              <w:t>0,00</w:t>
            </w:r>
          </w:p>
        </w:tc>
      </w:tr>
      <w:tr w:rsidTr="009B3D9B" w:rsidR="00A13645" w:rsidRPr="00C9496A">
        <w:trPr>
          <w:trHeight w:hRule="exact" w:val="422"/>
        </w:trPr>
        <w:tc>
          <w:tcPr>
            <w:tcW w:type="dxa" w:w="672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  <w:vAlign w:val="center"/>
          </w:tcPr>
          <w:p w:rsidRDefault="00A13645" w:rsidP="00A13645" w:rsidR="00A13645" w:rsidRPr="00C9496A">
            <w:pPr>
              <w:widowControl w:val="false"/>
              <w:numPr>
                <w:ilvl w:val="0"/>
                <w:numId w:val="13"/>
              </w:numPr>
              <w:kinsoku w:val="false"/>
              <w:overflowPunct w:val="false"/>
              <w:spacing w:lineRule="exact" w:line="269" w:after="119"/>
              <w:ind w:right="96"/>
              <w:jc w:val="right"/>
              <w:textAlignment w:val="baseline"/>
              <w:rPr>
                <w:bCs/>
              </w:rPr>
            </w:pPr>
          </w:p>
        </w:tc>
        <w:tc>
          <w:tcPr>
            <w:tcW w:type="dxa" w:w="4085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69" w:after="124"/>
              <w:ind w:left="67"/>
              <w:textAlignment w:val="baseline"/>
              <w:rPr>
                <w:bCs/>
              </w:rPr>
            </w:pPr>
            <w:r w:rsidRPr="00C9496A">
              <w:rPr>
                <w:bCs/>
              </w:rPr>
              <w:t>Ostala potraživanja</w:t>
            </w:r>
          </w:p>
        </w:tc>
        <w:tc>
          <w:tcPr>
            <w:tcW w:type="dxa" w:w="2414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69" w:after="129"/>
              <w:textAlignment w:val="baseline"/>
              <w:rPr>
                <w:bCs/>
              </w:rPr>
            </w:pPr>
            <w:r w:rsidRPr="00C9496A">
              <w:rPr>
                <w:bCs/>
              </w:rPr>
              <w:t>0,00</w:t>
            </w:r>
          </w:p>
        </w:tc>
        <w:tc>
          <w:tcPr>
            <w:tcW w:type="dxa" w:w="2361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10" w:color="auto" w:val="double"/>
            </w:tcBorders>
          </w:tcPr>
          <w:p w:rsidRDefault="00A13645" w:rsidP="009B3D9B" w:rsidR="00A13645" w:rsidRPr="00C9496A">
            <w:pPr>
              <w:tabs>
                <w:tab w:pos="1872" w:val="decimal"/>
              </w:tabs>
              <w:kinsoku w:val="false"/>
              <w:overflowPunct w:val="false"/>
              <w:spacing w:lineRule="exact" w:line="269" w:after="133"/>
              <w:textAlignment w:val="baseline"/>
              <w:rPr>
                <w:bCs/>
              </w:rPr>
            </w:pPr>
            <w:r w:rsidRPr="00C9496A">
              <w:rPr>
                <w:bCs/>
              </w:rPr>
              <w:t>0,00</w:t>
            </w:r>
          </w:p>
        </w:tc>
      </w:tr>
      <w:tr w:rsidTr="009B3D9B" w:rsidR="00A13645" w:rsidRPr="00C9496A">
        <w:trPr>
          <w:trHeight w:hRule="exact" w:val="428"/>
        </w:trPr>
        <w:tc>
          <w:tcPr>
            <w:tcW w:type="dxa" w:w="672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  <w:shd w:fill="auto" w:color="C6CACA" w:val="solid"/>
            <w:vAlign w:val="center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69" w:after="119" w:before="35"/>
              <w:ind w:right="96"/>
              <w:jc w:val="right"/>
              <w:textAlignment w:val="baseline"/>
              <w:rPr>
                <w:b/>
                <w:bCs/>
              </w:rPr>
            </w:pPr>
            <w:r w:rsidRPr="00C9496A">
              <w:rPr>
                <w:b/>
                <w:bCs/>
              </w:rPr>
              <w:t>A)</w:t>
            </w:r>
          </w:p>
        </w:tc>
        <w:tc>
          <w:tcPr>
            <w:tcW w:type="dxa" w:w="4085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  <w:shd w:fill="auto" w:color="D6DADA" w:val="solid"/>
            <w:vAlign w:val="center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88" w:after="120"/>
              <w:ind w:left="67"/>
              <w:textAlignment w:val="baseline"/>
              <w:rPr>
                <w:b/>
                <w:bCs/>
              </w:rPr>
            </w:pPr>
            <w:r w:rsidRPr="00C9496A">
              <w:rPr>
                <w:b/>
                <w:bCs/>
              </w:rPr>
              <w:t>Imovina (r.br. 1+2+3+4+5)</w:t>
            </w:r>
          </w:p>
        </w:tc>
        <w:tc>
          <w:tcPr>
            <w:tcW w:type="dxa" w:w="2414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  <w:shd w:fill="auto" w:color="D6DADA" w:val="solid"/>
            <w:vAlign w:val="center"/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69" w:after="124"/>
              <w:textAlignment w:val="baseline"/>
              <w:rPr>
                <w:b/>
                <w:bCs/>
              </w:rPr>
            </w:pPr>
            <w:r w:rsidRPr="00C9496A">
              <w:rPr>
                <w:b/>
                <w:bCs/>
              </w:rPr>
              <w:t>305.754,00</w:t>
            </w:r>
          </w:p>
        </w:tc>
        <w:tc>
          <w:tcPr>
            <w:tcW w:type="dxa" w:w="2361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10" w:color="auto" w:val="double"/>
            </w:tcBorders>
            <w:shd w:fill="auto" w:color="D6DADA" w:val="solid"/>
            <w:vAlign w:val="center"/>
          </w:tcPr>
          <w:p w:rsidRDefault="00A13645" w:rsidP="009B3D9B" w:rsidR="00A13645" w:rsidRPr="00C9496A">
            <w:pPr>
              <w:tabs>
                <w:tab w:pos="1872" w:val="decimal"/>
              </w:tabs>
              <w:kinsoku w:val="false"/>
              <w:overflowPunct w:val="false"/>
              <w:spacing w:lineRule="exact" w:line="269" w:after="124"/>
              <w:textAlignment w:val="baseline"/>
              <w:rPr>
                <w:b/>
                <w:bCs/>
              </w:rPr>
            </w:pPr>
            <w:r w:rsidRPr="00C9496A">
              <w:rPr>
                <w:b/>
                <w:bCs/>
              </w:rPr>
              <w:t>0,00</w:t>
            </w:r>
          </w:p>
        </w:tc>
      </w:tr>
      <w:tr w:rsidTr="009B3D9B" w:rsidR="00A13645" w:rsidRPr="00C9496A">
        <w:trPr>
          <w:trHeight w:hRule="exact" w:val="758"/>
        </w:trPr>
        <w:tc>
          <w:tcPr>
            <w:tcW w:type="dxa" w:w="672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</w:tcPr>
          <w:p w:rsidRDefault="00A13645" w:rsidP="00A13645" w:rsidR="00A13645" w:rsidRPr="00C9496A">
            <w:pPr>
              <w:widowControl w:val="false"/>
              <w:numPr>
                <w:ilvl w:val="0"/>
                <w:numId w:val="14"/>
              </w:numPr>
              <w:kinsoku w:val="false"/>
              <w:overflowPunct w:val="false"/>
              <w:spacing w:lineRule="exact" w:line="269" w:after="459"/>
              <w:ind w:right="96"/>
              <w:jc w:val="right"/>
              <w:textAlignment w:val="baseline"/>
              <w:rPr>
                <w:bCs/>
              </w:rPr>
            </w:pPr>
          </w:p>
        </w:tc>
        <w:tc>
          <w:tcPr>
            <w:tcW w:type="dxa" w:w="4085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307" w:after="128"/>
              <w:ind w:left="72"/>
              <w:textAlignment w:val="baseline"/>
              <w:rPr>
                <w:bCs/>
              </w:rPr>
            </w:pPr>
            <w:r w:rsidRPr="00C9496A">
              <w:rPr>
                <w:bCs/>
              </w:rPr>
              <w:t>Obveze prema dobavljačima i ostale kratkoročne obveze</w:t>
            </w:r>
          </w:p>
        </w:tc>
        <w:tc>
          <w:tcPr>
            <w:tcW w:type="dxa" w:w="2414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69" w:after="459"/>
              <w:textAlignment w:val="baseline"/>
              <w:rPr>
                <w:bCs/>
              </w:rPr>
            </w:pPr>
            <w:r w:rsidRPr="00C9496A">
              <w:rPr>
                <w:bCs/>
              </w:rPr>
              <w:t>5.010,03</w:t>
            </w:r>
          </w:p>
        </w:tc>
        <w:tc>
          <w:tcPr>
            <w:tcW w:type="dxa" w:w="2361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10" w:color="auto" w:val="double"/>
            </w:tcBorders>
          </w:tcPr>
          <w:p w:rsidRDefault="00A13645" w:rsidP="009B3D9B" w:rsidR="00A13645" w:rsidRPr="00C9496A">
            <w:pPr>
              <w:tabs>
                <w:tab w:pos="1872" w:val="decimal"/>
              </w:tabs>
              <w:kinsoku w:val="false"/>
              <w:overflowPunct w:val="false"/>
              <w:spacing w:lineRule="exact" w:line="269" w:after="459"/>
              <w:textAlignment w:val="baseline"/>
              <w:rPr>
                <w:bCs/>
              </w:rPr>
            </w:pPr>
            <w:r w:rsidRPr="00C9496A">
              <w:rPr>
                <w:bCs/>
              </w:rPr>
              <w:t>5.010,03</w:t>
            </w:r>
          </w:p>
        </w:tc>
      </w:tr>
      <w:tr w:rsidTr="009B3D9B" w:rsidR="00A13645" w:rsidRPr="00C9496A">
        <w:trPr>
          <w:trHeight w:hRule="exact" w:val="427"/>
        </w:trPr>
        <w:tc>
          <w:tcPr>
            <w:tcW w:type="dxa" w:w="672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</w:tcPr>
          <w:p w:rsidRDefault="00A13645" w:rsidP="00A13645" w:rsidR="00A13645" w:rsidRPr="00C9496A">
            <w:pPr>
              <w:widowControl w:val="false"/>
              <w:numPr>
                <w:ilvl w:val="0"/>
                <w:numId w:val="14"/>
              </w:numPr>
              <w:kinsoku w:val="false"/>
              <w:overflowPunct w:val="false"/>
              <w:spacing w:lineRule="exact" w:line="269" w:after="128"/>
              <w:ind w:right="96"/>
              <w:jc w:val="right"/>
              <w:textAlignment w:val="baseline"/>
              <w:rPr>
                <w:bCs/>
              </w:rPr>
            </w:pPr>
          </w:p>
        </w:tc>
        <w:tc>
          <w:tcPr>
            <w:tcW w:type="dxa" w:w="4085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82" w:after="118"/>
              <w:ind w:left="67"/>
              <w:textAlignment w:val="baseline"/>
              <w:rPr>
                <w:bCs/>
              </w:rPr>
            </w:pPr>
            <w:r w:rsidRPr="00C9496A">
              <w:rPr>
                <w:bCs/>
              </w:rPr>
              <w:t>Obveze za pozajmice i kredite</w:t>
            </w:r>
          </w:p>
        </w:tc>
        <w:tc>
          <w:tcPr>
            <w:tcW w:type="dxa" w:w="2414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69" w:after="128"/>
              <w:textAlignment w:val="baseline"/>
              <w:rPr>
                <w:bCs/>
              </w:rPr>
            </w:pPr>
            <w:r w:rsidRPr="00C9496A">
              <w:rPr>
                <w:bCs/>
              </w:rPr>
              <w:t>136.552,78</w:t>
            </w:r>
          </w:p>
        </w:tc>
        <w:tc>
          <w:tcPr>
            <w:tcW w:type="dxa" w:w="2361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10" w:color="auto" w:val="double"/>
            </w:tcBorders>
          </w:tcPr>
          <w:p w:rsidRDefault="00A13645" w:rsidP="009B3D9B" w:rsidR="00A13645" w:rsidRPr="00C9496A">
            <w:pPr>
              <w:tabs>
                <w:tab w:pos="1872" w:val="decimal"/>
              </w:tabs>
              <w:kinsoku w:val="false"/>
              <w:overflowPunct w:val="false"/>
              <w:spacing w:lineRule="exact" w:line="269" w:after="129"/>
              <w:textAlignment w:val="baseline"/>
              <w:rPr>
                <w:bCs/>
              </w:rPr>
            </w:pPr>
            <w:r w:rsidRPr="00C9496A">
              <w:rPr>
                <w:bCs/>
              </w:rPr>
              <w:t>43.172,13</w:t>
            </w:r>
          </w:p>
        </w:tc>
      </w:tr>
      <w:tr w:rsidTr="009B3D9B" w:rsidR="00A13645" w:rsidRPr="00C9496A">
        <w:trPr>
          <w:trHeight w:hRule="exact" w:val="427"/>
        </w:trPr>
        <w:tc>
          <w:tcPr>
            <w:tcW w:type="dxa" w:w="672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</w:tcPr>
          <w:p w:rsidRDefault="00A13645" w:rsidP="00A13645" w:rsidR="00A13645" w:rsidRPr="00C9496A">
            <w:pPr>
              <w:widowControl w:val="false"/>
              <w:numPr>
                <w:ilvl w:val="0"/>
                <w:numId w:val="14"/>
              </w:numPr>
              <w:kinsoku w:val="false"/>
              <w:overflowPunct w:val="false"/>
              <w:spacing w:lineRule="exact" w:line="269" w:after="133"/>
              <w:ind w:right="96"/>
              <w:jc w:val="right"/>
              <w:textAlignment w:val="baseline"/>
              <w:rPr>
                <w:bCs/>
              </w:rPr>
            </w:pPr>
          </w:p>
        </w:tc>
        <w:tc>
          <w:tcPr>
            <w:tcW w:type="dxa" w:w="4085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82" w:after="128"/>
              <w:ind w:left="67"/>
              <w:textAlignment w:val="baseline"/>
              <w:rPr>
                <w:bCs/>
              </w:rPr>
            </w:pPr>
            <w:r w:rsidRPr="00C9496A">
              <w:rPr>
                <w:bCs/>
              </w:rPr>
              <w:t>Obveze za poreze i doprinose</w:t>
            </w:r>
          </w:p>
        </w:tc>
        <w:tc>
          <w:tcPr>
            <w:tcW w:type="dxa" w:w="2414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69" w:after="133"/>
              <w:textAlignment w:val="baseline"/>
              <w:rPr>
                <w:bCs/>
              </w:rPr>
            </w:pPr>
            <w:r w:rsidRPr="00C9496A">
              <w:rPr>
                <w:bCs/>
              </w:rPr>
              <w:t>69.945,25</w:t>
            </w:r>
          </w:p>
        </w:tc>
        <w:tc>
          <w:tcPr>
            <w:tcW w:type="dxa" w:w="2361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10" w:color="auto" w:val="double"/>
            </w:tcBorders>
          </w:tcPr>
          <w:p w:rsidRDefault="00A13645" w:rsidP="009B3D9B" w:rsidR="00A13645" w:rsidRPr="00C9496A">
            <w:pPr>
              <w:tabs>
                <w:tab w:pos="1872" w:val="decimal"/>
              </w:tabs>
              <w:kinsoku w:val="false"/>
              <w:overflowPunct w:val="false"/>
              <w:spacing w:lineRule="exact" w:line="269" w:after="133"/>
              <w:textAlignment w:val="baseline"/>
              <w:rPr>
                <w:bCs/>
              </w:rPr>
            </w:pPr>
            <w:r w:rsidRPr="00C9496A">
              <w:rPr>
                <w:bCs/>
              </w:rPr>
              <w:t>66.145,25</w:t>
            </w:r>
          </w:p>
        </w:tc>
      </w:tr>
      <w:tr w:rsidTr="009B3D9B" w:rsidR="00A13645" w:rsidRPr="00C9496A">
        <w:trPr>
          <w:trHeight w:hRule="exact" w:val="413"/>
        </w:trPr>
        <w:tc>
          <w:tcPr>
            <w:tcW w:type="dxa" w:w="672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  <w:shd w:fill="auto" w:color="C6CACA" w:val="solid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69" w:after="119"/>
              <w:ind w:right="96"/>
              <w:jc w:val="right"/>
              <w:textAlignment w:val="baseline"/>
              <w:rPr>
                <w:b/>
                <w:bCs/>
              </w:rPr>
            </w:pPr>
            <w:r w:rsidRPr="00C9496A">
              <w:rPr>
                <w:b/>
                <w:bCs/>
              </w:rPr>
              <w:t>B)</w:t>
            </w:r>
          </w:p>
        </w:tc>
        <w:tc>
          <w:tcPr>
            <w:tcW w:type="dxa" w:w="4085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  <w:shd w:fill="auto" w:color="D6DADA" w:val="solid"/>
          </w:tcPr>
          <w:p w:rsidRDefault="00A13645" w:rsidP="009B3D9B" w:rsidR="00A13645" w:rsidRPr="00C9496A">
            <w:pPr>
              <w:kinsoku w:val="false"/>
              <w:overflowPunct w:val="false"/>
              <w:spacing w:lineRule="exact" w:line="269" w:after="126"/>
              <w:ind w:left="67"/>
              <w:textAlignment w:val="baseline"/>
              <w:rPr>
                <w:b/>
                <w:bCs/>
              </w:rPr>
            </w:pPr>
            <w:r w:rsidRPr="00C9496A">
              <w:rPr>
                <w:b/>
                <w:bCs/>
              </w:rPr>
              <w:t>Obveze (r.br. 1+2+3)</w:t>
            </w:r>
          </w:p>
        </w:tc>
        <w:tc>
          <w:tcPr>
            <w:tcW w:type="dxa" w:w="2414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7" w:color="auto" w:val="single"/>
            </w:tcBorders>
            <w:shd w:fill="auto" w:color="D6DADA" w:val="solid"/>
          </w:tcPr>
          <w:p w:rsidRDefault="00A13645" w:rsidP="009B3D9B" w:rsidR="00A13645" w:rsidRPr="00C9496A">
            <w:pPr>
              <w:tabs>
                <w:tab w:pos="2016" w:val="decimal"/>
              </w:tabs>
              <w:kinsoku w:val="false"/>
              <w:overflowPunct w:val="false"/>
              <w:spacing w:lineRule="exact" w:line="269" w:after="129"/>
              <w:textAlignment w:val="baseline"/>
              <w:rPr>
                <w:b/>
                <w:bCs/>
              </w:rPr>
            </w:pPr>
            <w:r w:rsidRPr="00C9496A">
              <w:rPr>
                <w:b/>
                <w:bCs/>
              </w:rPr>
              <w:t>211.508,06</w:t>
            </w:r>
          </w:p>
        </w:tc>
        <w:tc>
          <w:tcPr>
            <w:tcW w:type="dxa" w:w="2361"/>
            <w:tcBorders>
              <w:top w:space="0" w:sz="7" w:color="auto" w:val="single"/>
              <w:left w:space="0" w:sz="7" w:color="auto" w:val="single"/>
              <w:bottom w:space="0" w:sz="7" w:color="auto" w:val="single"/>
              <w:right w:space="0" w:sz="10" w:color="auto" w:val="double"/>
            </w:tcBorders>
            <w:shd w:fill="auto" w:color="D6DADA" w:val="solid"/>
          </w:tcPr>
          <w:p w:rsidRDefault="00A13645" w:rsidP="009B3D9B" w:rsidR="00A13645" w:rsidRPr="00C9496A">
            <w:pPr>
              <w:tabs>
                <w:tab w:pos="1872" w:val="decimal"/>
              </w:tabs>
              <w:kinsoku w:val="false"/>
              <w:overflowPunct w:val="false"/>
              <w:spacing w:lineRule="exact" w:line="269" w:after="119"/>
              <w:textAlignment w:val="baseline"/>
              <w:rPr>
                <w:b/>
                <w:bCs/>
              </w:rPr>
            </w:pPr>
            <w:r w:rsidRPr="00C9496A">
              <w:rPr>
                <w:b/>
                <w:bCs/>
              </w:rPr>
              <w:t>114.327,41</w:t>
            </w:r>
          </w:p>
        </w:tc>
      </w:tr>
    </w:tbl>
    <w:p w:rsidRDefault="00A13645" w:rsidP="00A13645" w:rsidR="00A13645" w:rsidRPr="00C9496A">
      <w:pPr>
        <w:jc w:val="both"/>
        <w:rPr>
          <w:bCs/>
        </w:rPr>
      </w:pPr>
    </w:p>
    <w:p w:rsidRDefault="00A13645" w:rsidP="00A13645" w:rsidR="00A13645" w:rsidRPr="00C9496A">
      <w:pPr>
        <w:jc w:val="both"/>
        <w:rPr>
          <w:bCs/>
        </w:rPr>
      </w:pP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III. ZAVRŠNI IZVJEŠTAJ STEČAJNOGA UPRAVITELJA</w:t>
      </w:r>
    </w:p>
    <w:p w:rsidRDefault="00A13645" w:rsidP="00A13645" w:rsidR="00A13645" w:rsidRPr="00C9496A">
      <w:pPr>
        <w:jc w:val="both"/>
        <w:rPr>
          <w:bCs/>
        </w:rPr>
      </w:pP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Nakon izrade početne stečajne bilance, održano je ispitno ročište na kojem su ispitane i priznate tražbine vjerovnika u iznosu od 211.508,06 kn, (I. viši isplatni red u iznosu od 35.119,47 kn, II. viši isplatni red u iznosu od 176.388,59 kn).</w:t>
      </w: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Do dana izrade ovog izvješća namirene su tražbine vjerovnika 1. i II. višeg isplatnog reda (ujedno i razlučnih vjerovnika) u iznosu od 97.180,65 kn, odnosno 45,94 % od ukupno priznatih tražbina, kako je to prikazano u tabelarnom prikazu završnog popisa koji se nalazi u prilogu.</w:t>
      </w:r>
    </w:p>
    <w:p w:rsidRDefault="00A13645" w:rsidP="00A13645" w:rsidR="00A13645" w:rsidRPr="00C9496A">
      <w:pPr>
        <w:jc w:val="both"/>
        <w:rPr>
          <w:bCs/>
        </w:rPr>
      </w:pP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U ovom stečajnom postupku u razdoblju od 14.07.2016. do 10.05.2018 godine poduzete su slijedeće radnje:</w:t>
      </w:r>
    </w:p>
    <w:p w:rsidRDefault="00A13645" w:rsidP="00A13645" w:rsidR="00A13645" w:rsidRPr="00C9496A">
      <w:pPr>
        <w:pStyle w:val="Odlomakpopisa"/>
        <w:numPr>
          <w:ilvl w:val="0"/>
          <w:numId w:val="10"/>
        </w:numPr>
        <w:jc w:val="both"/>
        <w:rPr>
          <w:bCs/>
          <w:color w:val="auto"/>
          <w:sz w:val="24"/>
          <w:szCs w:val="24"/>
        </w:rPr>
      </w:pPr>
      <w:r w:rsidRPr="00C9496A">
        <w:rPr>
          <w:bCs/>
          <w:color w:val="auto"/>
          <w:sz w:val="24"/>
          <w:szCs w:val="24"/>
        </w:rPr>
        <w:t>Održano je ispitno ročište 11.10.2016. godine na kojem su ispitane i priznate tražbine stečajnih vjerovnika,</w:t>
      </w:r>
    </w:p>
    <w:p w:rsidRDefault="00A13645" w:rsidP="00A13645" w:rsidR="00A13645" w:rsidRPr="00C9496A">
      <w:pPr>
        <w:pStyle w:val="Odlomakpopisa"/>
        <w:numPr>
          <w:ilvl w:val="0"/>
          <w:numId w:val="10"/>
        </w:numPr>
        <w:jc w:val="both"/>
        <w:rPr>
          <w:bCs/>
          <w:color w:val="auto"/>
          <w:sz w:val="24"/>
          <w:szCs w:val="24"/>
        </w:rPr>
      </w:pPr>
      <w:r w:rsidRPr="00C9496A">
        <w:rPr>
          <w:bCs/>
          <w:color w:val="auto"/>
          <w:sz w:val="24"/>
          <w:szCs w:val="24"/>
        </w:rPr>
        <w:t>Izvršeno je usklađenje u poslovnim knjigama stečajnog dužnika s osnove potraživanja čija naplata nije moguća,</w:t>
      </w:r>
    </w:p>
    <w:p w:rsidRDefault="00A13645" w:rsidP="00A13645" w:rsidR="00A13645" w:rsidRPr="00C9496A">
      <w:pPr>
        <w:pStyle w:val="Odlomakpopisa"/>
        <w:numPr>
          <w:ilvl w:val="0"/>
          <w:numId w:val="10"/>
        </w:numPr>
        <w:jc w:val="both"/>
        <w:rPr>
          <w:bCs/>
          <w:color w:val="auto"/>
          <w:sz w:val="24"/>
          <w:szCs w:val="24"/>
        </w:rPr>
      </w:pPr>
      <w:r w:rsidRPr="00C9496A">
        <w:rPr>
          <w:bCs/>
          <w:color w:val="auto"/>
          <w:sz w:val="24"/>
          <w:szCs w:val="24"/>
        </w:rPr>
        <w:t>Izvršena je prodaja cjelokupne imovine stečajnog dužnika,</w:t>
      </w:r>
    </w:p>
    <w:p w:rsidRDefault="00A13645" w:rsidP="00A13645" w:rsidR="00A13645" w:rsidRPr="00C9496A">
      <w:pPr>
        <w:pStyle w:val="Odlomakpopisa"/>
        <w:numPr>
          <w:ilvl w:val="0"/>
          <w:numId w:val="10"/>
        </w:numPr>
        <w:jc w:val="both"/>
        <w:rPr>
          <w:bCs/>
          <w:color w:val="auto"/>
          <w:sz w:val="24"/>
          <w:szCs w:val="24"/>
        </w:rPr>
      </w:pPr>
      <w:r w:rsidRPr="00C9496A">
        <w:rPr>
          <w:bCs/>
          <w:color w:val="auto"/>
          <w:sz w:val="24"/>
          <w:szCs w:val="24"/>
        </w:rPr>
        <w:t>Podmireni su dospjeli troškovi stečajnog postupka,</w:t>
      </w:r>
    </w:p>
    <w:p w:rsidRDefault="00A13645" w:rsidP="00A13645" w:rsidR="00A13645" w:rsidRPr="00C9496A">
      <w:pPr>
        <w:pStyle w:val="Odlomakpopisa"/>
        <w:numPr>
          <w:ilvl w:val="0"/>
          <w:numId w:val="10"/>
        </w:numPr>
        <w:jc w:val="both"/>
        <w:rPr>
          <w:bCs/>
          <w:color w:val="auto"/>
          <w:sz w:val="24"/>
          <w:szCs w:val="24"/>
        </w:rPr>
      </w:pPr>
      <w:r w:rsidRPr="00C9496A">
        <w:rPr>
          <w:bCs/>
          <w:color w:val="auto"/>
          <w:sz w:val="24"/>
          <w:szCs w:val="24"/>
        </w:rPr>
        <w:t>Prodajom imovine izvršeno je djelomično podmirenje vjerovnika I. i 11. višeg isplatnog reda u iznosu od 97.180,65 kn, odnosno 45,94% priznatih tražbina</w:t>
      </w:r>
    </w:p>
    <w:p w:rsidRDefault="00A13645" w:rsidP="00A13645" w:rsidR="00A13645" w:rsidRPr="00C9496A">
      <w:pPr>
        <w:ind w:left="360"/>
        <w:jc w:val="both"/>
        <w:rPr>
          <w:bCs/>
        </w:rPr>
      </w:pPr>
    </w:p>
    <w:p w:rsidRDefault="00A13645" w:rsidP="00A13645" w:rsidR="00A13645" w:rsidRPr="00C9496A">
      <w:pPr>
        <w:pStyle w:val="Odlomakpopisa"/>
        <w:numPr>
          <w:ilvl w:val="1"/>
          <w:numId w:val="10"/>
        </w:numPr>
        <w:jc w:val="both"/>
        <w:rPr>
          <w:bCs/>
          <w:color w:val="auto"/>
          <w:sz w:val="24"/>
          <w:szCs w:val="24"/>
        </w:rPr>
      </w:pPr>
      <w:r w:rsidRPr="00C9496A">
        <w:rPr>
          <w:bCs/>
          <w:color w:val="auto"/>
          <w:sz w:val="24"/>
          <w:szCs w:val="24"/>
        </w:rPr>
        <w:t xml:space="preserve">Ministarstvo financija, Porezna uprava u iznosu od 3.800,00 kn i </w:t>
      </w:r>
    </w:p>
    <w:p w:rsidRDefault="00A13645" w:rsidP="00A13645" w:rsidR="00A13645" w:rsidRPr="00C9496A">
      <w:pPr>
        <w:pStyle w:val="Odlomakpopisa"/>
        <w:numPr>
          <w:ilvl w:val="1"/>
          <w:numId w:val="10"/>
        </w:numPr>
        <w:jc w:val="both"/>
        <w:rPr>
          <w:bCs/>
          <w:color w:val="auto"/>
          <w:sz w:val="24"/>
          <w:szCs w:val="24"/>
        </w:rPr>
      </w:pPr>
      <w:r w:rsidRPr="00C9496A">
        <w:rPr>
          <w:bCs/>
          <w:color w:val="auto"/>
          <w:sz w:val="24"/>
          <w:szCs w:val="24"/>
        </w:rPr>
        <w:t>Vretenar Boris u iznosu od 93.380,65 kn.</w:t>
      </w:r>
    </w:p>
    <w:p w:rsidRDefault="00A13645" w:rsidP="00A13645" w:rsidR="00A13645" w:rsidRPr="00C9496A">
      <w:pPr>
        <w:ind w:left="1080"/>
        <w:jc w:val="both"/>
        <w:rPr>
          <w:bCs/>
        </w:rPr>
      </w:pP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Nakon što su podmireni troškovi stečajnog postupka, djelomično namireni vjerovnici I. i II. višeg isplatnog reda (razlučni vjerovnici), na računu stečajnog dužnika na dan 10.05.2018. godine nalaze se novčana sredstva u iznosu od 1.091,72 kn , a koja su potrebna za podmirenje troškova do zatvaranja stečajnog postupka .</w:t>
      </w:r>
    </w:p>
    <w:p w:rsidRDefault="00A13645" w:rsidP="00A13645" w:rsidR="00A13645" w:rsidRPr="00C9496A">
      <w:pPr>
        <w:jc w:val="both"/>
        <w:rPr>
          <w:bCs/>
        </w:rPr>
      </w:pP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Slijedom iznesenog, a obzirom na činjenicu da je unovčena sva imovina stečajnog dužnika, stečajni upravitelj predlaže da Sud donese slijedeće odluke:</w:t>
      </w:r>
    </w:p>
    <w:p w:rsidRDefault="00A13645" w:rsidP="00A13645" w:rsidR="00A13645" w:rsidRPr="00C9496A">
      <w:pPr>
        <w:jc w:val="both"/>
        <w:rPr>
          <w:bCs/>
        </w:rPr>
      </w:pPr>
    </w:p>
    <w:p w:rsidRDefault="00A13645" w:rsidP="00A13645" w:rsidR="00A13645" w:rsidRPr="00C9496A">
      <w:pPr>
        <w:jc w:val="both"/>
        <w:rPr>
          <w:bCs/>
        </w:rPr>
      </w:pPr>
      <w:r w:rsidRPr="00C9496A">
        <w:rPr>
          <w:bCs/>
        </w:rPr>
        <w:t>1.</w:t>
      </w:r>
      <w:r w:rsidRPr="00C9496A">
        <w:rPr>
          <w:bCs/>
        </w:rPr>
        <w:tab/>
        <w:t>Prihvaća se izvješće stečajnog upravitelja i</w:t>
      </w:r>
    </w:p>
    <w:p w:rsidRDefault="00A13645" w:rsidP="00A13645" w:rsidR="00200774" w:rsidRPr="00C9496A">
      <w:pPr>
        <w:jc w:val="both"/>
        <w:rPr>
          <w:bCs/>
        </w:rPr>
      </w:pPr>
      <w:r w:rsidRPr="00C9496A">
        <w:rPr>
          <w:bCs/>
        </w:rPr>
        <w:t>2.</w:t>
      </w:r>
      <w:r w:rsidRPr="00C9496A">
        <w:rPr>
          <w:bCs/>
        </w:rPr>
        <w:tab/>
        <w:t>Zaključuje se stečajni postupak.</w:t>
      </w:r>
      <w:r w:rsidR="00200774" w:rsidRPr="00C9496A">
        <w:rPr>
          <w:bCs/>
        </w:rPr>
        <w:t>“.</w:t>
      </w:r>
    </w:p>
    <w:p w:rsidRDefault="00A13645" w:rsidP="00200774" w:rsidR="00A13645" w:rsidRPr="00C9496A">
      <w:pPr>
        <w:jc w:val="both"/>
        <w:rPr>
          <w:bCs/>
        </w:rPr>
      </w:pPr>
    </w:p>
    <w:p w:rsidRDefault="00A13645" w:rsidP="00A13645" w:rsidR="00A13645" w:rsidRPr="00C9496A">
      <w:pPr>
        <w:jc w:val="both"/>
      </w:pPr>
      <w:r w:rsidRPr="00C9496A">
        <w:tab/>
        <w:t>Zaključak o sazivanju završnog ročišta objavljen je na mrežnoj stranici e-oglasna ploča sudova 5. lipnja 2018., te se dostava smatra obavljenom istekom osmog dana od dana objave, sukladno čl. 12. st. 1. Stečajnog zakona (dalje: SZ).</w:t>
      </w:r>
    </w:p>
    <w:p w:rsidRDefault="00A13645" w:rsidP="00200774" w:rsidR="00A13645" w:rsidRPr="00C9496A">
      <w:pPr>
        <w:jc w:val="both"/>
        <w:rPr>
          <w:bCs/>
        </w:rPr>
      </w:pPr>
    </w:p>
    <w:p w:rsidRDefault="00A13645" w:rsidP="00200774" w:rsidR="00A13645" w:rsidRPr="00C9496A">
      <w:pPr>
        <w:jc w:val="both"/>
      </w:pPr>
      <w:r w:rsidRPr="00C9496A">
        <w:tab/>
        <w:t>21. lipnja 2018. održano je završno ročište vjerovnika sa sljedećim dnevnim redom: 1. rasprava o završnom računu stečajnog upravitelja, 2. podnošenje prigovora na završni popis, 3. odluka o neunovčivim predmetima stečajne mase.</w:t>
      </w:r>
    </w:p>
    <w:p w:rsidRDefault="00A13645" w:rsidP="00200774" w:rsidR="00A13645" w:rsidRPr="00C9496A">
      <w:pPr>
        <w:spacing w:after="120"/>
        <w:jc w:val="both"/>
      </w:pPr>
    </w:p>
    <w:p w:rsidRDefault="00200774" w:rsidP="00200774" w:rsidR="00200774" w:rsidRPr="00C9496A">
      <w:pPr>
        <w:spacing w:after="120"/>
        <w:jc w:val="both"/>
      </w:pPr>
      <w:r w:rsidRPr="00C9496A">
        <w:tab/>
        <w:t>Na završno ročište nitko od vjerovnika nije pristupio. Utvrđeno je da nema prigovora na završni diobni popis. Stečajni upravitelj je naveo da ne postoje neunovčivi predmeti stečajne mase.</w:t>
      </w:r>
    </w:p>
    <w:p w:rsidRDefault="00EF4129" w:rsidP="00FE3258" w:rsidR="00A13645" w:rsidRPr="00C9496A">
      <w:pPr>
        <w:spacing w:after="120"/>
        <w:jc w:val="both"/>
      </w:pPr>
      <w:r w:rsidRPr="00C9496A">
        <w:t xml:space="preserve"> </w:t>
      </w:r>
      <w:r w:rsidR="00FE3258" w:rsidRPr="00C9496A">
        <w:tab/>
      </w:r>
      <w:r w:rsidR="00A13645" w:rsidRPr="00C9496A">
        <w:t>Na upit suca, stečajni upravitelj je naveo da si je sa računa stečajnog dužnika isplatio trošak u neto iznosu od 2.988,00 kn i nagradu u bruto iznosu od 20.683,00 kn (kako je to određeno pravomoćnim rješenjem posl.br. St-665/2'16-90 od 5. lipnja 2018.), te da nema daljnjih sredstava za završnu diobu već je na računu stečajnog dužnika ostao samo iznos od 1.092,00 kn, za troškove zatvaranja računa i ostale završne troškove stečaja.</w:t>
      </w:r>
    </w:p>
    <w:p w:rsidRDefault="00A13645" w:rsidP="00FE3258" w:rsidR="00F56E10" w:rsidRPr="00C9496A">
      <w:pPr>
        <w:spacing w:after="120"/>
        <w:jc w:val="both"/>
      </w:pPr>
      <w:r w:rsidRPr="00C9496A">
        <w:tab/>
      </w:r>
      <w:r w:rsidR="00FE3258" w:rsidRPr="00C9496A">
        <w:t xml:space="preserve">Budući da je unovčena sva imovina, da nema sredstava za završnu diobu te da nije bilo primjedbi na završni račun, </w:t>
      </w:r>
      <w:r w:rsidR="00F56E10" w:rsidRPr="00C9496A">
        <w:t xml:space="preserve">temeljem odredbe čl. </w:t>
      </w:r>
      <w:r w:rsidR="00C00546" w:rsidRPr="00C9496A">
        <w:t>286</w:t>
      </w:r>
      <w:r w:rsidR="008F7E00" w:rsidRPr="00C9496A">
        <w:t xml:space="preserve">. </w:t>
      </w:r>
      <w:r w:rsidR="00E47930" w:rsidRPr="00C9496A">
        <w:t>SZ</w:t>
      </w:r>
      <w:r w:rsidRPr="00C9496A">
        <w:t>-a</w:t>
      </w:r>
      <w:r w:rsidR="00F56E10" w:rsidRPr="00C9496A">
        <w:t>, odlu</w:t>
      </w:r>
      <w:r w:rsidR="00C00546" w:rsidRPr="00C9496A">
        <w:t>čeno je</w:t>
      </w:r>
      <w:r w:rsidR="00F56E10" w:rsidRPr="00C9496A">
        <w:t xml:space="preserve"> kao u izreci.</w:t>
      </w:r>
    </w:p>
    <w:p w:rsidRDefault="008C33C5" w:rsidP="008F7E00" w:rsidR="008F7E00" w:rsidRPr="00C9496A">
      <w:pPr>
        <w:jc w:val="both"/>
      </w:pPr>
      <w:r w:rsidRPr="00C9496A">
        <w:tab/>
      </w:r>
      <w:r w:rsidR="008F7E00" w:rsidRPr="00C9496A">
        <w:t xml:space="preserve">Stečajni upravitelj </w:t>
      </w:r>
      <w:r w:rsidR="00E47930" w:rsidRPr="00C9496A">
        <w:t>je</w:t>
      </w:r>
      <w:r w:rsidR="008F7E00" w:rsidRPr="00C9496A">
        <w:t xml:space="preserve"> dužan </w:t>
      </w:r>
      <w:r w:rsidR="00E47930" w:rsidRPr="00C9496A">
        <w:t>i</w:t>
      </w:r>
      <w:r w:rsidR="008F7E00" w:rsidRPr="00C9496A">
        <w:t xml:space="preserve"> nakon zaključenja stečajnog postupka zastupati stečajnu masu u skladu s Stečajnim zakonom (čl. 89. st. 1. t. 13. SZ-a).</w:t>
      </w:r>
    </w:p>
    <w:p w:rsidRDefault="00E47930" w:rsidP="008F7E00" w:rsidR="00E47930" w:rsidRPr="00C9496A">
      <w:pPr>
        <w:jc w:val="both"/>
      </w:pPr>
    </w:p>
    <w:p w:rsidRDefault="00EF4129" w:rsidP="00EF4129" w:rsidR="00B81B99" w:rsidRPr="00C9496A">
      <w:pPr>
        <w:jc w:val="center"/>
      </w:pPr>
      <w:r w:rsidRPr="00C9496A">
        <w:tab/>
      </w:r>
      <w:r w:rsidRPr="00C9496A">
        <w:tab/>
      </w:r>
      <w:r w:rsidRPr="00C9496A">
        <w:tab/>
      </w:r>
      <w:r w:rsidRPr="00C9496A">
        <w:tab/>
      </w:r>
      <w:r w:rsidR="008C33C5" w:rsidRPr="00C9496A">
        <w:t xml:space="preserve">U Pazinu, </w:t>
      </w:r>
      <w:r w:rsidR="00A13645" w:rsidRPr="00C9496A">
        <w:t>26</w:t>
      </w:r>
      <w:r w:rsidR="00FE3258" w:rsidRPr="00C9496A">
        <w:t xml:space="preserve">. </w:t>
      </w:r>
      <w:r w:rsidR="00A13645" w:rsidRPr="00C9496A">
        <w:t>lipnj</w:t>
      </w:r>
      <w:r w:rsidR="00FE3258" w:rsidRPr="00C9496A">
        <w:t>a 2018.</w:t>
      </w:r>
      <w:r w:rsidR="00B81B99" w:rsidRPr="00C9496A">
        <w:tab/>
      </w:r>
      <w:r w:rsidR="00B81B99" w:rsidRPr="00C9496A">
        <w:tab/>
      </w:r>
      <w:r w:rsidR="00B81B99" w:rsidRPr="00C9496A">
        <w:tab/>
      </w:r>
      <w:r w:rsidR="00B81B99" w:rsidRPr="00C9496A">
        <w:tab/>
      </w:r>
      <w:r w:rsidR="00B81B99" w:rsidRPr="00C9496A">
        <w:tab/>
      </w:r>
      <w:r w:rsidR="00B81B99" w:rsidRPr="00C9496A">
        <w:tab/>
      </w:r>
    </w:p>
    <w:p w:rsidRDefault="008C33C5" w:rsidP="00B81B99" w:rsidR="00B81B99" w:rsidRPr="00C9496A">
      <w:pPr>
        <w:jc w:val="both"/>
      </w:pPr>
      <w:r w:rsidRPr="00C9496A">
        <w:tab/>
      </w:r>
      <w:r w:rsidRPr="00C9496A">
        <w:tab/>
      </w:r>
      <w:r w:rsidRPr="00C9496A">
        <w:tab/>
      </w:r>
      <w:r w:rsidRPr="00C9496A">
        <w:tab/>
      </w:r>
      <w:r w:rsidRPr="00C9496A">
        <w:tab/>
      </w:r>
      <w:r w:rsidRPr="00C9496A">
        <w:tab/>
      </w:r>
      <w:r w:rsidRPr="00C9496A">
        <w:tab/>
      </w:r>
      <w:r w:rsidRPr="00C9496A">
        <w:tab/>
      </w:r>
      <w:r w:rsidRPr="00C9496A">
        <w:tab/>
      </w:r>
      <w:r w:rsidR="00B81B99" w:rsidRPr="00C9496A">
        <w:t>Stečajni sudac</w:t>
      </w:r>
    </w:p>
    <w:p w:rsidRDefault="00B81B99" w:rsidP="00B81B99" w:rsidR="00B81B99" w:rsidRPr="00C9496A">
      <w:pPr>
        <w:jc w:val="both"/>
      </w:pPr>
      <w:r w:rsidRPr="00C9496A">
        <w:tab/>
      </w:r>
      <w:r w:rsidRPr="00C9496A">
        <w:tab/>
      </w:r>
      <w:r w:rsidRPr="00C9496A">
        <w:tab/>
      </w:r>
      <w:r w:rsidRPr="00C9496A">
        <w:tab/>
      </w:r>
      <w:r w:rsidRPr="00C9496A">
        <w:tab/>
      </w:r>
      <w:r w:rsidRPr="00C9496A">
        <w:tab/>
      </w:r>
      <w:r w:rsidRPr="00C9496A">
        <w:tab/>
      </w:r>
      <w:r w:rsidRPr="00C9496A">
        <w:tab/>
        <w:t xml:space="preserve">     </w:t>
      </w:r>
    </w:p>
    <w:p w:rsidRDefault="00B81B99" w:rsidP="00B81B99" w:rsidR="00B81B99" w:rsidRPr="00C9496A">
      <w:pPr>
        <w:jc w:val="both"/>
      </w:pPr>
      <w:r w:rsidRPr="00C9496A">
        <w:t xml:space="preserve">                   </w:t>
      </w:r>
      <w:r w:rsidR="008C33C5" w:rsidRPr="00C9496A">
        <w:tab/>
      </w:r>
      <w:r w:rsidR="008C33C5" w:rsidRPr="00C9496A">
        <w:tab/>
      </w:r>
      <w:r w:rsidR="008C33C5" w:rsidRPr="00C9496A">
        <w:tab/>
      </w:r>
      <w:r w:rsidR="008C33C5" w:rsidRPr="00C9496A">
        <w:tab/>
      </w:r>
      <w:r w:rsidR="008C33C5" w:rsidRPr="00C9496A">
        <w:tab/>
      </w:r>
      <w:r w:rsidR="008C33C5" w:rsidRPr="00C9496A">
        <w:tab/>
      </w:r>
      <w:r w:rsidR="008C33C5" w:rsidRPr="00C9496A">
        <w:tab/>
      </w:r>
      <w:r w:rsidR="008C33C5" w:rsidRPr="00C9496A">
        <w:tab/>
      </w:r>
      <w:r w:rsidRPr="00C9496A">
        <w:t>Ivan Dujić</w:t>
      </w:r>
      <w:r w:rsidR="000404F1">
        <w:t>, v.r.</w:t>
      </w:r>
    </w:p>
    <w:p w:rsidRDefault="00B81B99" w:rsidP="00B81B99" w:rsidR="00B81B99" w:rsidRPr="00C9496A">
      <w:pPr>
        <w:jc w:val="both"/>
      </w:pPr>
    </w:p>
    <w:p w:rsidRDefault="00B81B99" w:rsidP="00B81B99" w:rsidR="00B81B99" w:rsidRPr="00C9496A">
      <w:pPr>
        <w:jc w:val="both"/>
      </w:pPr>
    </w:p>
    <w:p w:rsidRDefault="00B81B99" w:rsidP="00B81B99" w:rsidR="00B81B99" w:rsidRPr="00C9496A">
      <w:pPr>
        <w:jc w:val="both"/>
      </w:pPr>
    </w:p>
    <w:p w:rsidRDefault="00B81B99" w:rsidP="00B81B99" w:rsidR="00B81B99" w:rsidRPr="00C9496A">
      <w:pPr>
        <w:jc w:val="both"/>
      </w:pPr>
      <w:r w:rsidRPr="00C9496A">
        <w:t>UPUTA O PRAVNOM LIJEKU</w:t>
      </w:r>
    </w:p>
    <w:p w:rsidRDefault="00C00546" w:rsidP="00B81B99" w:rsidR="00B81B99" w:rsidRPr="00C9496A">
      <w:pPr>
        <w:jc w:val="both"/>
      </w:pPr>
      <w:r w:rsidRPr="00C9496A"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C00546" w:rsidP="00B81B99" w:rsidR="00C00546" w:rsidRPr="00C9496A">
      <w:pPr>
        <w:jc w:val="both"/>
      </w:pPr>
    </w:p>
    <w:p w:rsidRDefault="00B81B99" w:rsidP="00B81B99" w:rsidR="00B81B99" w:rsidRPr="00C9496A">
      <w:pPr>
        <w:jc w:val="both"/>
      </w:pPr>
      <w:r w:rsidRPr="00C9496A">
        <w:t>DNA</w:t>
      </w:r>
    </w:p>
    <w:p w:rsidRDefault="00C00546" w:rsidP="00C00546" w:rsidR="00C00546" w:rsidRPr="00C9496A">
      <w:pPr>
        <w:jc w:val="both"/>
      </w:pPr>
      <w:r w:rsidRPr="00C9496A">
        <w:t>- e-Oglasna ploča suda – 8 dana</w:t>
      </w:r>
    </w:p>
    <w:p w:rsidRDefault="00C00546" w:rsidP="00B81B99" w:rsidR="00C00546" w:rsidRPr="00C9496A">
      <w:pPr>
        <w:jc w:val="both"/>
      </w:pPr>
      <w:r w:rsidRPr="00C9496A">
        <w:t xml:space="preserve">- </w:t>
      </w:r>
      <w:r w:rsidR="00A04550" w:rsidRPr="00C9496A">
        <w:t xml:space="preserve">Stečajnom upravitelju </w:t>
      </w:r>
      <w:r w:rsidR="00A13645" w:rsidRPr="00C9496A">
        <w:t>Draženu Vidmanu</w:t>
      </w:r>
    </w:p>
    <w:p w:rsidRDefault="00C00546" w:rsidP="00C00546" w:rsidR="00C00546" w:rsidRPr="00C9496A">
      <w:pPr>
        <w:jc w:val="both"/>
      </w:pPr>
      <w:r w:rsidRPr="00C9496A">
        <w:t>- FINA, RC Rijeka</w:t>
      </w:r>
    </w:p>
    <w:p w:rsidRDefault="00C00546" w:rsidP="00B81B99" w:rsidR="00B81B99" w:rsidRPr="00C9496A">
      <w:pPr>
        <w:jc w:val="both"/>
      </w:pPr>
      <w:r w:rsidRPr="00C9496A">
        <w:t xml:space="preserve">- </w:t>
      </w:r>
      <w:r w:rsidR="00A13645" w:rsidRPr="00C9496A">
        <w:t xml:space="preserve">RH po </w:t>
      </w:r>
      <w:r w:rsidR="00B81B99" w:rsidRPr="00C9496A">
        <w:t>ŽDO Pula</w:t>
      </w:r>
    </w:p>
    <w:p w:rsidRDefault="00C00546" w:rsidP="00B81B99" w:rsidR="00B81B99" w:rsidRPr="00C9496A">
      <w:pPr>
        <w:jc w:val="both"/>
      </w:pPr>
      <w:r w:rsidRPr="00C9496A">
        <w:t xml:space="preserve">- </w:t>
      </w:r>
      <w:r w:rsidR="00B81B99" w:rsidRPr="00C9496A">
        <w:t>Porezna uprava, Pazin</w:t>
      </w:r>
    </w:p>
    <w:p w:rsidRDefault="00B81B99" w:rsidP="00B81B99" w:rsidR="00B81B99" w:rsidRPr="00C9496A">
      <w:pPr>
        <w:jc w:val="both"/>
      </w:pPr>
    </w:p>
    <w:p w:rsidRDefault="00A01244" w:rsidP="00B81B99" w:rsidR="00B81B99" w:rsidRPr="00C9496A">
      <w:pPr>
        <w:jc w:val="both"/>
      </w:pPr>
      <w:r w:rsidRPr="00C9496A">
        <w:t>P</w:t>
      </w:r>
      <w:r w:rsidR="00B81B99" w:rsidRPr="00C9496A">
        <w:t xml:space="preserve">o pravomoćnosti : </w:t>
      </w:r>
    </w:p>
    <w:p w:rsidRDefault="00B81B99" w:rsidP="00B81B99" w:rsidR="00B81B99" w:rsidRPr="00C9496A">
      <w:pPr>
        <w:jc w:val="both"/>
      </w:pPr>
      <w:r w:rsidRPr="00C9496A">
        <w:t xml:space="preserve">- Sudski registar </w:t>
      </w:r>
    </w:p>
    <w:p w:rsidRDefault="00B81B99" w:rsidP="00B81B99" w:rsidR="00B81B99" w:rsidRPr="00C9496A">
      <w:pPr>
        <w:jc w:val="both"/>
      </w:pPr>
    </w:p>
    <w:p w:rsidRDefault="00C00546" w:rsidP="00B81B99" w:rsidR="00C00546" w:rsidRPr="00C9496A">
      <w:pPr>
        <w:jc w:val="both"/>
      </w:pPr>
    </w:p>
    <w:sectPr w:rsidSect="00C9496A" w:rsidR="00C00546" w:rsidRPr="00C9496A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CBB" w:rsidR="00951CBB">
      <w:r>
        <w:separator/>
      </w:r>
    </w:p>
  </w:endnote>
  <w:endnote w:id="0" w:type="continuationSeparator">
    <w:p w:rsidRDefault="00951CBB" w:rsidR="00951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CBB" w:rsidR="00951CBB">
      <w:r>
        <w:separator/>
      </w:r>
    </w:p>
  </w:footnote>
  <w:footnote w:id="0" w:type="continuationSeparator">
    <w:p w:rsidRDefault="00951CBB" w:rsidR="00951C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04F1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869D5">
      <w:t>10 St-665/2016-93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869D5">
      <w:t>10 St-665/2016-93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</w:lvl>
  </w:abstractNum>
  <w:abstractNum w:abstractNumId="2">
    <w:nsid w:val="00E75B8B"/>
    <w:multiLevelType w:val="singleLevel"/>
    <w:tmpl w:val="4BD4528C"/>
    <w:lvl w:ilvl="0">
      <w:start w:val="1"/>
      <w:numFmt w:val="decimal"/>
      <w:lvlText w:val="%1."/>
      <w:lvlJc w:val="left"/>
      <w:pPr>
        <w:tabs>
          <w:tab w:pos="144" w:val="num"/>
        </w:tabs>
      </w:pPr>
      <w:rPr>
        <w:b w:val="false"/>
        <w:bCs/>
        <w:snapToGrid/>
        <w:sz w:val="24"/>
        <w:szCs w:val="24"/>
      </w:rPr>
    </w:lvl>
  </w:abstractNum>
  <w:abstractNum w:abstractNumId="3">
    <w:nsid w:val="018F79AD"/>
    <w:multiLevelType w:val="hybridMultilevel"/>
    <w:tmpl w:val="0406A65E"/>
    <w:lvl w:tplc="0EBCBC58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2FCA2D5"/>
    <w:multiLevelType w:val="singleLevel"/>
    <w:tmpl w:val="32B4836A"/>
    <w:lvl w:ilvl="0">
      <w:start w:val="1"/>
      <w:numFmt w:val="decimal"/>
      <w:lvlText w:val="%1."/>
      <w:lvlJc w:val="left"/>
      <w:pPr>
        <w:tabs>
          <w:tab w:pos="144" w:val="num"/>
        </w:tabs>
      </w:pPr>
      <w:rPr>
        <w:b w:val="false"/>
        <w:bCs/>
        <w:snapToGrid/>
        <w:sz w:val="24"/>
        <w:szCs w:val="24"/>
      </w:rPr>
    </w:lvl>
  </w:abstractNum>
  <w:abstractNum w:abstractNumId="5">
    <w:nsid w:val="06EA4341"/>
    <w:multiLevelType w:val="singleLevel"/>
    <w:tmpl w:val="E034E15C"/>
    <w:lvl w:ilvl="0">
      <w:start w:val="1"/>
      <w:numFmt w:val="lowerLetter"/>
      <w:lvlText w:val="%1)"/>
      <w:lvlJc w:val="left"/>
      <w:pPr>
        <w:tabs>
          <w:tab w:pos="864" w:val="num"/>
        </w:tabs>
        <w:ind w:hanging="144" w:left="720"/>
      </w:pPr>
      <w:rPr>
        <w:rFonts w:cs="Times New Roman" w:hAnsi="Times New Roman" w:ascii="Times New Roman" w:hint="default"/>
        <w:b w:val="false"/>
        <w:bCs/>
        <w:snapToGrid/>
        <w:spacing w:val="-4"/>
        <w:sz w:val="24"/>
        <w:szCs w:val="21"/>
      </w:rPr>
    </w:lvl>
  </w:abstractNum>
  <w:abstractNum w:abstractNumId="6">
    <w:nsid w:val="07170F43"/>
    <w:multiLevelType w:val="singleLevel"/>
    <w:tmpl w:val="870E8A1C"/>
    <w:lvl w:ilvl="0">
      <w:start w:val="4"/>
      <w:numFmt w:val="upperRoman"/>
      <w:lvlText w:val="%1."/>
      <w:lvlJc w:val="left"/>
      <w:pPr>
        <w:tabs>
          <w:tab w:pos="504" w:val="num"/>
        </w:tabs>
        <w:ind w:left="72"/>
      </w:pPr>
      <w:rPr>
        <w:rFonts w:cs="Times New Roman" w:hAnsi="Times New Roman" w:ascii="Times New Roman" w:hint="default"/>
        <w:b w:val="false"/>
        <w:bCs/>
        <w:i w:val="false"/>
        <w:snapToGrid/>
        <w:sz w:val="24"/>
        <w:szCs w:val="22"/>
      </w:rPr>
    </w:lvl>
  </w:abstractNum>
  <w:abstractNum w:abstractNumId="7">
    <w:nsid w:val="15F174B4"/>
    <w:multiLevelType w:val="hybridMultilevel"/>
    <w:tmpl w:val="54A49E5E"/>
    <w:lvl w:tplc="9AE275FA" w:ilvl="0">
      <w:start w:val="6"/>
      <w:numFmt w:val="lowerLetter"/>
      <w:lvlText w:val="%1)"/>
      <w:lvlJc w:val="left"/>
      <w:pPr>
        <w:ind w:hanging="705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E755E3"/>
    <w:multiLevelType w:val="hybridMultilevel"/>
    <w:tmpl w:val="2E4C92C6"/>
    <w:lvl w:tplc="BFE2C2A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F5B28DA"/>
    <w:multiLevelType w:val="hybridMultilevel"/>
    <w:tmpl w:val="E4FADDD2"/>
    <w:lvl w:tplc="6BA29030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EC3486"/>
    <w:multiLevelType w:val="hybridMultilevel"/>
    <w:tmpl w:val="4446B04A"/>
    <w:lvl w:tplc="D0FE25A2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51143974"/>
    <w:multiLevelType w:val="hybridMultilevel"/>
    <w:tmpl w:val="F31883F2"/>
    <w:lvl w:tplc="FAD8C8EE" w:ilvl="0">
      <w:start w:val="6"/>
      <w:numFmt w:val="lowerLetter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2E77C68"/>
    <w:multiLevelType w:val="hybridMultilevel"/>
    <w:tmpl w:val="5B16C0BE"/>
    <w:lvl w:tplc="BD82ABAC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12"/>
  </w:num>
  <w:num w:numId="5">
    <w:abstractNumId w:val="10"/>
  </w:num>
  <w:num w:numId="6">
    <w:abstractNumId w:val="3"/>
  </w:num>
  <w:num w:numId="7">
    <w:abstractNumId w:val="9"/>
  </w:num>
  <w:num w:numId="8">
    <w:abstractNumId w:val="7"/>
  </w:num>
  <w:num w:numId="9">
    <w:abstractNumId w:val="13"/>
  </w:num>
  <w:num w:numId="10">
    <w:abstractNumId w:val="8"/>
  </w:num>
  <w:num w:numId="11">
    <w:abstractNumId w:val="5"/>
  </w:num>
  <w:num w:numId="12">
    <w:abstractNumId w:val="6"/>
  </w:num>
  <w:num w:numId="13">
    <w:abstractNumId w:val="2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0514A"/>
    <w:rsid w:val="000404F1"/>
    <w:rsid w:val="0005705E"/>
    <w:rsid w:val="00060E36"/>
    <w:rsid w:val="00063B9E"/>
    <w:rsid w:val="0008568B"/>
    <w:rsid w:val="000F51C5"/>
    <w:rsid w:val="001042C4"/>
    <w:rsid w:val="00126181"/>
    <w:rsid w:val="00137E4E"/>
    <w:rsid w:val="00150C2A"/>
    <w:rsid w:val="00195B51"/>
    <w:rsid w:val="001A0C71"/>
    <w:rsid w:val="001F6337"/>
    <w:rsid w:val="00200774"/>
    <w:rsid w:val="00201473"/>
    <w:rsid w:val="00212F71"/>
    <w:rsid w:val="00230FBE"/>
    <w:rsid w:val="002869D5"/>
    <w:rsid w:val="002E5AD3"/>
    <w:rsid w:val="00367BD6"/>
    <w:rsid w:val="003B5158"/>
    <w:rsid w:val="003D0D90"/>
    <w:rsid w:val="003D7353"/>
    <w:rsid w:val="00450D9E"/>
    <w:rsid w:val="00493F50"/>
    <w:rsid w:val="004B37FF"/>
    <w:rsid w:val="004B73E9"/>
    <w:rsid w:val="004F162A"/>
    <w:rsid w:val="00506A40"/>
    <w:rsid w:val="00521AFF"/>
    <w:rsid w:val="00523666"/>
    <w:rsid w:val="00532D8E"/>
    <w:rsid w:val="00533116"/>
    <w:rsid w:val="00546BDA"/>
    <w:rsid w:val="005A0F10"/>
    <w:rsid w:val="005A439B"/>
    <w:rsid w:val="005B2611"/>
    <w:rsid w:val="005B3FF9"/>
    <w:rsid w:val="005B4371"/>
    <w:rsid w:val="0065500E"/>
    <w:rsid w:val="00662157"/>
    <w:rsid w:val="00697351"/>
    <w:rsid w:val="006B35DE"/>
    <w:rsid w:val="006C7231"/>
    <w:rsid w:val="006D7016"/>
    <w:rsid w:val="007523BA"/>
    <w:rsid w:val="0076475B"/>
    <w:rsid w:val="00784852"/>
    <w:rsid w:val="00786836"/>
    <w:rsid w:val="007E3E6F"/>
    <w:rsid w:val="00816DC2"/>
    <w:rsid w:val="00835DF5"/>
    <w:rsid w:val="00846C10"/>
    <w:rsid w:val="0086619D"/>
    <w:rsid w:val="008C33C5"/>
    <w:rsid w:val="008D0640"/>
    <w:rsid w:val="008E32A2"/>
    <w:rsid w:val="008F1CCC"/>
    <w:rsid w:val="008F7E00"/>
    <w:rsid w:val="00922021"/>
    <w:rsid w:val="00943BC1"/>
    <w:rsid w:val="00951CBB"/>
    <w:rsid w:val="009630E2"/>
    <w:rsid w:val="009932E8"/>
    <w:rsid w:val="00997AAC"/>
    <w:rsid w:val="009B3D9B"/>
    <w:rsid w:val="009C0DE2"/>
    <w:rsid w:val="009C1B00"/>
    <w:rsid w:val="009D1DF2"/>
    <w:rsid w:val="009D3FFF"/>
    <w:rsid w:val="00A01244"/>
    <w:rsid w:val="00A04550"/>
    <w:rsid w:val="00A0482D"/>
    <w:rsid w:val="00A13645"/>
    <w:rsid w:val="00A72B9C"/>
    <w:rsid w:val="00A757E0"/>
    <w:rsid w:val="00AB0BD7"/>
    <w:rsid w:val="00AC4A76"/>
    <w:rsid w:val="00AD179D"/>
    <w:rsid w:val="00AF0866"/>
    <w:rsid w:val="00B0124F"/>
    <w:rsid w:val="00B351D8"/>
    <w:rsid w:val="00B737D7"/>
    <w:rsid w:val="00B764B8"/>
    <w:rsid w:val="00B772C5"/>
    <w:rsid w:val="00B81B99"/>
    <w:rsid w:val="00BA7E09"/>
    <w:rsid w:val="00BC3390"/>
    <w:rsid w:val="00BC3DEE"/>
    <w:rsid w:val="00C00546"/>
    <w:rsid w:val="00C14250"/>
    <w:rsid w:val="00C30A1C"/>
    <w:rsid w:val="00C46B44"/>
    <w:rsid w:val="00C6250C"/>
    <w:rsid w:val="00C9496A"/>
    <w:rsid w:val="00CB7C16"/>
    <w:rsid w:val="00CC359E"/>
    <w:rsid w:val="00CD5EDC"/>
    <w:rsid w:val="00CF35A3"/>
    <w:rsid w:val="00D0706E"/>
    <w:rsid w:val="00D147C6"/>
    <w:rsid w:val="00D15A99"/>
    <w:rsid w:val="00D45E12"/>
    <w:rsid w:val="00D75114"/>
    <w:rsid w:val="00D7639B"/>
    <w:rsid w:val="00DB5109"/>
    <w:rsid w:val="00DD3E6D"/>
    <w:rsid w:val="00E06F67"/>
    <w:rsid w:val="00E126CB"/>
    <w:rsid w:val="00E31BC2"/>
    <w:rsid w:val="00E42C8D"/>
    <w:rsid w:val="00E47930"/>
    <w:rsid w:val="00E73D2B"/>
    <w:rsid w:val="00EF4129"/>
    <w:rsid w:val="00F030EE"/>
    <w:rsid w:val="00F103C0"/>
    <w:rsid w:val="00F23582"/>
    <w:rsid w:val="00F23B7D"/>
    <w:rsid w:val="00F56E10"/>
    <w:rsid w:val="00F601E1"/>
    <w:rsid w:val="00F65540"/>
    <w:rsid w:val="00F84AD6"/>
    <w:rsid w:val="00FA0DBC"/>
    <w:rsid w:val="00FA4511"/>
    <w:rsid w:val="00FB4509"/>
    <w:rsid w:val="00FB4DA0"/>
    <w:rsid w:val="00FC307E"/>
    <w:rsid w:val="00FE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5AD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customStyle="true" w:styleId="ZaglavljeChar" w:type="character">
    <w:name w:val="Zaglavlje Char"/>
    <w:link w:val="Zaglavlje"/>
    <w:rsid w:val="00FA4511"/>
    <w:rPr>
      <w:sz w:val="24"/>
      <w:szCs w:val="24"/>
    </w:rPr>
  </w:style>
  <w:style w:styleId="Reetkatablice" w:type="table">
    <w:name w:val="Table Grid"/>
    <w:basedOn w:val="Obinatablica"/>
    <w:uiPriority w:val="59"/>
    <w:rsid w:val="00F56E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F56E10"/>
    <w:pPr>
      <w:spacing w:after="120"/>
      <w:ind w:left="283"/>
    </w:pPr>
    <w:rPr>
      <w:color w:val="000000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F56E10"/>
    <w:rPr>
      <w:color w:val="000000"/>
    </w:rPr>
  </w:style>
  <w:style w:styleId="Odlomakpopisa" w:type="paragraph">
    <w:name w:val="List Paragraph"/>
    <w:basedOn w:val="Normal"/>
    <w:uiPriority w:val="34"/>
    <w:qFormat/>
    <w:rsid w:val="00200774"/>
    <w:pPr>
      <w:ind w:left="720"/>
      <w:contextualSpacing/>
    </w:pPr>
    <w:rPr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0404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4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4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4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4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ZELENI REGISTRATOR
- u ref</izvorni_sadrzaj>
    <derivirana_varijabla naziv="DomainObject.Predmet.Opis_1">prileži ZELENI REGISTRATOR
- u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FOLAN d.o.o. PULA</izvorni_sadrzaj>
    <derivirana_varijabla naziv="DomainObject.Predmet.ProtustrankaFormated_1">  FOLAN d.o.o. PULA</derivirana_varijabla>
  </DomainObject.Predmet.ProtustrankaFormated>
  <DomainObject.Predmet.ProtustrankaFormatedOIB>
    <izvorni_sadrzaj>  FOLAN d.o.o. PULA, OIB 86619734573</izvorni_sadrzaj>
    <derivirana_varijabla naziv="DomainObject.Predmet.ProtustrankaFormatedOIB_1">  FOLAN d.o.o. PULA, OIB 86619734573</derivirana_varijabla>
  </DomainObject.Predmet.ProtustrankaFormatedOIB>
  <DomainObject.Predmet.ProtustrankaFormatedWithAdress>
    <izvorni_sadrzaj> FOLAN d.o.o. PULA, Prilaz Puljskih Španjolskih boraca 4, 52100 Pula</izvorni_sadrzaj>
    <derivirana_varijabla naziv="DomainObject.Predmet.ProtustrankaFormatedWithAdress_1"> FOLAN d.o.o. PULA, Prilaz Puljskih Španjolskih boraca 4, 52100 Pula</derivirana_varijabla>
  </DomainObject.Predmet.ProtustrankaFormatedWithAdress>
  <DomainObject.Predmet.ProtustrankaFormatedWithAdressOIB>
    <izvorni_sadrzaj> FOLAN d.o.o. PULA, OIB 86619734573, Prilaz Puljskih Španjolskih boraca 4, 52100 Pula</izvorni_sadrzaj>
    <derivirana_varijabla naziv="DomainObject.Predmet.ProtustrankaFormatedWithAdressOIB_1"> FOLAN d.o.o. PULA, OIB 86619734573, Prilaz Puljskih Španjolskih boraca 4, 52100 Pula</derivirana_varijabla>
  </DomainObject.Predmet.ProtustrankaFormatedWithAdressOIB>
  <DomainObject.Predmet.ProtustrankaWithAdress>
    <izvorni_sadrzaj>FOLAN d.o.o. PULA Prilaz Puljskih Španjolskih boraca 4, 52100 Pula</izvorni_sadrzaj>
    <derivirana_varijabla naziv="DomainObject.Predmet.ProtustrankaWithAdress_1">FOLAN d.o.o. PULA Prilaz Puljskih Španjolskih boraca 4, 52100 Pula</derivirana_varijabla>
  </DomainObject.Predmet.ProtustrankaWithAdress>
  <DomainObject.Predmet.ProtustrankaWithAdressOIB>
    <izvorni_sadrzaj>FOLAN d.o.o. PULA, OIB 86619734573, Prilaz Puljskih Španjolskih boraca 4, 52100 Pula</izvorni_sadrzaj>
    <derivirana_varijabla naziv="DomainObject.Predmet.ProtustrankaWithAdressOIB_1">FOLAN d.o.o. PULA, OIB 86619734573, Prilaz Puljskih Španjolskih boraca 4, 52100 Pula</derivirana_varijabla>
  </DomainObject.Predmet.ProtustrankaWithAdressOIB>
  <DomainObject.Predmet.ProtustrankaNazivFormated>
    <izvorni_sadrzaj>FOLAN d.o.o. PULA</izvorni_sadrzaj>
    <derivirana_varijabla naziv="DomainObject.Predmet.ProtustrankaNazivFormated_1">FOLAN d.o.o. PULA</derivirana_varijabla>
  </DomainObject.Predmet.ProtustrankaNazivFormated>
  <DomainObject.Predmet.ProtustrankaNazivFormatedOIB>
    <izvorni_sadrzaj>FOLAN d.o.o. PULA, OIB 86619734573</izvorni_sadrzaj>
    <derivirana_varijabla naziv="DomainObject.Predmet.ProtustrankaNazivFormatedOIB_1">FOLAN d.o.o. PULA, OIB 86619734573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125042.36</izvorni_sadrzaj>
    <derivirana_varijabla naziv="DomainObject.Predmet.TrenutnaVrijednost_1">125042.36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FOLAN d.o.o. PULA</item>
    </izvorni_sadrzaj>
    <derivirana_varijabla naziv="DomainObject.Predmet.ProtuStrankaListFormated_1">
      <item>FOLAN d.o.o. PULA</item>
    </derivirana_varijabla>
  </DomainObject.Predmet.ProtuStrankaListFormated>
  <DomainObject.Predmet.ProtuStrankaListFormatedOIB>
    <izvorni_sadrzaj>
      <item>FOLAN d.o.o. PULA, OIB 86619734573</item>
    </izvorni_sadrzaj>
    <derivirana_varijabla naziv="DomainObject.Predmet.ProtuStrankaListFormatedOIB_1">
      <item>FOLAN d.o.o. PULA, OIB 86619734573</item>
    </derivirana_varijabla>
  </DomainObject.Predmet.ProtuStrankaListFormatedOIB>
  <DomainObject.Predmet.ProtuStrankaListFormatedWithAdress>
    <izvorni_sadrzaj>
      <item>FOLAN d.o.o. PULA, Prilaz Puljskih Španjolskih boraca 4, 52100 Pula</item>
    </izvorni_sadrzaj>
    <derivirana_varijabla naziv="DomainObject.Predmet.ProtuStrankaListFormatedWithAdress_1">
      <item>FOLAN d.o.o. PULA, Prilaz Puljskih Španjolskih boraca 4, 52100 Pula</item>
    </derivirana_varijabla>
  </DomainObject.Predmet.ProtuStrankaListFormatedWithAdress>
  <DomainObject.Predmet.ProtuStrankaListFormatedWithAdressOIB>
    <izvorni_sadrzaj>
      <item>FOLAN d.o.o. PULA, OIB 86619734573, Prilaz Puljskih Španjolskih boraca 4, 52100 Pula</item>
    </izvorni_sadrzaj>
    <derivirana_varijabla naziv="DomainObject.Predmet.ProtuStrankaListFormatedWithAdressOIB_1">
      <item>FOLAN d.o.o. PULA, OIB 86619734573, Prilaz Puljskih Španjolskih boraca 4, 52100 Pula</item>
    </derivirana_varijabla>
  </DomainObject.Predmet.ProtuStrankaListFormatedWithAdressOIB>
  <DomainObject.Predmet.ProtuStrankaListNazivFormated>
    <izvorni_sadrzaj>
      <item>FOLAN d.o.o. PULA</item>
    </izvorni_sadrzaj>
    <derivirana_varijabla naziv="DomainObject.Predmet.ProtuStrankaListNazivFormated_1">
      <item>FOLAN d.o.o. PULA</item>
    </derivirana_varijabla>
  </DomainObject.Predmet.ProtuStrankaListNazivFormated>
  <DomainObject.Predmet.ProtuStrankaListNazivFormatedOIB>
    <izvorni_sadrzaj>
      <item>FOLAN d.o.o. PULA, OIB 86619734573</item>
    </izvorni_sadrzaj>
    <derivirana_varijabla naziv="DomainObject.Predmet.ProtuStrankaListNazivFormatedOIB_1">
      <item>FOLAN d.o.o. PULA, OIB 86619734573</item>
    </derivirana_varijabla>
  </DomainObject.Predmet.ProtuStrankaListNazivFormatedOIB>
  <DomainObject.Predmet.OstaliListFormated>
    <izvorni_sadrzaj>
      <item>odvj. Igor Vretenar</item>
    </izvorni_sadrzaj>
    <derivirana_varijabla naziv="DomainObject.Predmet.OstaliListFormated_1">
      <item>odvj. Igor Vretenar</item>
    </derivirana_varijabla>
  </DomainObject.Predmet.OstaliListFormated>
  <DomainObject.Predmet.OstaliListFormatedOIB>
    <izvorni_sadrzaj>
      <item>odvj. Igor Vretenar</item>
    </izvorni_sadrzaj>
    <derivirana_varijabla naziv="DomainObject.Predmet.OstaliListFormatedOIB_1">
      <item>odvj. Igor Vretenar</item>
    </derivirana_varijabla>
  </DomainObject.Predmet.OstaliListFormatedOIB>
  <DomainObject.Predmet.OstaliListFormatedWithAdress>
    <izvorni_sadrzaj>
      <item>odvj. Igor Vretenar, Sv. katarine 6, 52220 Labin</item>
    </izvorni_sadrzaj>
    <derivirana_varijabla naziv="DomainObject.Predmet.OstaliListFormatedWithAdress_1">
      <item>odvj. Igor Vretenar, Sv. katarine 6, 52220 Labin</item>
    </derivirana_varijabla>
  </DomainObject.Predmet.OstaliListFormatedWithAdress>
  <DomainObject.Predmet.OstaliListFormatedWithAdressOIB>
    <izvorni_sadrzaj>
      <item>odvj. Igor Vretenar, Sv. katarine 6, 52220 Labin</item>
    </izvorni_sadrzaj>
    <derivirana_varijabla naziv="DomainObject.Predmet.OstaliListFormatedWithAdressOIB_1">
      <item>odvj. Igor Vretenar, Sv. katarine 6, 52220 Labin</item>
    </derivirana_varijabla>
  </DomainObject.Predmet.OstaliListFormatedWithAdressOIB>
  <DomainObject.Predmet.OstaliListNazivFormated>
    <izvorni_sadrzaj>
      <item>odvj. Igor Vretenar</item>
    </izvorni_sadrzaj>
    <derivirana_varijabla naziv="DomainObject.Predmet.OstaliListNazivFormated_1">
      <item>odvj. Igor Vretenar</item>
    </derivirana_varijabla>
  </DomainObject.Predmet.OstaliListNazivFormated>
  <DomainObject.Predmet.OstaliListNazivFormatedOIB>
    <izvorni_sadrzaj>
      <item>odvj. Igor Vretenar</item>
    </izvorni_sadrzaj>
    <derivirana_varijabla naziv="DomainObject.Predmet.OstaliListNazivFormatedOIB_1">
      <item>odvj. Igor Vretenar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FOLAN d.o.o. PULA</izvorni_sadrzaj>
    <derivirana_varijabla naziv="DomainObject.Predmet.ProtustrankaIDrugi_1">FOLAN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FOLAN d.o.o. PULA, OIB 86619734573, Prilaz Puljskih Španjolskih boraca 4, 52100 Pula</izvorni_sadrzaj>
    <derivirana_varijabla naziv="DomainObject.Predmet.ProtustrankaIDrugiAdressOIB_1">FOLAN d.o.o. PULA, OIB 86619734573, Prilaz Puljskih Španjolskih boraca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FOLAN d.o.o. PULA</item>
      <item>odvj. Igor Vretenar</item>
    </izvorni_sadrzaj>
    <derivirana_varijabla naziv="DomainObject.Predmet.SudioniciListNaziv_1">
      <item>FINANCIJSKA AGENCIJA, RC RIJEKA, PODRUŽNICA PULA, PULA</item>
      <item>FOLAN d.o.o. PULA</item>
      <item>odvj. Igor Vretenar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FOLAN d.o.o. PULA, OIB 86619734573, Prilaz Puljskih Španjolskih boraca 4,52100 Pula</item>
      <item>odvj. Igor Vretenar, Sv. katarine 6,52220 Labin</item>
    </izvorni_sadrzaj>
    <derivirana_varijabla naziv="DomainObject.Predmet.SudioniciListAdressOIB_1">
      <item>FINANCIJSKA AGENCIJA, RC RIJEKA, PODRUŽNICA PULA, PULA, OIB 85821130368, Ulica grada Vukovara 70,10000 Zagreb</item>
      <item>FOLAN d.o.o. PULA, OIB 86619734573, Prilaz Puljskih Španjolskih boraca 4,52100 Pula</item>
      <item>odvj. Igor Vretenar, Sv.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86619734573</item>
      <item>, OIB null</item>
    </izvorni_sadrzaj>
    <derivirana_varijabla naziv="DomainObject.Predmet.SudioniciListNazivOIB_1">
      <item>, OIB 85821130368</item>
      <item>, OIB 86619734573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4AC225-CE67-4EEA-96C0-5AF3F8C1C7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5</properties:Pages>
  <properties:Words>1513</properties:Words>
  <properties:Characters>8620</properties:Characters>
  <properties:Lines>278</properties:Lines>
  <properties:Paragraphs>158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2018-06-26T07:39:00Z</dcterms:created>
  <dc:creator>sblazevic</dc:creator>
  <cp:lastModifiedBy>Sanja Lakošeljac</cp:lastModifiedBy>
  <cp:lastPrinted>2008-02-07T06:45:00Z</cp:lastPrinted>
  <dcterms:modified xmlns:xsi="http://www.w3.org/2001/XMLSchema-instance" xsi:type="dcterms:W3CDTF">2018-06-26T07:44:00Z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St-665-2016 -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