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541eea" w14:paraId="b541eea" w:rsidRDefault="004A377E" w:rsidR="008515D6">
      <w:pPr>
        <w15:collapsed w:val="false"/>
      </w:pPr>
      <w:bookmarkStart w:name="_GoBack" w:id="0"/>
      <w:bookmarkEnd w:id="0"/>
      <w:r>
        <w:rPr>
          <w:rFonts w:cs="Arial" w:hAnsi="Arial" w:ascii="Arial"/>
        </w:rPr>
        <w:t xml:space="preserve">                                                            </w:t>
      </w:r>
      <w:r>
        <w:rPr>
          <w:rFonts w:cs="Arial" w:hAnsi="Arial" w:ascii="Arial"/>
          <w:b/>
        </w:rPr>
        <w:t>Obrazac 22.</w:t>
      </w:r>
    </w:p>
    <w:p w:rsidRDefault="004A377E" w:rsidR="008515D6">
      <w:pPr>
        <w:jc w:val="both"/>
      </w:pPr>
      <w:r>
        <w:rPr>
          <w:rFonts w:cs="Arial" w:hAnsi="Arial" w:ascii="Arial"/>
        </w:rPr>
        <w:t xml:space="preserve">                               </w:t>
      </w:r>
      <w:r>
        <w:rPr>
          <w:rFonts w:cs="Arial" w:hAnsi="Arial" w:ascii="Arial"/>
          <w:b/>
        </w:rPr>
        <w:t>ZAVRŠNI RAČUN STEČAJNOG UPRAVITELJA</w:t>
      </w:r>
    </w:p>
    <w:p w:rsidRDefault="008515D6" w:rsidR="008515D6">
      <w:pPr>
        <w:jc w:val="both"/>
        <w:rPr>
          <w:rFonts w:cs="Arial" w:hAnsi="Arial" w:ascii="Arial"/>
          <w:b/>
        </w:rPr>
      </w:pPr>
    </w:p>
    <w:p w:rsidRDefault="004A377E" w:rsidR="008515D6">
      <w:pPr>
        <w:jc w:val="both"/>
        <w:rPr>
          <w:rFonts w:cs="Arial" w:hAnsi="Arial" w:ascii="Arial"/>
        </w:rPr>
      </w:pPr>
      <w:r>
        <w:rPr>
          <w:rFonts w:cs="Arial" w:hAnsi="Arial" w:ascii="Arial"/>
        </w:rPr>
        <w:t>Republika Hrvatska</w:t>
      </w:r>
    </w:p>
    <w:p w:rsidRDefault="004A377E" w:rsidR="008515D6">
      <w:pPr>
        <w:jc w:val="both"/>
        <w:rPr>
          <w:rFonts w:cs="Arial" w:hAnsi="Arial" w:ascii="Arial"/>
        </w:rPr>
      </w:pPr>
      <w:r>
        <w:rPr>
          <w:rFonts w:cs="Arial" w:hAnsi="Arial" w:ascii="Arial"/>
        </w:rPr>
        <w:t>Trgovački sud u Zagrebu</w:t>
      </w:r>
    </w:p>
    <w:p w:rsidRDefault="004A377E" w:rsidR="008515D6">
      <w:pPr>
        <w:jc w:val="both"/>
        <w:rPr>
          <w:rFonts w:cs="Arial" w:hAnsi="Arial" w:ascii="Arial"/>
        </w:rPr>
      </w:pPr>
      <w:r>
        <w:rPr>
          <w:rFonts w:cs="Arial" w:hAnsi="Arial" w:ascii="Arial"/>
        </w:rPr>
        <w:t>Zagreb, Amruševa 2/II</w:t>
      </w:r>
    </w:p>
    <w:p w:rsidRDefault="008515D6" w:rsidR="008515D6">
      <w:pPr>
        <w:jc w:val="both"/>
        <w:rPr>
          <w:rFonts w:cs="Arial" w:hAnsi="Arial" w:ascii="Arial"/>
        </w:rPr>
      </w:pPr>
    </w:p>
    <w:p w:rsidRDefault="004A377E" w:rsidR="008515D6">
      <w:pPr>
        <w:jc w:val="both"/>
        <w:rPr>
          <w:rFonts w:cs="Arial" w:hAnsi="Arial" w:ascii="Arial"/>
        </w:rPr>
      </w:pPr>
      <w:r>
        <w:rPr>
          <w:rFonts w:cs="Arial" w:hAnsi="Arial" w:ascii="Arial"/>
        </w:rPr>
        <w:t>Poslovni broj spisa:  89.St – 5775/16</w:t>
      </w:r>
    </w:p>
    <w:p w:rsidRDefault="004A377E" w:rsidR="008515D6">
      <w:pPr>
        <w:jc w:val="both"/>
        <w:rPr>
          <w:rFonts w:cs="Arial" w:hAnsi="Arial" w:ascii="Arial"/>
        </w:rPr>
      </w:pPr>
      <w:r>
        <w:rPr>
          <w:rFonts w:cs="Arial" w:hAnsi="Arial" w:ascii="Arial"/>
        </w:rPr>
        <w:t>Dužnik:  AUTO KUĆA HOJAN d.o.o., u stečaju</w:t>
      </w:r>
    </w:p>
    <w:p w:rsidRDefault="004A377E" w:rsidR="008515D6">
      <w:pPr>
        <w:jc w:val="both"/>
        <w:rPr>
          <w:rFonts w:cs="Arial" w:hAnsi="Arial" w:ascii="Arial"/>
        </w:rPr>
      </w:pPr>
      <w:r>
        <w:rPr>
          <w:rFonts w:cs="Arial" w:hAnsi="Arial" w:ascii="Arial"/>
        </w:rPr>
        <w:t>OIB: 06815570391</w:t>
      </w:r>
    </w:p>
    <w:p w:rsidRDefault="004A377E" w:rsidR="008515D6">
      <w:pPr>
        <w:jc w:val="both"/>
        <w:rPr>
          <w:rFonts w:cs="Arial" w:hAnsi="Arial" w:ascii="Arial"/>
        </w:rPr>
      </w:pPr>
      <w:r>
        <w:rPr>
          <w:rFonts w:cs="Arial" w:hAnsi="Arial" w:ascii="Arial"/>
        </w:rPr>
        <w:t>Adresa/sjedište:  Sesvete, Ljudevita Posavskog 43</w:t>
      </w:r>
    </w:p>
    <w:p w:rsidRDefault="008515D6" w:rsidR="008515D6">
      <w:pPr>
        <w:jc w:val="both"/>
        <w:rPr>
          <w:rFonts w:cs="Arial" w:hAnsi="Arial" w:ascii="Arial"/>
        </w:rPr>
      </w:pPr>
    </w:p>
    <w:p w:rsidRDefault="004A377E" w:rsidR="008515D6">
      <w:pPr>
        <w:jc w:val="both"/>
        <w:rPr>
          <w:rFonts w:cs="Arial" w:hAnsi="Arial" w:ascii="Arial"/>
        </w:rPr>
      </w:pPr>
      <w:r>
        <w:rPr>
          <w:rFonts w:cs="Arial" w:hAnsi="Arial" w:ascii="Arial"/>
        </w:rPr>
        <w:t>Nakon što je rješenje o namirenju postalo pravomoćno stekli su se uvjeti za završni račun stečajnog upravitelja. Iznosi u završnom računu jednaki su iznosima prihvaćenim na ročištu za diobu kupovnine od 18. prosinca 2018. godine i rješenju o namirenju od 30. siječnja 2019. godine.</w:t>
      </w:r>
    </w:p>
    <w:p w:rsidRDefault="004A377E" w:rsidR="008515D6">
      <w:pPr>
        <w:jc w:val="both"/>
        <w:rPr>
          <w:rFonts w:cs="Arial" w:hAnsi="Arial" w:ascii="Arial"/>
          <w:b/>
        </w:rPr>
      </w:pPr>
      <w:r>
        <w:rPr>
          <w:rFonts w:cs="Arial" w:hAnsi="Arial" w:ascii="Arial"/>
          <w:b/>
        </w:rPr>
        <w:t>I. RAČUN PRIHODA I RASHODA</w:t>
      </w:r>
    </w:p>
    <w:p w:rsidRDefault="004A377E" w:rsidR="008515D6">
      <w:pPr>
        <w:jc w:val="both"/>
        <w:rPr>
          <w:rFonts w:cs="Arial" w:hAnsi="Arial" w:ascii="Arial"/>
        </w:rPr>
      </w:pPr>
      <w:r>
        <w:rPr>
          <w:rFonts w:cs="Arial" w:hAnsi="Arial" w:ascii="Arial"/>
        </w:rPr>
        <w:t>A) PRIHODI</w:t>
      </w:r>
    </w:p>
    <w:tbl>
      <w:tblPr>
        <w:tblW w:type="pct" w:w="4993"/>
        <w:tblCellMar>
          <w:left w:type="dxa" w:w="10"/>
          <w:right w:type="dxa" w:w="10"/>
        </w:tblCellMar>
        <w:tblLook w:val="0000" w:noVBand="0" w:noHBand="0" w:lastColumn="0" w:firstColumn="0" w:lastRow="0" w:firstRow="0"/>
      </w:tblPr>
      <w:tblGrid>
        <w:gridCol w:w="4637"/>
        <w:gridCol w:w="4638"/>
      </w:tblGrid>
      <w:tr w:rsidR="008515D6">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Vrsta prihoda</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kn</w:t>
            </w:r>
          </w:p>
        </w:tc>
      </w:tr>
      <w:tr w:rsidR="008515D6">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4A377E" w:rsidR="008515D6">
            <w:pPr>
              <w:spacing w:after="0"/>
              <w:jc w:val="both"/>
              <w:rPr>
                <w:rFonts w:cs="Arial" w:hAnsi="Arial" w:ascii="Arial"/>
              </w:rPr>
            </w:pPr>
            <w:r>
              <w:rPr>
                <w:rFonts w:cs="Arial" w:hAnsi="Arial" w:ascii="Arial"/>
              </w:rPr>
              <w:t>Početno stanje</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0</w:t>
            </w:r>
          </w:p>
        </w:tc>
      </w:tr>
      <w:tr w:rsidR="008515D6">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4A377E" w:rsidR="008515D6">
            <w:pPr>
              <w:spacing w:after="0"/>
              <w:jc w:val="both"/>
              <w:rPr>
                <w:rFonts w:cs="Arial" w:hAnsi="Arial" w:ascii="Arial"/>
              </w:rPr>
            </w:pPr>
            <w:r>
              <w:rPr>
                <w:rFonts w:cs="Arial" w:hAnsi="Arial" w:ascii="Arial"/>
              </w:rPr>
              <w:t>Prihodi od prodaje nekretnina</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9.285.000,00</w:t>
            </w:r>
          </w:p>
        </w:tc>
      </w:tr>
      <w:tr w:rsidR="008515D6">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4A377E" w:rsidR="008515D6">
            <w:pPr>
              <w:spacing w:after="0"/>
              <w:jc w:val="both"/>
              <w:rPr>
                <w:rFonts w:cs="Arial" w:hAnsi="Arial" w:ascii="Arial"/>
              </w:rPr>
            </w:pPr>
            <w:r>
              <w:rPr>
                <w:rFonts w:cs="Arial" w:hAnsi="Arial" w:ascii="Arial"/>
              </w:rPr>
              <w:t>Ukupno ostvareni prihodi</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9.285.000,00</w:t>
            </w:r>
          </w:p>
        </w:tc>
      </w:tr>
    </w:tbl>
    <w:p w:rsidRDefault="008515D6" w:rsidR="008515D6">
      <w:pPr>
        <w:jc w:val="both"/>
        <w:rPr>
          <w:rFonts w:cs="Arial" w:hAnsi="Arial" w:ascii="Arial"/>
        </w:rPr>
      </w:pPr>
    </w:p>
    <w:p w:rsidRDefault="004A377E" w:rsidR="008515D6">
      <w:pPr>
        <w:rPr>
          <w:rFonts w:cs="Arial" w:hAnsi="Arial" w:ascii="Arial"/>
        </w:rPr>
      </w:pPr>
      <w:r>
        <w:rPr>
          <w:rFonts w:cs="Arial" w:hAnsi="Arial" w:ascii="Arial"/>
        </w:rPr>
        <w:t>B) RASHODI</w:t>
      </w:r>
    </w:p>
    <w:tbl>
      <w:tblPr>
        <w:tblW w:type="pct" w:w="4993"/>
        <w:tblCellMar>
          <w:left w:type="dxa" w:w="10"/>
          <w:right w:type="dxa" w:w="10"/>
        </w:tblCellMar>
        <w:tblLook w:val="0000" w:noVBand="0" w:noHBand="0" w:lastColumn="0" w:firstColumn="0" w:lastRow="0" w:firstRow="0"/>
      </w:tblPr>
      <w:tblGrid>
        <w:gridCol w:w="4637"/>
        <w:gridCol w:w="4638"/>
      </w:tblGrid>
      <w:tr w:rsidR="008515D6">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4A377E" w:rsidR="008515D6">
            <w:pPr>
              <w:spacing w:after="0"/>
              <w:rPr>
                <w:rFonts w:cs="Arial" w:hAnsi="Arial" w:ascii="Arial"/>
              </w:rPr>
            </w:pPr>
            <w:r>
              <w:rPr>
                <w:rFonts w:cs="Arial" w:hAnsi="Arial" w:ascii="Arial"/>
              </w:rPr>
              <w:t>Vrsta troška</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kn</w:t>
            </w:r>
          </w:p>
        </w:tc>
      </w:tr>
      <w:tr w:rsidR="008515D6">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4A377E" w:rsidR="008515D6">
            <w:pPr>
              <w:spacing w:after="0"/>
              <w:rPr>
                <w:rFonts w:cs="Arial" w:hAnsi="Arial" w:ascii="Arial"/>
              </w:rPr>
            </w:pPr>
            <w:r>
              <w:rPr>
                <w:rFonts w:cs="Arial" w:hAnsi="Arial" w:ascii="Arial"/>
              </w:rPr>
              <w:t>Troškovi utvrđivanja predmeta razlučnog prava (sukladno čl.254.st.2 SZ)</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464.250,00</w:t>
            </w:r>
          </w:p>
        </w:tc>
      </w:tr>
      <w:tr w:rsidR="008515D6">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4A377E" w:rsidR="008515D6">
            <w:pPr>
              <w:spacing w:after="0"/>
              <w:rPr>
                <w:rFonts w:cs="Arial" w:hAnsi="Arial" w:ascii="Arial"/>
              </w:rPr>
            </w:pPr>
            <w:r>
              <w:rPr>
                <w:rFonts w:cs="Arial" w:hAnsi="Arial" w:ascii="Arial"/>
              </w:rPr>
              <w:t>Obračun komunalne naknade i kamate do 07.09.2018. g. prema izračunu GSKG</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168.038,62</w:t>
            </w:r>
          </w:p>
        </w:tc>
      </w:tr>
      <w:tr w:rsidR="008515D6">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4A377E" w:rsidR="008515D6">
            <w:pPr>
              <w:spacing w:after="0"/>
              <w:rPr>
                <w:rFonts w:cs="Arial" w:hAnsi="Arial" w:ascii="Arial"/>
              </w:rPr>
            </w:pPr>
            <w:r>
              <w:rPr>
                <w:rFonts w:cs="Arial" w:hAnsi="Arial" w:ascii="Arial"/>
              </w:rPr>
              <w:t>Naknada za uređenje voda i kamate do 07.09.2018.g. prema izračunu GSKG</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42.679,38</w:t>
            </w:r>
          </w:p>
        </w:tc>
      </w:tr>
      <w:tr w:rsidR="008515D6">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4A377E" w:rsidR="008515D6">
            <w:pPr>
              <w:spacing w:after="0"/>
              <w:rPr>
                <w:rFonts w:cs="Arial" w:hAnsi="Arial" w:ascii="Arial"/>
              </w:rPr>
            </w:pPr>
            <w:r>
              <w:rPr>
                <w:rFonts w:cs="Arial" w:hAnsi="Arial" w:ascii="Arial"/>
              </w:rPr>
              <w:t>Troškovi provedbe elektroničke javne dražbe</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2.800,00</w:t>
            </w:r>
          </w:p>
        </w:tc>
      </w:tr>
      <w:tr w:rsidR="008515D6">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4A377E" w:rsidR="008515D6">
            <w:pPr>
              <w:spacing w:after="0"/>
              <w:rPr>
                <w:rFonts w:cs="Arial" w:hAnsi="Arial" w:ascii="Arial"/>
              </w:rPr>
            </w:pPr>
            <w:r>
              <w:rPr>
                <w:rFonts w:cs="Arial" w:hAnsi="Arial" w:ascii="Arial"/>
              </w:rPr>
              <w:t>Troškovi izrade žiga</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148,00</w:t>
            </w:r>
          </w:p>
        </w:tc>
      </w:tr>
      <w:tr w:rsidR="008515D6">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4A377E" w:rsidR="008515D6">
            <w:pPr>
              <w:spacing w:after="0"/>
              <w:rPr>
                <w:rFonts w:cs="Arial" w:hAnsi="Arial" w:ascii="Arial"/>
              </w:rPr>
            </w:pPr>
            <w:r>
              <w:rPr>
                <w:rFonts w:cs="Arial" w:hAnsi="Arial" w:ascii="Arial"/>
              </w:rPr>
              <w:t>Upravni biljezi</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125,00</w:t>
            </w:r>
          </w:p>
        </w:tc>
      </w:tr>
      <w:tr w:rsidR="008515D6">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4A377E" w:rsidR="008515D6">
            <w:pPr>
              <w:spacing w:after="0"/>
              <w:rPr>
                <w:rFonts w:cs="Arial" w:hAnsi="Arial" w:ascii="Arial"/>
              </w:rPr>
            </w:pPr>
            <w:r>
              <w:rPr>
                <w:rFonts w:cs="Arial" w:hAnsi="Arial" w:ascii="Arial"/>
              </w:rPr>
              <w:t>Registar poslovnih subjekta državnog zavoda za statistiku</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55,00</w:t>
            </w:r>
          </w:p>
        </w:tc>
      </w:tr>
      <w:tr w:rsidR="008515D6">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4A377E" w:rsidR="008515D6">
            <w:pPr>
              <w:spacing w:after="0"/>
              <w:rPr>
                <w:rFonts w:cs="Arial" w:hAnsi="Arial" w:ascii="Arial"/>
              </w:rPr>
            </w:pPr>
            <w:r>
              <w:rPr>
                <w:rFonts w:cs="Arial" w:hAnsi="Arial" w:ascii="Arial"/>
              </w:rPr>
              <w:t>Održavanje transakcijskog računa i manipulativni troškovi od otvaranja stečaja (mjesečno 24,00 kn)</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384,00</w:t>
            </w:r>
          </w:p>
        </w:tc>
      </w:tr>
      <w:tr w:rsidR="008515D6">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4A377E" w:rsidR="008515D6">
            <w:pPr>
              <w:spacing w:after="0"/>
              <w:rPr>
                <w:rFonts w:cs="Arial" w:hAnsi="Arial" w:ascii="Arial"/>
              </w:rPr>
            </w:pPr>
            <w:r>
              <w:rPr>
                <w:rFonts w:cs="Arial" w:hAnsi="Arial" w:ascii="Arial"/>
              </w:rPr>
              <w:t>Troškovi knjigovodstvenih i računovodstvenih usluga od otvaranja stečajnog postupka prema Ugovoru</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26.000,00</w:t>
            </w:r>
          </w:p>
        </w:tc>
      </w:tr>
      <w:tr w:rsidR="008515D6">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4A377E" w:rsidR="008515D6">
            <w:pPr>
              <w:spacing w:after="0"/>
              <w:rPr>
                <w:rFonts w:cs="Arial" w:hAnsi="Arial" w:ascii="Arial"/>
              </w:rPr>
            </w:pPr>
            <w:r>
              <w:rPr>
                <w:rFonts w:cs="Arial" w:hAnsi="Arial" w:ascii="Arial"/>
              </w:rPr>
              <w:t>Nagrada stečajnom upravitelju u bruto iznosu</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630.000,00</w:t>
            </w:r>
          </w:p>
        </w:tc>
      </w:tr>
      <w:tr w:rsidR="008515D6">
        <w:tc>
          <w:tcPr>
            <w:tcW w:type="dxa" w:w="9051"/>
            <w:gridSpan w:val="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4A377E" w:rsidR="008515D6">
            <w:pPr>
              <w:spacing w:after="0"/>
              <w:jc w:val="center"/>
              <w:rPr>
                <w:rFonts w:cs="Arial" w:hAnsi="Arial" w:ascii="Arial"/>
              </w:rPr>
            </w:pPr>
            <w:r>
              <w:rPr>
                <w:rFonts w:cs="Arial" w:hAnsi="Arial" w:ascii="Arial"/>
              </w:rPr>
              <w:lastRenderedPageBreak/>
              <w:t>Predvidivi troškovi do zaključenja stečaja i brisanja u registru</w:t>
            </w:r>
          </w:p>
        </w:tc>
      </w:tr>
      <w:tr w:rsidR="008515D6">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4A377E" w:rsidR="008515D6">
            <w:pPr>
              <w:spacing w:after="0"/>
              <w:rPr>
                <w:rFonts w:cs="Arial" w:hAnsi="Arial" w:ascii="Arial"/>
              </w:rPr>
            </w:pPr>
            <w:r>
              <w:rPr>
                <w:rFonts w:cs="Arial" w:hAnsi="Arial" w:ascii="Arial"/>
              </w:rPr>
              <w:t>Predvidivi troškovi komunalne naknade do okončanja postupka</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37.141,38</w:t>
            </w:r>
          </w:p>
        </w:tc>
      </w:tr>
      <w:tr w:rsidR="008515D6">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4A377E" w:rsidR="008515D6">
            <w:pPr>
              <w:spacing w:after="0"/>
              <w:rPr>
                <w:rFonts w:cs="Arial" w:hAnsi="Arial" w:ascii="Arial"/>
              </w:rPr>
            </w:pPr>
            <w:r>
              <w:rPr>
                <w:rFonts w:cs="Arial" w:hAnsi="Arial" w:ascii="Arial"/>
              </w:rPr>
              <w:t>Predvidivi troškovi naknada za uređenje voda do okončanja postupka</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9.400,35</w:t>
            </w:r>
          </w:p>
        </w:tc>
      </w:tr>
      <w:tr w:rsidR="008515D6">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4A377E" w:rsidR="008515D6">
            <w:pPr>
              <w:spacing w:after="0"/>
              <w:rPr>
                <w:rFonts w:cs="Arial" w:hAnsi="Arial" w:ascii="Arial"/>
              </w:rPr>
            </w:pPr>
            <w:r>
              <w:rPr>
                <w:rFonts w:cs="Arial" w:hAnsi="Arial" w:ascii="Arial"/>
              </w:rPr>
              <w:t>Predvidivi troškovi održavanja transakcijskog računa i manipulativni troškovi do okončanja postupka</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144,00</w:t>
            </w:r>
          </w:p>
        </w:tc>
      </w:tr>
      <w:tr w:rsidR="008515D6">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4A377E" w:rsidR="008515D6">
            <w:pPr>
              <w:spacing w:after="0"/>
              <w:rPr>
                <w:rFonts w:cs="Arial" w:hAnsi="Arial" w:ascii="Arial"/>
              </w:rPr>
            </w:pPr>
            <w:r>
              <w:rPr>
                <w:rFonts w:cs="Arial" w:hAnsi="Arial" w:ascii="Arial"/>
              </w:rPr>
              <w:t>Predvidivi troškovi zatvaranja žiro računa</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200,00</w:t>
            </w:r>
          </w:p>
        </w:tc>
      </w:tr>
      <w:tr w:rsidR="008515D6">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4A377E" w:rsidR="008515D6">
            <w:pPr>
              <w:spacing w:after="0"/>
              <w:rPr>
                <w:rFonts w:cs="Arial" w:hAnsi="Arial" w:ascii="Arial"/>
              </w:rPr>
            </w:pPr>
            <w:r>
              <w:rPr>
                <w:rFonts w:cs="Arial" w:hAnsi="Arial" w:ascii="Arial"/>
              </w:rPr>
              <w:t>Predvidivi troškovi knjigovodstvenih i računovodstvenih usluga prema Ugovoru</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6.000,00</w:t>
            </w:r>
          </w:p>
        </w:tc>
      </w:tr>
      <w:tr w:rsidR="008515D6">
        <w:tc>
          <w:tcPr>
            <w:tcW w:type="dxa" w:w="452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tcPr>
          <w:p w:rsidRDefault="004A377E" w:rsidR="008515D6">
            <w:pPr>
              <w:spacing w:after="0"/>
              <w:rPr>
                <w:rFonts w:cs="Arial" w:hAnsi="Arial" w:ascii="Arial"/>
              </w:rPr>
            </w:pPr>
            <w:r>
              <w:rPr>
                <w:rFonts w:cs="Arial" w:hAnsi="Arial" w:ascii="Arial"/>
              </w:rPr>
              <w:t>Ukupno troškovi</w:t>
            </w:r>
          </w:p>
        </w:tc>
        <w:tc>
          <w:tcPr>
            <w:tcW w:type="dxa" w:w="4526"/>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1.387.365,73</w:t>
            </w:r>
          </w:p>
        </w:tc>
      </w:tr>
    </w:tbl>
    <w:p w:rsidRDefault="008515D6" w:rsidR="008515D6">
      <w:pPr>
        <w:rPr>
          <w:rFonts w:cs="Arial" w:hAnsi="Arial" w:ascii="Arial"/>
        </w:rPr>
      </w:pPr>
    </w:p>
    <w:p w:rsidRDefault="004A377E" w:rsidR="008515D6">
      <w:pPr>
        <w:rPr>
          <w:rFonts w:cs="Arial" w:hAnsi="Arial" w:ascii="Arial"/>
        </w:rPr>
      </w:pPr>
      <w:r>
        <w:rPr>
          <w:rFonts w:cs="Arial" w:hAnsi="Arial" w:ascii="Arial"/>
        </w:rPr>
        <w:t>Ukupni račun prihoda i rashoda</w:t>
      </w:r>
    </w:p>
    <w:tbl>
      <w:tblPr>
        <w:tblW w:type="dxa" w:w="9062"/>
        <w:tblCellMar>
          <w:left w:type="dxa" w:w="10"/>
          <w:right w:type="dxa" w:w="10"/>
        </w:tblCellMar>
        <w:tblLook w:val="0000" w:noVBand="0" w:noHBand="0" w:lastColumn="0" w:firstColumn="0" w:lastRow="0" w:firstRow="0"/>
      </w:tblPr>
      <w:tblGrid>
        <w:gridCol w:w="4531"/>
        <w:gridCol w:w="4531"/>
      </w:tblGrid>
      <w:tr w:rsidR="008515D6">
        <w:tc>
          <w:tcPr>
            <w:tcW w:type="dxa" w:w="453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PRIHODI</w:t>
            </w:r>
          </w:p>
        </w:tc>
        <w:tc>
          <w:tcPr>
            <w:tcW w:type="dxa" w:w="453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RASHODI</w:t>
            </w:r>
          </w:p>
        </w:tc>
      </w:tr>
      <w:tr w:rsidR="008515D6">
        <w:tc>
          <w:tcPr>
            <w:tcW w:type="dxa" w:w="453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9.285.000,00 kn</w:t>
            </w:r>
          </w:p>
        </w:tc>
        <w:tc>
          <w:tcPr>
            <w:tcW w:type="dxa" w:w="453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1.387.365,73 kn</w:t>
            </w:r>
          </w:p>
        </w:tc>
      </w:tr>
    </w:tbl>
    <w:p w:rsidRDefault="008515D6" w:rsidR="008515D6">
      <w:pPr>
        <w:rPr>
          <w:rFonts w:cs="Arial" w:hAnsi="Arial" w:ascii="Arial"/>
        </w:rPr>
      </w:pPr>
    </w:p>
    <w:p w:rsidRDefault="008515D6" w:rsidR="008515D6">
      <w:pPr>
        <w:rPr>
          <w:rFonts w:cs="Arial" w:hAnsi="Arial" w:ascii="Arial"/>
        </w:rPr>
      </w:pPr>
    </w:p>
    <w:p w:rsidRDefault="004A377E" w:rsidR="008515D6">
      <w:pPr>
        <w:rPr>
          <w:rFonts w:cs="Arial" w:hAnsi="Arial" w:ascii="Arial"/>
          <w:b/>
        </w:rPr>
      </w:pPr>
      <w:r>
        <w:rPr>
          <w:rFonts w:cs="Arial" w:hAnsi="Arial" w:ascii="Arial"/>
          <w:b/>
        </w:rPr>
        <w:t>II. ZAVRŠNA BILANCA</w:t>
      </w:r>
    </w:p>
    <w:p w:rsidRDefault="004A377E" w:rsidR="008515D6">
      <w:pPr>
        <w:jc w:val="both"/>
        <w:rPr>
          <w:rFonts w:cs="Arial" w:hAnsi="Arial" w:ascii="Arial"/>
        </w:rPr>
      </w:pPr>
      <w:r>
        <w:rPr>
          <w:rFonts w:cs="Arial" w:hAnsi="Arial" w:ascii="Arial"/>
        </w:rPr>
        <w:t>U ovom slučaju stečajni postupak se vodio radi namirenja razlučnog vjerovnika unovčenjem stečajne mase putem elektroničke javne dražbe, jer stečajne mase osim nekretnina koje su opterećene razlučnim pravom nema. Ostali vjerovnici nisu namirili svoje tražbine iz stečajne mase.</w:t>
      </w:r>
    </w:p>
    <w:p w:rsidRDefault="004A377E" w:rsidR="008515D6">
      <w:pPr>
        <w:jc w:val="both"/>
        <w:rPr>
          <w:rFonts w:cs="Arial" w:hAnsi="Arial" w:ascii="Arial"/>
        </w:rPr>
      </w:pPr>
      <w:r>
        <w:rPr>
          <w:rFonts w:cs="Arial" w:hAnsi="Arial" w:ascii="Arial"/>
        </w:rPr>
        <w:t>A) IMOVINA</w:t>
      </w:r>
    </w:p>
    <w:tbl>
      <w:tblPr>
        <w:tblW w:type="dxa" w:w="9062"/>
        <w:tblCellMar>
          <w:left w:type="dxa" w:w="10"/>
          <w:right w:type="dxa" w:w="10"/>
        </w:tblCellMar>
        <w:tblLook w:val="0000" w:noVBand="0" w:noHBand="0" w:lastColumn="0" w:firstColumn="0" w:lastRow="0" w:firstRow="0"/>
      </w:tblPr>
      <w:tblGrid>
        <w:gridCol w:w="2655"/>
        <w:gridCol w:w="1993"/>
        <w:gridCol w:w="2773"/>
        <w:gridCol w:w="1641"/>
      </w:tblGrid>
      <w:tr w:rsidR="008515D6">
        <w:tc>
          <w:tcPr>
            <w:tcW w:type="dxa" w:w="265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Vrsta imovine</w:t>
            </w:r>
          </w:p>
        </w:tc>
        <w:tc>
          <w:tcPr>
            <w:tcW w:type="dxa" w:w="199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Procijenjena vrijednost</w:t>
            </w:r>
          </w:p>
        </w:tc>
        <w:tc>
          <w:tcPr>
            <w:tcW w:type="dxa" w:w="277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Početna vrijednost na elektroničkoj javnoj dražbi</w:t>
            </w:r>
          </w:p>
        </w:tc>
        <w:tc>
          <w:tcPr>
            <w:tcW w:type="dxa" w:w="164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Iznos kupovnine</w:t>
            </w:r>
          </w:p>
        </w:tc>
      </w:tr>
      <w:tr w:rsidR="008515D6">
        <w:tc>
          <w:tcPr>
            <w:tcW w:type="dxa" w:w="265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Nekretnine opterećene razlučnim pravom</w:t>
            </w:r>
          </w:p>
        </w:tc>
        <w:tc>
          <w:tcPr>
            <w:tcW w:type="dxa" w:w="199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12.340.000,00 kn</w:t>
            </w:r>
          </w:p>
        </w:tc>
        <w:tc>
          <w:tcPr>
            <w:tcW w:type="dxa" w:w="2773"/>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9.255.000,00 kn</w:t>
            </w:r>
          </w:p>
        </w:tc>
        <w:tc>
          <w:tcPr>
            <w:tcW w:type="dxa" w:w="164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9.285.000,00</w:t>
            </w:r>
          </w:p>
        </w:tc>
      </w:tr>
    </w:tbl>
    <w:p w:rsidRDefault="008515D6" w:rsidR="008515D6">
      <w:pPr>
        <w:jc w:val="both"/>
        <w:rPr>
          <w:rFonts w:cs="Arial" w:hAnsi="Arial" w:ascii="Arial"/>
        </w:rPr>
      </w:pPr>
    </w:p>
    <w:p w:rsidRDefault="004A377E" w:rsidR="008515D6">
      <w:pPr>
        <w:jc w:val="both"/>
        <w:rPr>
          <w:rFonts w:cs="Arial" w:hAnsi="Arial" w:ascii="Arial"/>
        </w:rPr>
      </w:pPr>
      <w:r>
        <w:rPr>
          <w:rFonts w:cs="Arial" w:hAnsi="Arial" w:ascii="Arial"/>
        </w:rPr>
        <w:t>Razlučni vjerovnik HETA ASSET RESOLUTION AG, Austria, Klagenfurt, Alpen-Adria-Platz 1, A-9020 Klagenfurt am Worthersee, Austria, OIB: 90730821413 naveo je specifikaciju svoje tražbine u iznosu od ukupno 73.343.253,58 kn, a namiren je prema rješenju o namirenju u iznosu od 7.897.634,27 kn. Razlučni vjerovnik je namiren u iznosu od 10,768 %.</w:t>
      </w:r>
    </w:p>
    <w:p w:rsidRDefault="004A377E" w:rsidR="008515D6">
      <w:pPr>
        <w:jc w:val="both"/>
        <w:rPr>
          <w:rFonts w:cs="Arial" w:hAnsi="Arial" w:ascii="Arial"/>
        </w:rPr>
      </w:pPr>
      <w:r>
        <w:rPr>
          <w:rFonts w:cs="Arial" w:hAnsi="Arial" w:ascii="Arial"/>
        </w:rPr>
        <w:t>B) OBVEZE</w:t>
      </w:r>
    </w:p>
    <w:p w:rsidRDefault="004A377E" w:rsidR="008515D6">
      <w:pPr>
        <w:jc w:val="both"/>
        <w:rPr>
          <w:rFonts w:cs="Arial" w:hAnsi="Arial" w:ascii="Arial"/>
        </w:rPr>
      </w:pPr>
      <w:r>
        <w:rPr>
          <w:rFonts w:cs="Arial" w:hAnsi="Arial" w:ascii="Arial"/>
        </w:rPr>
        <w:t>Prijavljene i priznate tražbine stečajnih vjerovnika I. i II. višeg ispitnog reda koje su ostale nenamirene iznose 62.432.147,18 kn</w:t>
      </w:r>
    </w:p>
    <w:p w:rsidRDefault="004A377E" w:rsidR="008515D6">
      <w:pPr>
        <w:jc w:val="both"/>
        <w:rPr>
          <w:rFonts w:cs="Arial" w:hAnsi="Arial" w:ascii="Arial"/>
        </w:rPr>
      </w:pPr>
      <w:r>
        <w:rPr>
          <w:rFonts w:cs="Arial" w:hAnsi="Arial" w:ascii="Arial"/>
        </w:rPr>
        <w:t>I. viši isplatni red –         11.036,81 kn</w:t>
      </w:r>
    </w:p>
    <w:p w:rsidRDefault="004A377E" w:rsidR="008515D6">
      <w:pPr>
        <w:jc w:val="both"/>
        <w:rPr>
          <w:rFonts w:cs="Arial" w:hAnsi="Arial" w:ascii="Arial"/>
        </w:rPr>
      </w:pPr>
      <w:r>
        <w:rPr>
          <w:rFonts w:cs="Arial" w:hAnsi="Arial" w:ascii="Arial"/>
        </w:rPr>
        <w:t>II. viši isplatni red – 62.421.110,37 kn</w:t>
      </w:r>
    </w:p>
    <w:p w:rsidRDefault="008515D6" w:rsidR="008515D6">
      <w:pPr>
        <w:jc w:val="both"/>
        <w:rPr>
          <w:rFonts w:cs="Arial" w:hAnsi="Arial" w:ascii="Arial"/>
        </w:rPr>
      </w:pPr>
    </w:p>
    <w:p w:rsidRDefault="004A377E" w:rsidR="008515D6">
      <w:pPr>
        <w:jc w:val="both"/>
        <w:rPr>
          <w:rFonts w:cs="Arial" w:hAnsi="Arial" w:ascii="Arial"/>
          <w:b/>
        </w:rPr>
      </w:pPr>
      <w:r>
        <w:rPr>
          <w:rFonts w:cs="Arial" w:hAnsi="Arial" w:ascii="Arial"/>
          <w:b/>
        </w:rPr>
        <w:t>III. ZAVRŠNI IZVJEŠTAJ STEČAJNOG UPRAVITELJA</w:t>
      </w:r>
    </w:p>
    <w:p w:rsidRDefault="004A377E" w:rsidR="008515D6">
      <w:pPr>
        <w:ind w:firstLine="360"/>
        <w:jc w:val="both"/>
        <w:rPr>
          <w:rFonts w:cs="Arial" w:hAnsi="Arial" w:ascii="Arial"/>
        </w:rPr>
      </w:pPr>
      <w:r>
        <w:rPr>
          <w:rFonts w:cs="Arial" w:hAnsi="Arial" w:ascii="Arial"/>
        </w:rPr>
        <w:t xml:space="preserve">Ispitno i izvještajno ročište održano je 18. srpnja 2017. godine. U navedenom razdoblju nije bilo potrebno prikupljati stečajnu masu jer je ona prikupljena i registrirana do ispitnog i izvještajnog ročišta te je prodana dana 20.03.2018. g. Stečajni dužnik AUTO KUĆA HOJAN d.o.o., prestao je poslovati 2008. godine, prije otvaranja stečajnog postupka, tako da nije </w:t>
      </w:r>
      <w:r>
        <w:rPr>
          <w:rFonts w:cs="Arial" w:hAnsi="Arial" w:ascii="Arial"/>
        </w:rPr>
        <w:lastRenderedPageBreak/>
        <w:t xml:space="preserve">imao zaposlenih radnika te nije imao izgleda za nastavak poslovanja i mogućnost za izradu stečajnog plana. </w:t>
      </w:r>
    </w:p>
    <w:p w:rsidRDefault="004A377E" w:rsidR="008515D6">
      <w:pPr>
        <w:jc w:val="both"/>
        <w:rPr>
          <w:rFonts w:cs="Arial" w:hAnsi="Arial" w:ascii="Arial"/>
        </w:rPr>
      </w:pPr>
      <w:r>
        <w:rPr>
          <w:rFonts w:cs="Arial" w:hAnsi="Arial" w:ascii="Arial"/>
        </w:rPr>
        <w:t>Sustavan pregled predmeta koji su sačinjavali stečajnu masu prije prodaje:</w:t>
      </w:r>
    </w:p>
    <w:p w:rsidRDefault="004A377E" w:rsidR="008515D6">
      <w:pPr>
        <w:ind w:firstLine="360"/>
        <w:jc w:val="both"/>
        <w:rPr>
          <w:rFonts w:cs="Arial" w:hAnsi="Arial" w:ascii="Arial"/>
        </w:rPr>
      </w:pPr>
      <w:r>
        <w:rPr>
          <w:rFonts w:cs="Arial" w:hAnsi="Arial" w:ascii="Arial"/>
        </w:rPr>
        <w:t xml:space="preserve">Stečajna masa stečajnog dužnika, prije prodaje, sastojala se samo od  nekretnina na kojima je postojalo razlučno pravo.  </w:t>
      </w:r>
    </w:p>
    <w:p w:rsidRDefault="004A377E" w:rsidR="008515D6">
      <w:pPr>
        <w:jc w:val="both"/>
        <w:rPr>
          <w:rFonts w:cs="Arial" w:hAnsi="Arial" w:ascii="Arial"/>
        </w:rPr>
      </w:pPr>
      <w:r>
        <w:rPr>
          <w:rFonts w:cs="Arial" w:hAnsi="Arial" w:ascii="Arial"/>
        </w:rPr>
        <w:t xml:space="preserve">Prodane i unovčene nekretnine na kojima je postojalo razlučno pravo: </w:t>
      </w:r>
    </w:p>
    <w:p w:rsidRDefault="004A377E" w:rsidR="008515D6">
      <w:pPr>
        <w:pStyle w:val="Odlomakpopisa"/>
        <w:numPr>
          <w:ilvl w:val="0"/>
          <w:numId w:val="1"/>
        </w:numPr>
        <w:jc w:val="both"/>
        <w:rPr>
          <w:rFonts w:cs="Arial" w:hAnsi="Arial" w:ascii="Arial"/>
        </w:rPr>
      </w:pPr>
      <w:r>
        <w:rPr>
          <w:rFonts w:cs="Arial" w:hAnsi="Arial" w:ascii="Arial"/>
        </w:rPr>
        <w:t>Nekretnina upisana u zk.ul.br. 2150 k.o. Resnik, zk.kč.br. 925/351, u naravi oranica površine 122m2 i zk.kč.br. 925/353, u naravi oranica površine 140m2,</w:t>
      </w:r>
    </w:p>
    <w:p w:rsidRDefault="004A377E" w:rsidR="008515D6">
      <w:pPr>
        <w:pStyle w:val="Odlomakpopisa"/>
        <w:numPr>
          <w:ilvl w:val="0"/>
          <w:numId w:val="1"/>
        </w:numPr>
        <w:jc w:val="both"/>
        <w:rPr>
          <w:rFonts w:cs="Arial" w:hAnsi="Arial" w:ascii="Arial"/>
        </w:rPr>
      </w:pPr>
      <w:r>
        <w:rPr>
          <w:rFonts w:cs="Arial" w:hAnsi="Arial" w:ascii="Arial"/>
        </w:rPr>
        <w:t>Nekretnina upisana u zk.ul.br. 2153 k.o. Resnik, zk.kč.br. 925/286, u naravi dvorište površine 111m2, zk.kč.br. 925/287, u naravi poslovna zgrada br. 42 Ljudevita Posavskog (prodajno servisni centar) sa 2584 m2 i dvorište sa 6389 m2 površine, ukupne površine 8973 m2, zk.kč.br.925/352, u naravi oranica površine 132 m2, zk.kč.br. 925/354, u naravi oranica površine 51 m2 i zk.kč.br. 925/355, u naravi oranica površine 141 m2,</w:t>
      </w:r>
    </w:p>
    <w:p w:rsidRDefault="004A377E" w:rsidR="008515D6">
      <w:pPr>
        <w:pStyle w:val="Odlomakpopisa"/>
        <w:numPr>
          <w:ilvl w:val="0"/>
          <w:numId w:val="1"/>
        </w:numPr>
        <w:jc w:val="both"/>
        <w:rPr>
          <w:rFonts w:cs="Arial" w:hAnsi="Arial" w:ascii="Arial"/>
        </w:rPr>
      </w:pPr>
      <w:r>
        <w:rPr>
          <w:rFonts w:cs="Arial" w:hAnsi="Arial" w:ascii="Arial"/>
        </w:rPr>
        <w:t xml:space="preserve">Nekretnina upisana u zk.ul.br. 2155 k.o. Resnik, zk.kč.br. 925/29, u naravi oranica površine 17 m2 i zk.kč.br.925/350, u naravi oranica površine 83 m2, </w:t>
      </w:r>
    </w:p>
    <w:p w:rsidRDefault="004A377E" w:rsidR="008515D6">
      <w:pPr>
        <w:pStyle w:val="Odlomakpopisa"/>
        <w:numPr>
          <w:ilvl w:val="0"/>
          <w:numId w:val="1"/>
        </w:numPr>
        <w:jc w:val="both"/>
        <w:rPr>
          <w:rFonts w:cs="Arial" w:hAnsi="Arial" w:ascii="Arial"/>
        </w:rPr>
      </w:pPr>
      <w:r>
        <w:rPr>
          <w:rFonts w:cs="Arial" w:hAnsi="Arial" w:ascii="Arial"/>
        </w:rPr>
        <w:t>Nekretnina upisana u zk.ul.br. 2183 k.o. Resnik, zk.kč.br. 925/27, u naravi oranica Resničina u Resničini površine 567 čhv,</w:t>
      </w:r>
    </w:p>
    <w:p w:rsidRDefault="004A377E" w:rsidR="008515D6">
      <w:pPr>
        <w:pStyle w:val="Odlomakpopisa"/>
        <w:numPr>
          <w:ilvl w:val="0"/>
          <w:numId w:val="1"/>
        </w:numPr>
        <w:jc w:val="both"/>
        <w:rPr>
          <w:rFonts w:cs="Arial" w:hAnsi="Arial" w:ascii="Arial"/>
        </w:rPr>
      </w:pPr>
      <w:r>
        <w:rPr>
          <w:rFonts w:cs="Arial" w:hAnsi="Arial" w:ascii="Arial"/>
        </w:rPr>
        <w:t>Nekretnina upisana u zk.ul.br. 2185 k.o. Resnik, zk.kč.br. 925/28, u naravi oranica površine 1883m2, zk.kč.br. 925/285, u naravi oranica površine 67 m2 i zk.kč.br. 925/349, u naravi oranica površine 2 m2.</w:t>
      </w:r>
    </w:p>
    <w:p w:rsidRDefault="004A377E" w:rsidR="008515D6">
      <w:pPr>
        <w:jc w:val="both"/>
        <w:rPr>
          <w:rFonts w:cs="Arial" w:hAnsi="Arial" w:ascii="Arial"/>
        </w:rPr>
      </w:pPr>
      <w:r>
        <w:rPr>
          <w:rFonts w:cs="Arial" w:hAnsi="Arial" w:ascii="Arial"/>
        </w:rPr>
        <w:t>Navedene prodane  i unovčene nekretnine upisane u katastarsku općinu Resnik činile su cjelinu stečajnog dužnika AUTO KUĆA HOJAN d.o.o. u stečaju. Nekretnine su se prodavale skupno a utvrđena vrijednost je bila 12.340.000,00 kn. Svi navedeni predmeti stečajne mase, na kojima je postojalo razlučno pravo, su prodani i unovčeni na elektroničkoj javnoj dražbi u organizaciji Financijske agencije FINA-e, dana 20.03.2018. godine. Navedeni predmeti stečajne mase unovčeni su za iznos od 9.285.000,00 kn, a kupac je bio TRCZ Automobili d.o.o., Sesvete, Zagrebačka 118, OIB: 49622102670</w:t>
      </w:r>
    </w:p>
    <w:p w:rsidRDefault="004A377E" w:rsidR="008515D6">
      <w:pPr>
        <w:jc w:val="both"/>
        <w:rPr>
          <w:rFonts w:cs="Arial" w:hAnsi="Arial" w:ascii="Arial"/>
        </w:rPr>
      </w:pPr>
      <w:r>
        <w:rPr>
          <w:rFonts w:cs="Arial" w:hAnsi="Arial" w:ascii="Arial"/>
        </w:rPr>
        <w:t xml:space="preserve">- Ne postoji predmeta stečajne mase koji nisu unovčeni. </w:t>
      </w:r>
    </w:p>
    <w:p w:rsidRDefault="004A377E" w:rsidR="008515D6">
      <w:pPr>
        <w:jc w:val="both"/>
        <w:rPr>
          <w:rFonts w:cs="Arial" w:hAnsi="Arial" w:ascii="Arial"/>
        </w:rPr>
      </w:pPr>
      <w:r>
        <w:rPr>
          <w:rFonts w:cs="Arial" w:hAnsi="Arial" w:ascii="Arial"/>
        </w:rPr>
        <w:t>- Razlučno pravo ostvareno je upisom u zemljišnom knjigama.</w:t>
      </w:r>
    </w:p>
    <w:p w:rsidRDefault="004A377E" w:rsidR="008515D6">
      <w:pPr>
        <w:jc w:val="both"/>
        <w:rPr>
          <w:rFonts w:cs="Arial" w:hAnsi="Arial" w:ascii="Arial"/>
        </w:rPr>
      </w:pPr>
      <w:r>
        <w:rPr>
          <w:rFonts w:cs="Arial" w:hAnsi="Arial" w:ascii="Arial"/>
        </w:rPr>
        <w:t>- Izlučno pravo ne postoji.</w:t>
      </w:r>
    </w:p>
    <w:p w:rsidRDefault="004A377E" w:rsidR="008515D6">
      <w:pPr>
        <w:jc w:val="both"/>
        <w:rPr>
          <w:rFonts w:cs="Arial" w:hAnsi="Arial" w:ascii="Arial"/>
        </w:rPr>
      </w:pPr>
      <w:r>
        <w:rPr>
          <w:rFonts w:cs="Arial" w:hAnsi="Arial" w:ascii="Arial"/>
        </w:rPr>
        <w:t>- Vjerovnici stečajne mase (I. i II. viši isplatni red) nisu namireni.</w:t>
      </w:r>
    </w:p>
    <w:p w:rsidRDefault="004A377E" w:rsidR="008515D6">
      <w:pPr>
        <w:jc w:val="both"/>
        <w:rPr>
          <w:rFonts w:cs="Arial" w:hAnsi="Arial" w:ascii="Arial"/>
        </w:rPr>
      </w:pPr>
      <w:r>
        <w:rPr>
          <w:rFonts w:cs="Arial" w:hAnsi="Arial" w:ascii="Arial"/>
        </w:rPr>
        <w:t xml:space="preserve">- Već prije otvaranja stečajnog postupka nije bilo zaposlenih radnika, tako da nije nitko nastavio s radom nakon otvaranja istog.  </w:t>
      </w:r>
    </w:p>
    <w:p w:rsidRDefault="004A377E" w:rsidR="008515D6">
      <w:pPr>
        <w:jc w:val="both"/>
        <w:rPr>
          <w:rFonts w:cs="Arial" w:hAnsi="Arial" w:ascii="Arial"/>
        </w:rPr>
      </w:pPr>
      <w:r>
        <w:rPr>
          <w:rFonts w:cs="Arial" w:hAnsi="Arial" w:ascii="Arial"/>
        </w:rPr>
        <w:t>- Svi iznosi završnog računa utvrđeni su na ročištu za diobu kupovnine i pravomoćnom rješenju o namirenju</w:t>
      </w:r>
    </w:p>
    <w:p w:rsidRDefault="004A377E" w:rsidR="008515D6">
      <w:pPr>
        <w:jc w:val="both"/>
        <w:rPr>
          <w:rFonts w:cs="Arial" w:hAnsi="Arial" w:ascii="Arial"/>
        </w:rPr>
      </w:pPr>
      <w:r>
        <w:rPr>
          <w:rFonts w:cs="Arial" w:hAnsi="Arial" w:ascii="Arial"/>
        </w:rPr>
        <w:t>- Na ispitnom ročištu, te rješenjem od 18. srpnja 2017. godine utvrđene su tražbine stečajnih vjerovnika viših isplatnih redova. Vjerovnici viših isplatnih redova neće biti namireni, jer stečajne mase, osim one koja je bila opterećena razlučnim pravom i prodana na elektroničkoj javnoj dražbi dana 20.03.2018.g., nema.</w:t>
      </w:r>
    </w:p>
    <w:p w:rsidRDefault="008515D6" w:rsidR="008515D6">
      <w:pPr>
        <w:jc w:val="both"/>
        <w:rPr>
          <w:rFonts w:cs="Arial" w:hAnsi="Arial" w:ascii="Arial"/>
        </w:rPr>
      </w:pPr>
    </w:p>
    <w:p w:rsidRDefault="004A377E" w:rsidR="008515D6">
      <w:pPr>
        <w:jc w:val="both"/>
        <w:rPr>
          <w:rFonts w:cs="Arial" w:hAnsi="Arial" w:ascii="Arial"/>
          <w:b/>
        </w:rPr>
      </w:pPr>
      <w:r>
        <w:rPr>
          <w:rFonts w:cs="Arial" w:hAnsi="Arial" w:ascii="Arial"/>
          <w:b/>
        </w:rPr>
        <w:t>IV. ZAVRŠNI DIOBNI POPIS</w:t>
      </w:r>
    </w:p>
    <w:p w:rsidRDefault="004A377E" w:rsidR="008515D6">
      <w:pPr>
        <w:jc w:val="both"/>
        <w:rPr>
          <w:rFonts w:cs="Arial" w:hAnsi="Arial" w:ascii="Arial"/>
        </w:rPr>
      </w:pPr>
      <w:r>
        <w:rPr>
          <w:rFonts w:cs="Arial" w:hAnsi="Arial" w:ascii="Arial"/>
        </w:rPr>
        <w:lastRenderedPageBreak/>
        <w:t>Prijavljene i priznate tražbine stečajnih vjerovnika I. i II. višeg ispitnog reda koje su ostale nenamirene iznose 62.432.147,18 kn</w:t>
      </w:r>
    </w:p>
    <w:p w:rsidRDefault="004A377E" w:rsidR="008515D6">
      <w:pPr>
        <w:jc w:val="both"/>
        <w:rPr>
          <w:rFonts w:cs="Arial" w:hAnsi="Arial" w:ascii="Arial"/>
        </w:rPr>
      </w:pPr>
      <w:r>
        <w:rPr>
          <w:rFonts w:cs="Arial" w:hAnsi="Arial" w:ascii="Arial"/>
        </w:rPr>
        <w:t>I. viši isplatni red –         11.036,81 kn priznatih tražbina – namirenje 0,00 %</w:t>
      </w:r>
    </w:p>
    <w:p w:rsidRDefault="004A377E" w:rsidR="008515D6">
      <w:pPr>
        <w:jc w:val="both"/>
        <w:rPr>
          <w:rFonts w:cs="Arial" w:hAnsi="Arial" w:ascii="Arial"/>
        </w:rPr>
      </w:pPr>
      <w:r>
        <w:rPr>
          <w:rFonts w:cs="Arial" w:hAnsi="Arial" w:ascii="Arial"/>
        </w:rPr>
        <w:t>II. viši isplatni red – 62.421.110,37 kn priznatih tražbina – namirenje 0,00 %</w:t>
      </w:r>
    </w:p>
    <w:p w:rsidRDefault="008515D6" w:rsidR="008515D6">
      <w:pPr>
        <w:jc w:val="both"/>
        <w:rPr>
          <w:rFonts w:cs="Arial" w:hAnsi="Arial" w:ascii="Arial"/>
        </w:rPr>
      </w:pPr>
    </w:p>
    <w:p w:rsidRDefault="004A377E" w:rsidR="008515D6">
      <w:pPr>
        <w:jc w:val="both"/>
        <w:rPr>
          <w:rFonts w:cs="Arial" w:hAnsi="Arial" w:ascii="Arial"/>
        </w:rPr>
      </w:pPr>
      <w:r>
        <w:rPr>
          <w:rFonts w:cs="Arial" w:hAnsi="Arial" w:ascii="Arial"/>
        </w:rPr>
        <w:t>I. viši isplatni red – 11.036,81 kn priznatih tražbina – namirenje 0,00%, odnosno 0,00 kn</w:t>
      </w:r>
    </w:p>
    <w:tbl>
      <w:tblPr>
        <w:tblW w:type="dxa" w:w="9062"/>
        <w:tblCellMar>
          <w:left w:type="dxa" w:w="10"/>
          <w:right w:type="dxa" w:w="10"/>
        </w:tblCellMar>
        <w:tblLook w:val="0000" w:noVBand="0" w:noHBand="0" w:lastColumn="0" w:firstColumn="0" w:lastRow="0" w:firstRow="0"/>
      </w:tblPr>
      <w:tblGrid>
        <w:gridCol w:w="1479"/>
        <w:gridCol w:w="2927"/>
        <w:gridCol w:w="1372"/>
        <w:gridCol w:w="1765"/>
        <w:gridCol w:w="1519"/>
      </w:tblGrid>
      <w:tr w:rsidR="008515D6">
        <w:tc>
          <w:tcPr>
            <w:tcW w:type="dxa" w:w="147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Redni broj prijavljene tražbine</w:t>
            </w:r>
          </w:p>
        </w:tc>
        <w:tc>
          <w:tcPr>
            <w:tcW w:type="dxa" w:w="292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Naziv vjerovnika</w:t>
            </w:r>
          </w:p>
        </w:tc>
        <w:tc>
          <w:tcPr>
            <w:tcW w:type="dxa" w:w="137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Utvrđena tražbina u kn</w:t>
            </w:r>
          </w:p>
        </w:tc>
        <w:tc>
          <w:tcPr>
            <w:tcW w:type="dxa" w:w="176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Iznos namiren po prethodnim diobama u kn</w:t>
            </w:r>
          </w:p>
        </w:tc>
        <w:tc>
          <w:tcPr>
            <w:tcW w:type="dxa" w:w="151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Iznos preostao za namirenje u kn</w:t>
            </w:r>
          </w:p>
        </w:tc>
      </w:tr>
      <w:tr w:rsidR="008515D6">
        <w:tc>
          <w:tcPr>
            <w:tcW w:type="dxa" w:w="147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1.</w:t>
            </w:r>
          </w:p>
        </w:tc>
        <w:tc>
          <w:tcPr>
            <w:tcW w:type="dxa" w:w="2927"/>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RH Ministarstvo financija, Porezna uprava, Područni ured Zagreb, OIB:18683136487</w:t>
            </w:r>
          </w:p>
        </w:tc>
        <w:tc>
          <w:tcPr>
            <w:tcW w:type="dxa" w:w="137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11.036,81</w:t>
            </w:r>
          </w:p>
        </w:tc>
        <w:tc>
          <w:tcPr>
            <w:tcW w:type="dxa" w:w="176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0,00</w:t>
            </w:r>
          </w:p>
        </w:tc>
        <w:tc>
          <w:tcPr>
            <w:tcW w:type="dxa" w:w="151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11.036,81</w:t>
            </w:r>
          </w:p>
        </w:tc>
      </w:tr>
    </w:tbl>
    <w:p w:rsidRDefault="008515D6" w:rsidR="008515D6">
      <w:pPr>
        <w:jc w:val="both"/>
        <w:rPr>
          <w:rFonts w:cs="Arial" w:hAnsi="Arial" w:ascii="Arial"/>
        </w:rPr>
      </w:pPr>
    </w:p>
    <w:p w:rsidRDefault="008515D6" w:rsidR="008515D6">
      <w:pPr>
        <w:jc w:val="both"/>
        <w:rPr>
          <w:rFonts w:cs="Arial" w:hAnsi="Arial" w:ascii="Arial"/>
          <w:b/>
        </w:rPr>
      </w:pPr>
    </w:p>
    <w:p w:rsidRDefault="004A377E" w:rsidR="008515D6">
      <w:pPr>
        <w:jc w:val="both"/>
        <w:rPr>
          <w:rFonts w:cs="Arial" w:hAnsi="Arial" w:ascii="Arial"/>
        </w:rPr>
      </w:pPr>
      <w:r>
        <w:rPr>
          <w:rFonts w:cs="Arial" w:hAnsi="Arial" w:ascii="Arial"/>
        </w:rPr>
        <w:t>II. viši isplatni red – 62.421.110,37 kn priznatih tražbina – namirenje 0,00%, odnosno 0,00 kn</w:t>
      </w:r>
    </w:p>
    <w:tbl>
      <w:tblPr>
        <w:tblW w:type="dxa" w:w="9062"/>
        <w:tblCellMar>
          <w:left w:type="dxa" w:w="10"/>
          <w:right w:type="dxa" w:w="10"/>
        </w:tblCellMar>
        <w:tblLook w:val="0000" w:noVBand="0" w:noHBand="0" w:lastColumn="0" w:firstColumn="0" w:lastRow="0" w:firstRow="0"/>
      </w:tblPr>
      <w:tblGrid>
        <w:gridCol w:w="1431"/>
        <w:gridCol w:w="2389"/>
        <w:gridCol w:w="1718"/>
        <w:gridCol w:w="1685"/>
        <w:gridCol w:w="1839"/>
      </w:tblGrid>
      <w:tr w:rsidR="008515D6">
        <w:tc>
          <w:tcPr>
            <w:tcW w:type="dxa" w:w="143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Redni broj prijavljene tražbine</w:t>
            </w:r>
          </w:p>
        </w:tc>
        <w:tc>
          <w:tcPr>
            <w:tcW w:type="dxa" w:w="238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Naziv vjerovnika</w:t>
            </w:r>
          </w:p>
        </w:tc>
        <w:tc>
          <w:tcPr>
            <w:tcW w:type="dxa" w:w="171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Utvrđena tražbina u kn</w:t>
            </w:r>
          </w:p>
        </w:tc>
        <w:tc>
          <w:tcPr>
            <w:tcW w:type="dxa" w:w="168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Iznos namiren po prethodnim diobama u kn</w:t>
            </w:r>
          </w:p>
        </w:tc>
        <w:tc>
          <w:tcPr>
            <w:tcW w:type="dxa" w:w="183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Iznos preostao za namirenje u kn</w:t>
            </w:r>
          </w:p>
        </w:tc>
      </w:tr>
      <w:tr w:rsidR="008515D6">
        <w:tc>
          <w:tcPr>
            <w:tcW w:type="dxa" w:w="143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1.</w:t>
            </w:r>
          </w:p>
        </w:tc>
        <w:tc>
          <w:tcPr>
            <w:tcW w:type="dxa" w:w="238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Heta Asset Resolution AG, Austria OIB: 90730821413</w:t>
            </w:r>
          </w:p>
        </w:tc>
        <w:tc>
          <w:tcPr>
            <w:tcW w:type="dxa" w:w="171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60.760.603,63</w:t>
            </w:r>
          </w:p>
        </w:tc>
        <w:tc>
          <w:tcPr>
            <w:tcW w:type="dxa" w:w="168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0,00</w:t>
            </w:r>
          </w:p>
        </w:tc>
        <w:tc>
          <w:tcPr>
            <w:tcW w:type="dxa" w:w="183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60.760.603,63</w:t>
            </w:r>
          </w:p>
        </w:tc>
      </w:tr>
      <w:tr w:rsidR="008515D6">
        <w:tc>
          <w:tcPr>
            <w:tcW w:type="dxa" w:w="143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2.</w:t>
            </w:r>
          </w:p>
        </w:tc>
        <w:tc>
          <w:tcPr>
            <w:tcW w:type="dxa" w:w="238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B2 Kapital d.o.o., OIB: 57509775367</w:t>
            </w:r>
          </w:p>
        </w:tc>
        <w:tc>
          <w:tcPr>
            <w:tcW w:type="dxa" w:w="171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973.425,73</w:t>
            </w:r>
          </w:p>
        </w:tc>
        <w:tc>
          <w:tcPr>
            <w:tcW w:type="dxa" w:w="168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0,00</w:t>
            </w:r>
          </w:p>
        </w:tc>
        <w:tc>
          <w:tcPr>
            <w:tcW w:type="dxa" w:w="183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973.425,73</w:t>
            </w:r>
          </w:p>
        </w:tc>
      </w:tr>
      <w:tr w:rsidR="008515D6">
        <w:tc>
          <w:tcPr>
            <w:tcW w:type="dxa" w:w="143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3.</w:t>
            </w:r>
          </w:p>
        </w:tc>
        <w:tc>
          <w:tcPr>
            <w:tcW w:type="dxa" w:w="238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Heta Asset Resolution Hrvatska d.o.o., OIB: 87064273078</w:t>
            </w:r>
          </w:p>
        </w:tc>
        <w:tc>
          <w:tcPr>
            <w:tcW w:type="dxa" w:w="171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283.719,68</w:t>
            </w:r>
          </w:p>
        </w:tc>
        <w:tc>
          <w:tcPr>
            <w:tcW w:type="dxa" w:w="168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0,00</w:t>
            </w:r>
          </w:p>
        </w:tc>
        <w:tc>
          <w:tcPr>
            <w:tcW w:type="dxa" w:w="183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283.719,68</w:t>
            </w:r>
          </w:p>
        </w:tc>
      </w:tr>
      <w:tr w:rsidR="008515D6">
        <w:tc>
          <w:tcPr>
            <w:tcW w:type="dxa" w:w="1431"/>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4.</w:t>
            </w:r>
          </w:p>
        </w:tc>
        <w:tc>
          <w:tcPr>
            <w:tcW w:type="dxa" w:w="238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RH, Ministarstvo financija, Porezna uprava, Područni ured Zagreb, OIB: 18683136487</w:t>
            </w:r>
          </w:p>
        </w:tc>
        <w:tc>
          <w:tcPr>
            <w:tcW w:type="dxa" w:w="171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403.361,33</w:t>
            </w:r>
          </w:p>
        </w:tc>
        <w:tc>
          <w:tcPr>
            <w:tcW w:type="dxa" w:w="168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0,00</w:t>
            </w:r>
          </w:p>
        </w:tc>
        <w:tc>
          <w:tcPr>
            <w:tcW w:type="dxa" w:w="183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403.361,33</w:t>
            </w:r>
          </w:p>
        </w:tc>
      </w:tr>
      <w:tr w:rsidR="008515D6">
        <w:tc>
          <w:tcPr>
            <w:tcW w:type="dxa" w:w="3820"/>
            <w:gridSpan w:val="2"/>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rPr>
                <w:rFonts w:cs="Arial" w:hAnsi="Arial" w:ascii="Arial"/>
              </w:rPr>
            </w:pPr>
            <w:r>
              <w:rPr>
                <w:rFonts w:cs="Arial" w:hAnsi="Arial" w:ascii="Arial"/>
              </w:rPr>
              <w:t>UKUPNO</w:t>
            </w:r>
          </w:p>
        </w:tc>
        <w:tc>
          <w:tcPr>
            <w:tcW w:type="dxa" w:w="1718"/>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pPr>
            <w:r>
              <w:rPr>
                <w:rFonts w:cs="Arial" w:hAnsi="Arial" w:ascii="Arial"/>
              </w:rPr>
              <w:t>62.421.110,37</w:t>
            </w:r>
          </w:p>
        </w:tc>
        <w:tc>
          <w:tcPr>
            <w:tcW w:type="dxa" w:w="1685"/>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pPr>
            <w:r>
              <w:rPr>
                <w:rFonts w:cs="Arial" w:hAnsi="Arial" w:ascii="Arial"/>
              </w:rPr>
              <w:t>0,00</w:t>
            </w:r>
          </w:p>
        </w:tc>
        <w:tc>
          <w:tcPr>
            <w:tcW w:type="dxa" w:w="1839"/>
            <w:tcBorders>
              <w:top w:space="0" w:sz="4" w:color="000000" w:val="single"/>
              <w:left w:space="0" w:sz="4" w:color="000000" w:val="single"/>
              <w:bottom w:space="0" w:sz="4" w:color="000000" w:val="single"/>
              <w:right w:space="0" w:sz="4" w:color="000000" w:val="single"/>
            </w:tcBorders>
            <w:shd w:fill="auto" w:color="auto" w:val="clear"/>
            <w:tcMar>
              <w:top w:type="dxa" w:w="0"/>
              <w:left w:type="dxa" w:w="108"/>
              <w:bottom w:type="dxa" w:w="0"/>
              <w:right w:type="dxa" w:w="108"/>
            </w:tcMar>
            <w:vAlign w:val="center"/>
          </w:tcPr>
          <w:p w:rsidRDefault="004A377E" w:rsidR="008515D6">
            <w:pPr>
              <w:spacing w:after="0"/>
              <w:jc w:val="center"/>
            </w:pPr>
            <w:r>
              <w:rPr>
                <w:rFonts w:cs="Arial" w:hAnsi="Arial" w:ascii="Arial"/>
              </w:rPr>
              <w:t>62.421.110,37</w:t>
            </w:r>
          </w:p>
        </w:tc>
      </w:tr>
    </w:tbl>
    <w:p w:rsidRDefault="008515D6" w:rsidR="008515D6">
      <w:pPr>
        <w:jc w:val="both"/>
        <w:rPr>
          <w:rFonts w:cs="Arial" w:hAnsi="Arial" w:ascii="Arial"/>
        </w:rPr>
      </w:pPr>
    </w:p>
    <w:p w:rsidRDefault="008515D6" w:rsidR="008515D6">
      <w:pPr>
        <w:jc w:val="both"/>
        <w:rPr>
          <w:rFonts w:cs="Arial" w:hAnsi="Arial" w:ascii="Arial"/>
        </w:rPr>
      </w:pPr>
    </w:p>
    <w:p w:rsidRDefault="004A377E" w:rsidR="008515D6">
      <w:pPr>
        <w:jc w:val="both"/>
        <w:rPr>
          <w:rFonts w:cs="Arial" w:hAnsi="Arial" w:ascii="Arial"/>
        </w:rPr>
      </w:pPr>
      <w:r>
        <w:rPr>
          <w:rFonts w:cs="Arial" w:hAnsi="Arial" w:ascii="Arial"/>
        </w:rPr>
        <w:t>Zagreb, 27. ožujak 2019. godine</w:t>
      </w:r>
    </w:p>
    <w:p w:rsidRDefault="004A377E" w:rsidR="008515D6">
      <w:pPr>
        <w:jc w:val="both"/>
        <w:rPr>
          <w:rFonts w:cs="Arial" w:hAnsi="Arial" w:ascii="Arial"/>
        </w:rPr>
      </w:pPr>
      <w:r>
        <w:rPr>
          <w:rFonts w:cs="Arial" w:hAnsi="Arial" w:ascii="Arial"/>
        </w:rPr>
        <w:t xml:space="preserve">                                                                                                        Stečajni upravitelj</w:t>
      </w:r>
    </w:p>
    <w:p w:rsidRDefault="004A377E" w:rsidR="008515D6">
      <w:pPr>
        <w:jc w:val="both"/>
        <w:rPr>
          <w:rFonts w:cs="Arial" w:hAnsi="Arial" w:ascii="Arial"/>
        </w:rPr>
      </w:pPr>
      <w:r>
        <w:rPr>
          <w:rFonts w:cs="Arial" w:hAnsi="Arial" w:ascii="Arial"/>
        </w:rPr>
        <w:t xml:space="preserve">                                                                                                        Ivica Boltužić</w:t>
      </w:r>
    </w:p>
    <w:p w:rsidRDefault="004A377E" w:rsidR="008515D6">
      <w:pPr>
        <w:jc w:val="both"/>
        <w:rPr>
          <w:rFonts w:cs="Arial" w:hAnsi="Arial" w:ascii="Arial"/>
        </w:rPr>
      </w:pPr>
      <w:r>
        <w:rPr>
          <w:rFonts w:cs="Arial" w:hAnsi="Arial" w:ascii="Arial"/>
        </w:rPr>
        <w:t xml:space="preserve"> </w:t>
      </w:r>
    </w:p>
    <w:p w:rsidRDefault="008515D6" w:rsidR="008515D6">
      <w:pPr>
        <w:rPr>
          <w:rFonts w:cs="Arial" w:hAnsi="Arial" w:ascii="Arial"/>
          <w:b/>
        </w:rPr>
      </w:pPr>
    </w:p>
    <w:sectPr w:rsidR="008515D6">
      <w:headerReference w:type="default" r:id="rId9"/>
      <w:footerReference w:type="default" r:id="rId10"/>
      <w:pgSz w:h="16838" w:w="11906"/>
      <w:pgMar w:gutter="0" w:footer="720" w:header="720" w:left="1417" w:bottom="1417" w:right="1417" w:top="1417"/>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377E" w:rsidR="00B911F5">
      <w:pPr>
        <w:spacing w:after="0"/>
      </w:pPr>
      <w:r>
        <w:separator/>
      </w:r>
    </w:p>
  </w:endnote>
  <w:endnote w:id="0" w:type="continuationSeparator">
    <w:p w:rsidRDefault="004A377E" w:rsidR="00B911F5">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egoe UI">
    <w:panose1 w:val="020B0502040204020203"/>
    <w:charset w:val="EE"/>
    <w:family w:val="swiss"/>
    <w:pitch w:val="variable"/>
    <w:sig w:csb1="00000000" w:csb0="000001DF" w:usb3="00000000" w:usb2="00000029" w:usb1="C000E47F" w:usb0="E1002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A377E" w:rsidR="007C2C02">
    <w:pPr>
      <w:pStyle w:val="Podnoje"/>
      <w:jc w:val="right"/>
    </w:pPr>
    <w:r>
      <w:fldChar w:fldCharType="begin"/>
    </w:r>
    <w:r>
      <w:instrText xml:space="preserve"> PAGE </w:instrText>
    </w:r>
    <w:r>
      <w:fldChar w:fldCharType="separate"/>
    </w:r>
    <w:r w:rsidR="00271DF1">
      <w:rPr>
        <w:noProof/>
      </w:rPr>
      <w:t>1</w:t>
    </w:r>
    <w:r>
      <w:fldChar w:fldCharType="end"/>
    </w:r>
  </w:p>
  <w:p w:rsidRDefault="00271DF1" w:rsidR="007C2C02">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377E" w:rsidR="00B911F5">
      <w:pPr>
        <w:spacing w:after="0"/>
      </w:pPr>
      <w:r>
        <w:rPr>
          <w:color w:val="000000"/>
        </w:rPr>
        <w:separator/>
      </w:r>
    </w:p>
  </w:footnote>
  <w:footnote w:id="0" w:type="continuationSeparator">
    <w:p w:rsidRDefault="004A377E" w:rsidR="00B911F5">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71DF1" w:rsidR="007C2C0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0F0117C"/>
    <w:multiLevelType w:val="multilevel"/>
    <w:tmpl w:val="0B0653A6"/>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
  <w:rsids>
    <w:rsidRoot w:val="008515D6"/>
    <w:rsid w:val="00271DF1"/>
    <w:rsid w:val="004A377E"/>
    <w:rsid w:val="008515D6"/>
    <w:rsid w:val="00B911F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sz w:val="22"/>
        <w:szCs w:val="22"/>
        <w:lang w:bidi="ar-SA" w:eastAsia="en-US" w:val="hr-HR"/>
      </w:rPr>
    </w:rPrDefault>
    <w:pPrDefault>
      <w:pPr>
        <w:autoSpaceDN w:val="false"/>
        <w:spacing w:lineRule="auto" w:line="249" w:after="160"/>
        <w:textAlignment w:val="baseline"/>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pPr>
      <w:suppressAutoHyphens/>
      <w:spacing w:lineRule="auto" w:line="240"/>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true"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true" w:styleId="PodnojeChar" w:type="character">
    <w:name w:val="Podnožje Char"/>
    <w:basedOn w:val="Zadanifontodlomka"/>
  </w:style>
  <w:style w:styleId="Tekstbalonia" w:type="paragraph">
    <w:name w:val="Balloon Text"/>
    <w:basedOn w:val="Normal"/>
    <w:pPr>
      <w:spacing w:after="0"/>
    </w:pPr>
    <w:rPr>
      <w:rFonts w:cs="Segoe UI" w:hAnsi="Segoe UI" w:ascii="Segoe UI"/>
      <w:sz w:val="18"/>
      <w:szCs w:val="18"/>
    </w:rPr>
  </w:style>
  <w:style w:customStyle="true" w:styleId="TekstbaloniaChar" w:type="character">
    <w:name w:val="Tekst balončića Char"/>
    <w:basedOn w:val="Zadanifontodlomka"/>
    <w:rPr>
      <w:rFonts w:cs="Segoe UI" w:hAnsi="Segoe UI" w:ascii="Segoe UI"/>
      <w:sz w:val="18"/>
      <w:szCs w:val="18"/>
    </w:rPr>
  </w:style>
  <w:style w:styleId="Tekstrezerviranogmjesta" w:type="character">
    <w:name w:val="Placeholder Text"/>
    <w:basedOn w:val="Zadanifontodlomka"/>
    <w:uiPriority w:val="99"/>
    <w:semiHidden/>
    <w:rsid w:val="00271DF1"/>
    <w:rPr>
      <w:color w:val="808080"/>
      <w:bdr w:space="0" w:sz="0" w:color="auto" w:val="none"/>
      <w:shd w:fill="auto" w:color="auto" w:val="clear"/>
    </w:rPr>
  </w:style>
  <w:style w:customStyle="true" w:styleId="eSPISCCParagraphDefaultFont" w:type="character">
    <w:name w:val="eSPIS_CC_Paragraph Default Font"/>
    <w:basedOn w:val="Zadanifontodlomka"/>
    <w:rsid w:val="00271D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1DF1"/>
    <w:rPr>
      <w:rFonts w:cs="Arial" w:hAnsi="Arial" w:ascii="Arial"/>
      <w:bdr w:space="0" w:sz="0" w:color="auto" w:val="none"/>
      <w:shd w:fill="FFFFCC" w:color="auto" w:val="clear"/>
      <w:lang w:val="hr-HR"/>
    </w:rPr>
  </w:style>
  <w:style w:customStyle="true" w:styleId="PozadinaSvijetloCrvena" w:type="character">
    <w:name w:val="Pozadina_SvijetloCrvena"/>
    <w:basedOn w:val="eSPISCCParagraphDefaultFont"/>
    <w:rsid w:val="00271DF1"/>
    <w:rPr>
      <w:rFonts w:cs="Arial" w:hAnsi="Arial" w:ascii="Arial"/>
      <w:sz w:val="24"/>
      <w:bdr w:space="0" w:sz="0" w:color="auto" w:val="none"/>
      <w:shd w:fill="FFCCCC" w:color="auto" w:val="clear"/>
      <w:lang w:val="hr-HR"/>
    </w:rPr>
  </w:style>
  <w:style w:customStyle="true" w:styleId="PozadinaSvijetloZelena" w:type="character">
    <w:name w:val="Pozadina_SvijetloZelena"/>
    <w:basedOn w:val="eSPISCCParagraphDefaultFont"/>
    <w:rsid w:val="00271DF1"/>
    <w:rPr>
      <w:rFonts w:cs="Arial" w:hAnsi="Arial" w:ascii="Arial"/>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sz w:val="22"/>
        <w:szCs w:val="22"/>
        <w:lang w:bidi="ar-SA" w:eastAsia="en-US" w:val="hr-HR"/>
      </w:rPr>
    </w:rPrDefault>
    <w:pPrDefault>
      <w:pPr>
        <w:autoSpaceDN w:val="0"/>
        <w:spacing w:after="160" w:line="249" w:lineRule="auto"/>
        <w:textAlignment w:val="baseline"/>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pPr>
      <w:suppressAutoHyphens/>
      <w:spacing w:line="240" w:lineRule="auto"/>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pPr>
      <w:ind w:left="720"/>
    </w:pPr>
  </w:style>
  <w:style w:styleId="Zaglavlje" w:type="paragraph">
    <w:name w:val="header"/>
    <w:basedOn w:val="Normal"/>
    <w:pPr>
      <w:tabs>
        <w:tab w:pos="4536" w:val="center"/>
        <w:tab w:pos="9072" w:val="right"/>
      </w:tabs>
      <w:spacing w:after="0"/>
    </w:pPr>
  </w:style>
  <w:style w:customStyle="1" w:styleId="ZaglavljeChar" w:type="character">
    <w:name w:val="Zaglavlje Char"/>
    <w:basedOn w:val="Zadanifontodlomka"/>
  </w:style>
  <w:style w:styleId="Podnoje" w:type="paragraph">
    <w:name w:val="footer"/>
    <w:basedOn w:val="Normal"/>
    <w:pPr>
      <w:tabs>
        <w:tab w:pos="4536" w:val="center"/>
        <w:tab w:pos="9072" w:val="right"/>
      </w:tabs>
      <w:spacing w:after="0"/>
    </w:pPr>
  </w:style>
  <w:style w:customStyle="1" w:styleId="PodnojeChar" w:type="character">
    <w:name w:val="Podnožje Char"/>
    <w:basedOn w:val="Zadanifontodlomka"/>
  </w:style>
  <w:style w:styleId="Tekstbalonia" w:type="paragraph">
    <w:name w:val="Balloon Text"/>
    <w:basedOn w:val="Normal"/>
    <w:pPr>
      <w:spacing w:after="0"/>
    </w:pPr>
    <w:rPr>
      <w:rFonts w:ascii="Segoe UI" w:cs="Segoe UI" w:hAnsi="Segoe UI"/>
      <w:sz w:val="18"/>
      <w:szCs w:val="18"/>
    </w:rPr>
  </w:style>
  <w:style w:customStyle="1" w:styleId="TekstbaloniaChar" w:type="character">
    <w:name w:val="Tekst balončića Char"/>
    <w:basedOn w:val="Zadanifontodlomka"/>
    <w:rPr>
      <w:rFonts w:ascii="Segoe UI" w:cs="Segoe UI" w:hAnsi="Segoe UI"/>
      <w:sz w:val="18"/>
      <w:szCs w:val="18"/>
    </w:rPr>
  </w:style>
  <w:style w:styleId="Tekstrezerviranogmjesta" w:type="character">
    <w:name w:val="Placeholder Text"/>
    <w:basedOn w:val="Zadanifontodlomka"/>
    <w:uiPriority w:val="99"/>
    <w:semiHidden/>
    <w:rsid w:val="00271DF1"/>
    <w:rPr>
      <w:color w:val="808080"/>
      <w:bdr w:color="auto" w:space="0" w:sz="0" w:val="none"/>
      <w:shd w:color="auto" w:fill="auto" w:val="clear"/>
    </w:rPr>
  </w:style>
  <w:style w:customStyle="1" w:styleId="eSPISCCParagraphDefaultFont" w:type="character">
    <w:name w:val="eSPIS_CC_Paragraph Default Font"/>
    <w:basedOn w:val="Zadanifontodlomka"/>
    <w:rsid w:val="00271D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1DF1"/>
    <w:rPr>
      <w:rFonts w:ascii="Arial" w:cs="Arial" w:hAnsi="Arial"/>
      <w:bdr w:color="auto" w:space="0" w:sz="0" w:val="none"/>
      <w:shd w:color="auto" w:fill="FFFFCC" w:val="clear"/>
      <w:lang w:val="hr-HR"/>
    </w:rPr>
  </w:style>
  <w:style w:customStyle="1" w:styleId="PozadinaSvijetloCrvena" w:type="character">
    <w:name w:val="Pozadina_SvijetloCrvena"/>
    <w:basedOn w:val="eSPISCCParagraphDefaultFont"/>
    <w:rsid w:val="00271DF1"/>
    <w:rPr>
      <w:rFonts w:ascii="Arial" w:cs="Arial" w:hAnsi="Arial"/>
      <w:sz w:val="24"/>
      <w:bdr w:color="auto" w:space="0" w:sz="0" w:val="none"/>
      <w:shd w:color="auto" w:fill="FFCCCC" w:val="clear"/>
      <w:lang w:val="hr-HR"/>
    </w:rPr>
  </w:style>
  <w:style w:customStyle="1" w:styleId="PozadinaSvijetloZelena" w:type="character">
    <w:name w:val="Pozadina_SvijetloZelena"/>
    <w:basedOn w:val="eSPISCCParagraphDefaultFont"/>
    <w:rsid w:val="00271DF1"/>
    <w:rPr>
      <w:rFonts w:ascii="Arial" w:cs="Arial" w:hAnsi="Arial"/>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1069</properties:Words>
  <properties:Characters>6500</properties:Characters>
  <properties:Lines>244</properties:Lines>
  <properties:Paragraphs>143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2019-03-28T06:51:00Z</dcterms:created>
  <dc:creator>Ivica Boltužić</dc:creator>
  <cp:lastModifiedBy>Valentina Gabud</cp:lastModifiedBy>
  <cp:lastPrinted>2019-03-27T08:00:00Z</cp:lastPrinted>
  <dcterms:modified xmlns:xsi="http://www.w3.org/2001/XMLSchema-instance" xsi:type="dcterms:W3CDTF">2019-03-28T06:53:00Z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St-5775/2016-110 / Podnesak - Završni račun (AUTO KUĆA HOJAN-završni račun -.docx)</vt:lpwstr>
  </prop:property>
  <prop:property name="CC_coloring" pid="4" fmtid="{D5CDD505-2E9C-101B-9397-08002B2CF9AE}">
    <vt:bool>false</vt:bool>
  </prop:property>
  <prop:property name="BrojStranica" pid="5" fmtid="{D5CDD505-2E9C-101B-9397-08002B2CF9AE}">
    <vt:i4>4</vt:i4>
  </prop:property>
</prop:Properties>
</file>