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c2b12" w14:paraId="83c2b12" w:rsidRDefault="00626FD3" w:rsidR="00DC66BF">
      <w:pPr>
        <w:ind w:firstLine="708" w:left="2832"/>
        <w:jc w:val="both"/>
        <w15:collapsed w:val="false"/>
        <w:rPr>
          <w:rFonts w:hAnsi="Times New Roman" w:ascii="Times New Roman"/>
          <w:b/>
          <w:sz w:val="28"/>
        </w:rPr>
      </w:pPr>
      <w:bookmarkStart w:name="_GoBack" w:id="0"/>
      <w:bookmarkEnd w:id="0"/>
      <w:r>
        <w:rPr>
          <w:rFonts w:hAnsi="Times New Roman" w:ascii="Times New Roman"/>
          <w:b/>
          <w:sz w:val="28"/>
        </w:rPr>
        <w:t xml:space="preserve">Obrazac </w:t>
      </w:r>
      <w:proofErr w:type="spellStart"/>
      <w:r>
        <w:rPr>
          <w:rFonts w:hAnsi="Times New Roman" w:ascii="Times New Roman"/>
          <w:b/>
          <w:sz w:val="28"/>
        </w:rPr>
        <w:t>20</w:t>
      </w:r>
      <w:proofErr w:type="spellEnd"/>
      <w:r>
        <w:rPr>
          <w:rFonts w:hAnsi="Times New Roman" w:ascii="Times New Roman"/>
          <w:b/>
          <w:sz w:val="28"/>
        </w:rPr>
        <w:t>.</w:t>
      </w:r>
    </w:p>
    <w:p w:rsidRDefault="00626FD3" w:rsidR="00DC66BF">
      <w:pPr>
        <w:jc w:val="center"/>
      </w:pPr>
      <w:r>
        <w:rPr>
          <w:rFonts w:hAnsi="Times New Roman" w:ascii="Times New Roman"/>
          <w:b/>
          <w:sz w:val="24"/>
        </w:rPr>
        <w:t xml:space="preserve">IZVJEŠĆE </w:t>
      </w:r>
      <w:r>
        <w:rPr>
          <w:rFonts w:hAnsi="Times New Roman" w:ascii="Times New Roman"/>
          <w:b/>
          <w:sz w:val="24"/>
          <w:szCs w:val="24"/>
        </w:rPr>
        <w:t>STEČAJNOGA</w:t>
      </w:r>
      <w:r>
        <w:rPr>
          <w:rFonts w:hAnsi="Times New Roman" w:ascii="Times New Roman"/>
          <w:b/>
          <w:sz w:val="24"/>
        </w:rPr>
        <w:t xml:space="preserve"> UPRAVITELJA O TIJEKU </w:t>
      </w:r>
      <w:r>
        <w:rPr>
          <w:rFonts w:hAnsi="Times New Roman" w:ascii="Times New Roman"/>
          <w:b/>
          <w:sz w:val="24"/>
          <w:szCs w:val="24"/>
        </w:rPr>
        <w:t>STEČAJNOGA</w:t>
      </w:r>
      <w:r>
        <w:rPr>
          <w:rFonts w:hAnsi="Times New Roman" w:ascii="Times New Roman"/>
          <w:b/>
          <w:sz w:val="24"/>
        </w:rPr>
        <w:t xml:space="preserve"> POSTUPKA I STANJU STEČAJNE MASE</w:t>
      </w:r>
    </w:p>
    <w:p w:rsidRDefault="00DC66BF" w:rsidR="00DC66BF">
      <w:pPr>
        <w:jc w:val="both"/>
        <w:rPr>
          <w:rFonts w:hAnsi="Times New Roman" w:ascii="Times New Roman"/>
          <w:sz w:val="24"/>
        </w:rPr>
      </w:pPr>
    </w:p>
    <w:p w:rsidRDefault="00626FD3" w:rsidR="00DC66BF">
      <w:pPr>
        <w:jc w:val="both"/>
      </w:pPr>
      <w:r>
        <w:rPr>
          <w:rFonts w:hAnsi="Times New Roman" w:ascii="Times New Roman"/>
          <w:b/>
          <w:sz w:val="24"/>
          <w:szCs w:val="24"/>
          <w:lang w:val="pl-PL"/>
        </w:rPr>
        <w:t>Nadle</w:t>
      </w:r>
      <w:r>
        <w:rPr>
          <w:rFonts w:hAnsi="Times New Roman" w:ascii="Times New Roman"/>
          <w:b/>
          <w:sz w:val="24"/>
        </w:rPr>
        <w:t>ž</w:t>
      </w:r>
      <w:r>
        <w:rPr>
          <w:rFonts w:hAnsi="Times New Roman" w:ascii="Times New Roman"/>
          <w:b/>
          <w:sz w:val="24"/>
          <w:szCs w:val="24"/>
          <w:lang w:val="pl-PL"/>
        </w:rPr>
        <w:t>ni</w:t>
      </w:r>
      <w:r>
        <w:rPr>
          <w:rFonts w:hAnsi="Times New Roman" w:ascii="Times New Roman"/>
          <w:b/>
          <w:sz w:val="24"/>
        </w:rPr>
        <w:t xml:space="preserve"> </w:t>
      </w:r>
      <w:r>
        <w:rPr>
          <w:rFonts w:hAnsi="Times New Roman" w:ascii="Times New Roman"/>
          <w:b/>
          <w:sz w:val="24"/>
          <w:szCs w:val="24"/>
          <w:lang w:val="pl-PL"/>
        </w:rPr>
        <w:t>trgova</w:t>
      </w:r>
      <w:r>
        <w:rPr>
          <w:rFonts w:hAnsi="Times New Roman" w:ascii="Times New Roman"/>
          <w:b/>
          <w:sz w:val="24"/>
        </w:rPr>
        <w:t>č</w:t>
      </w:r>
      <w:r>
        <w:rPr>
          <w:rFonts w:hAnsi="Times New Roman" w:ascii="Times New Roman"/>
          <w:b/>
          <w:sz w:val="24"/>
          <w:szCs w:val="24"/>
          <w:lang w:val="pl-PL"/>
        </w:rPr>
        <w:t>ki</w:t>
      </w:r>
      <w:r>
        <w:rPr>
          <w:rFonts w:hAnsi="Times New Roman" w:ascii="Times New Roman"/>
          <w:b/>
          <w:sz w:val="24"/>
        </w:rPr>
        <w:t xml:space="preserve"> </w:t>
      </w:r>
      <w:r>
        <w:rPr>
          <w:rFonts w:hAnsi="Times New Roman" w:ascii="Times New Roman"/>
          <w:b/>
          <w:sz w:val="24"/>
          <w:szCs w:val="24"/>
          <w:lang w:val="pl-PL"/>
        </w:rPr>
        <w:t>sud</w:t>
      </w:r>
      <w:r>
        <w:rPr>
          <w:rFonts w:hAnsi="Times New Roman" w:ascii="Times New Roman"/>
          <w:b/>
          <w:sz w:val="24"/>
        </w:rPr>
        <w:t xml:space="preserve"> : Trgovački sud u Zagrebu</w:t>
      </w:r>
    </w:p>
    <w:p w:rsidRDefault="00626FD3" w:rsidR="00DC66BF">
      <w:pPr>
        <w:jc w:val="both"/>
        <w:rPr>
          <w:rFonts w:hAnsi="Times New Roman" w:ascii="Times New Roman"/>
          <w:b/>
          <w:sz w:val="24"/>
          <w:szCs w:val="24"/>
          <w:lang w:val="pl-PL"/>
        </w:rPr>
      </w:pPr>
      <w:r>
        <w:rPr>
          <w:rFonts w:hAnsi="Times New Roman" w:ascii="Times New Roman"/>
          <w:b/>
          <w:sz w:val="24"/>
          <w:szCs w:val="24"/>
          <w:lang w:val="pl-PL"/>
        </w:rPr>
        <w:t>Poslovni broj spisa : 47 St-216/15</w:t>
      </w:r>
    </w:p>
    <w:p w:rsidRDefault="00626FD3" w:rsidR="00DC66BF">
      <w:pPr>
        <w:jc w:val="both"/>
        <w:rPr>
          <w:rFonts w:hAnsi="Times New Roman" w:ascii="Times New Roman"/>
          <w:b/>
          <w:sz w:val="24"/>
          <w:szCs w:val="24"/>
          <w:lang w:val="pl-PL"/>
        </w:rPr>
      </w:pPr>
      <w:r>
        <w:rPr>
          <w:rFonts w:hAnsi="Times New Roman" w:ascii="Times New Roman"/>
          <w:b/>
          <w:sz w:val="24"/>
          <w:szCs w:val="24"/>
          <w:lang w:val="pl-PL"/>
        </w:rPr>
        <w:t>Dužnik (ime i prezime / tvrtka ili naziv, OIB, adresa / sjedište) :</w:t>
      </w:r>
    </w:p>
    <w:p w:rsidRDefault="00626FD3" w:rsidR="00DC66BF">
      <w:pPr>
        <w:jc w:val="both"/>
        <w:rPr>
          <w:rFonts w:hAnsi="Times New Roman" w:ascii="Times New Roman"/>
          <w:b/>
          <w:sz w:val="24"/>
          <w:szCs w:val="24"/>
          <w:lang w:val="pl-PL"/>
        </w:rPr>
      </w:pPr>
      <w:r>
        <w:rPr>
          <w:rFonts w:hAnsi="Times New Roman" w:ascii="Times New Roman"/>
          <w:b/>
          <w:sz w:val="24"/>
          <w:szCs w:val="24"/>
          <w:lang w:val="pl-PL"/>
        </w:rPr>
        <w:t xml:space="preserve">Auto centar Puljek d.o.o. za trgovinu i usluge u stečaju, OIB 41744834255, Zagreb, </w:t>
      </w:r>
    </w:p>
    <w:p w:rsidRDefault="00626FD3" w:rsidR="00DC66BF">
      <w:pPr>
        <w:jc w:val="both"/>
        <w:rPr>
          <w:rFonts w:hAnsi="Times New Roman" w:ascii="Times New Roman"/>
          <w:b/>
          <w:sz w:val="24"/>
          <w:szCs w:val="24"/>
          <w:lang w:val="pl-PL"/>
        </w:rPr>
      </w:pPr>
      <w:r>
        <w:rPr>
          <w:rFonts w:hAnsi="Times New Roman" w:ascii="Times New Roman"/>
          <w:b/>
          <w:sz w:val="24"/>
          <w:szCs w:val="24"/>
          <w:lang w:val="pl-PL"/>
        </w:rPr>
        <w:t>Nova cesta 36A</w:t>
      </w:r>
    </w:p>
    <w:p w:rsidRDefault="00DC66BF" w:rsidR="00DC66BF">
      <w:pPr>
        <w:jc w:val="both"/>
        <w:rPr>
          <w:rFonts w:hAnsi="Times New Roman" w:ascii="Times New Roman"/>
          <w:sz w:val="24"/>
          <w:szCs w:val="24"/>
          <w:lang w:val="pl-PL"/>
        </w:rPr>
      </w:pPr>
    </w:p>
    <w:p w:rsidRDefault="00626FD3" w:rsidR="00DC66BF">
      <w:pPr>
        <w:pStyle w:val="Odlomakpopisa"/>
        <w:numPr>
          <w:ilvl w:val="0"/>
          <w:numId w:val="1"/>
        </w:numPr>
        <w:jc w:val="center"/>
        <w:rPr>
          <w:rFonts w:hAnsi="Times New Roman" w:ascii="Times New Roman"/>
          <w:sz w:val="24"/>
          <w:szCs w:val="24"/>
          <w:lang w:val="pl-PL"/>
        </w:rPr>
      </w:pPr>
      <w:r>
        <w:rPr>
          <w:rFonts w:hAnsi="Times New Roman" w:ascii="Times New Roman"/>
          <w:sz w:val="24"/>
          <w:szCs w:val="24"/>
          <w:lang w:val="pl-PL"/>
        </w:rPr>
        <w:t>TIJEK STEČAJNOGA POSTUPKA U RAZDOBLJU OD  SIJEČNJA 2019. DO 15.05.2019.</w:t>
      </w:r>
    </w:p>
    <w:p w:rsidRDefault="00626FD3" w:rsidR="00DC66BF">
      <w:pPr>
        <w:pStyle w:val="Naslov1"/>
        <w:ind w:right="341" w:left="10"/>
        <w:jc w:val="both"/>
      </w:pPr>
      <w:r>
        <w:rPr>
          <w:rFonts w:cs="Tahoma" w:hAnsi="Tahoma" w:ascii="Tahoma"/>
          <w:sz w:val="22"/>
          <w:lang w:val="pl-PL"/>
        </w:rPr>
        <w:t xml:space="preserve">U proteklom periodu Trgovački sud u Zagrebu </w:t>
      </w:r>
      <w:r>
        <w:rPr>
          <w:rFonts w:cs="Tahoma" w:hAnsi="Tahoma" w:ascii="Tahoma"/>
          <w:lang w:val="pl-PL"/>
        </w:rPr>
        <w:t xml:space="preserve"> </w:t>
      </w:r>
      <w:r>
        <w:rPr>
          <w:rFonts w:cs="Tahoma" w:hAnsi="Tahoma" w:ascii="Tahoma"/>
          <w:sz w:val="22"/>
          <w:lang w:val="pl-PL"/>
        </w:rPr>
        <w:t>po sucu Mihaelu Kovačiću u pravnoj stvari tužitelja</w:t>
      </w:r>
      <w:r>
        <w:rPr>
          <w:rFonts w:cs="Tahoma" w:hAnsi="Tahoma" w:ascii="Tahoma"/>
          <w:lang w:val="pl-PL"/>
        </w:rPr>
        <w:t xml:space="preserve"> poslovni broj </w:t>
      </w:r>
      <w:r>
        <w:rPr>
          <w:b/>
        </w:rPr>
        <w:t>P-</w:t>
      </w:r>
      <w:proofErr w:type="spellStart"/>
      <w:r>
        <w:rPr>
          <w:b/>
        </w:rPr>
        <w:t>1902</w:t>
      </w:r>
      <w:proofErr w:type="spellEnd"/>
      <w:r>
        <w:rPr>
          <w:b/>
        </w:rPr>
        <w:t>/</w:t>
      </w:r>
      <w:proofErr w:type="spellStart"/>
      <w:r>
        <w:rPr>
          <w:b/>
        </w:rPr>
        <w:t>2017</w:t>
      </w:r>
      <w:proofErr w:type="spellEnd"/>
      <w:r>
        <w:rPr>
          <w:b/>
        </w:rPr>
        <w:t xml:space="preserve"> </w:t>
      </w:r>
      <w:r>
        <w:rPr>
          <w:rFonts w:cs="Tahoma" w:hAnsi="Tahoma" w:ascii="Tahoma"/>
          <w:b/>
          <w:sz w:val="22"/>
          <w:lang w:val="pl-PL"/>
        </w:rPr>
        <w:t xml:space="preserve"> </w:t>
      </w:r>
      <w:bookmarkStart w:name="_Hlk9832566" w:id="1"/>
      <w:r>
        <w:rPr>
          <w:rFonts w:cs="Tahoma" w:hAnsi="Tahoma" w:ascii="Tahoma"/>
          <w:sz w:val="22"/>
          <w:lang w:val="pl-PL"/>
        </w:rPr>
        <w:t>Auto centar Puljek d.o.o. u stečaju, Zagreb, Nova Cesta 36 A, OIB 41744834255</w:t>
      </w:r>
      <w:bookmarkEnd w:id="1"/>
      <w:r>
        <w:rPr>
          <w:rFonts w:cs="Tahoma" w:hAnsi="Tahoma" w:ascii="Tahoma"/>
          <w:sz w:val="22"/>
          <w:lang w:val="pl-PL"/>
        </w:rPr>
        <w:t xml:space="preserve">, kojeg zastupa Nikola Remenar odvjetnik u Odvjetničkom društvu Remenar&amp;Remenar iz Zagreba protiv tuženika KGM Građenje d.o.o., Zagreb, Karažnik 3, OIB 57848781160 kojeg zastupa punomoćnik Ivo Farčić, odvjetnik u Odvjetničkom društvu Farčić&amp;Šarušić iz Zagreba radi isplate 03. travnja 2019. godine presudio je da se </w:t>
      </w:r>
      <w:r>
        <w:rPr>
          <w:rFonts w:cs="Tahoma" w:hAnsi="Tahoma" w:ascii="Tahoma"/>
          <w:b/>
          <w:sz w:val="22"/>
          <w:lang w:val="pl-PL"/>
        </w:rPr>
        <w:t>n</w:t>
      </w:r>
      <w:proofErr w:type="spellStart"/>
      <w:r>
        <w:rPr>
          <w:rFonts w:cs="Tahoma" w:hAnsi="Tahoma" w:ascii="Tahoma"/>
          <w:b/>
          <w:sz w:val="22"/>
        </w:rPr>
        <w:t>alaže</w:t>
      </w:r>
      <w:proofErr w:type="spellEnd"/>
      <w:r>
        <w:rPr>
          <w:rFonts w:cs="Tahoma" w:hAnsi="Tahoma" w:ascii="Tahoma"/>
          <w:b/>
          <w:sz w:val="22"/>
        </w:rPr>
        <w:t xml:space="preserve">  tuženiku </w:t>
      </w:r>
      <w:proofErr w:type="spellStart"/>
      <w:r>
        <w:rPr>
          <w:rFonts w:cs="Tahoma" w:hAnsi="Tahoma" w:ascii="Tahoma"/>
          <w:b/>
          <w:sz w:val="22"/>
        </w:rPr>
        <w:t>KGM</w:t>
      </w:r>
      <w:proofErr w:type="spellEnd"/>
      <w:r>
        <w:rPr>
          <w:rFonts w:cs="Tahoma" w:hAnsi="Tahoma" w:ascii="Tahoma"/>
          <w:b/>
          <w:sz w:val="22"/>
        </w:rPr>
        <w:t xml:space="preserve"> GRAĐENJE d.o.o. da tužitelju AUTO</w:t>
      </w:r>
      <w:r>
        <w:rPr>
          <w:rFonts w:cs="Tahoma" w:hAnsi="Tahoma" w:ascii="Tahoma"/>
          <w:b/>
        </w:rPr>
        <w:t xml:space="preserve"> CENTAR </w:t>
      </w:r>
      <w:proofErr w:type="spellStart"/>
      <w:r>
        <w:rPr>
          <w:rFonts w:cs="Tahoma" w:hAnsi="Tahoma" w:ascii="Tahoma"/>
          <w:b/>
        </w:rPr>
        <w:t>PULJEK</w:t>
      </w:r>
      <w:proofErr w:type="spellEnd"/>
      <w:r>
        <w:rPr>
          <w:rFonts w:cs="Tahoma" w:hAnsi="Tahoma" w:ascii="Tahoma"/>
          <w:b/>
        </w:rPr>
        <w:t xml:space="preserve"> d.o.o. u stečaju isplati iznos od </w:t>
      </w:r>
      <w:proofErr w:type="spellStart"/>
      <w:r>
        <w:rPr>
          <w:rFonts w:cs="Tahoma" w:hAnsi="Tahoma" w:ascii="Tahoma"/>
          <w:b/>
        </w:rPr>
        <w:t>70.391</w:t>
      </w:r>
      <w:proofErr w:type="spellEnd"/>
      <w:r>
        <w:rPr>
          <w:rFonts w:cs="Tahoma" w:hAnsi="Tahoma" w:ascii="Tahoma"/>
          <w:b/>
        </w:rPr>
        <w:t>,</w:t>
      </w:r>
      <w:proofErr w:type="spellStart"/>
      <w:r>
        <w:rPr>
          <w:rFonts w:cs="Tahoma" w:hAnsi="Tahoma" w:ascii="Tahoma"/>
          <w:b/>
        </w:rPr>
        <w:t>03</w:t>
      </w:r>
      <w:proofErr w:type="spellEnd"/>
      <w:r>
        <w:rPr>
          <w:rFonts w:cs="Tahoma" w:hAnsi="Tahoma" w:ascii="Tahoma"/>
          <w:b/>
        </w:rPr>
        <w:t xml:space="preserve"> EUR u kunskoj protuvrijednosti prema srednjem tečaju Hrvatske narodne banke</w:t>
      </w:r>
      <w:r>
        <w:rPr>
          <w:rFonts w:cs="Tahoma" w:hAnsi="Tahoma" w:ascii="Tahoma"/>
        </w:rPr>
        <w:t xml:space="preserve"> sa zakonskim zateznim kamatama tekućim od </w:t>
      </w:r>
      <w:proofErr w:type="spellStart"/>
      <w:r>
        <w:rPr>
          <w:rFonts w:cs="Tahoma" w:hAnsi="Tahoma" w:ascii="Tahoma"/>
        </w:rPr>
        <w:t>20</w:t>
      </w:r>
      <w:proofErr w:type="spellEnd"/>
      <w:r>
        <w:rPr>
          <w:rFonts w:cs="Tahoma" w:hAnsi="Tahoma" w:ascii="Tahoma"/>
        </w:rPr>
        <w:t xml:space="preserve">. travnja </w:t>
      </w:r>
      <w:proofErr w:type="spellStart"/>
      <w:r>
        <w:rPr>
          <w:rFonts w:cs="Tahoma" w:hAnsi="Tahoma" w:ascii="Tahoma"/>
        </w:rPr>
        <w:t>2013</w:t>
      </w:r>
      <w:proofErr w:type="spellEnd"/>
      <w:r>
        <w:rPr>
          <w:rFonts w:cs="Tahoma" w:hAnsi="Tahoma" w:ascii="Tahoma"/>
        </w:rPr>
        <w:t xml:space="preserve">. do </w:t>
      </w:r>
      <w:proofErr w:type="spellStart"/>
      <w:r>
        <w:rPr>
          <w:rFonts w:cs="Tahoma" w:hAnsi="Tahoma" w:ascii="Tahoma"/>
        </w:rPr>
        <w:t>29</w:t>
      </w:r>
      <w:proofErr w:type="spellEnd"/>
      <w:r>
        <w:rPr>
          <w:rFonts w:cs="Tahoma" w:hAnsi="Tahoma" w:ascii="Tahoma"/>
        </w:rPr>
        <w:t xml:space="preserve">. lipnja </w:t>
      </w:r>
      <w:proofErr w:type="spellStart"/>
      <w:r>
        <w:rPr>
          <w:rFonts w:cs="Tahoma" w:hAnsi="Tahoma" w:ascii="Tahoma"/>
        </w:rPr>
        <w:t>2013</w:t>
      </w:r>
      <w:proofErr w:type="spellEnd"/>
      <w:r>
        <w:rPr>
          <w:rFonts w:cs="Tahoma" w:hAnsi="Tahoma" w:ascii="Tahoma"/>
        </w:rPr>
        <w:t>. po stopi koja se određuje za svako polugodište uvećanjem eskontne stope Hrvatske narodne banke koja je vrijedila zadnjeg dana polugodišta koje je pre</w:t>
      </w:r>
      <w:r>
        <w:rPr>
          <w:rFonts w:cs="Tahoma" w:hAnsi="Tahoma" w:ascii="Tahoma"/>
        </w:rPr>
        <w:t>t</w:t>
      </w:r>
      <w:r>
        <w:rPr>
          <w:rFonts w:cs="Tahoma" w:hAnsi="Tahoma" w:ascii="Tahoma"/>
        </w:rPr>
        <w:t xml:space="preserve">hodilo tekućem polugodištu za osam postotnih poena, od </w:t>
      </w:r>
      <w:proofErr w:type="spellStart"/>
      <w:r>
        <w:rPr>
          <w:rFonts w:cs="Tahoma" w:hAnsi="Tahoma" w:ascii="Tahoma"/>
        </w:rPr>
        <w:t>30</w:t>
      </w:r>
      <w:proofErr w:type="spellEnd"/>
      <w:r>
        <w:rPr>
          <w:rFonts w:cs="Tahoma" w:hAnsi="Tahoma" w:ascii="Tahoma"/>
        </w:rPr>
        <w:t xml:space="preserve">. lipnja </w:t>
      </w:r>
      <w:proofErr w:type="spellStart"/>
      <w:r>
        <w:rPr>
          <w:rFonts w:cs="Tahoma" w:hAnsi="Tahoma" w:ascii="Tahoma"/>
        </w:rPr>
        <w:t>2013</w:t>
      </w:r>
      <w:proofErr w:type="spellEnd"/>
      <w:r>
        <w:rPr>
          <w:rFonts w:cs="Tahoma" w:hAnsi="Tahoma" w:ascii="Tahoma"/>
        </w:rPr>
        <w:t xml:space="preserve">. do </w:t>
      </w:r>
      <w:proofErr w:type="spellStart"/>
      <w:r>
        <w:rPr>
          <w:rFonts w:cs="Tahoma" w:hAnsi="Tahoma" w:ascii="Tahoma"/>
        </w:rPr>
        <w:t>31</w:t>
      </w:r>
      <w:proofErr w:type="spellEnd"/>
      <w:r>
        <w:rPr>
          <w:rFonts w:cs="Tahoma" w:hAnsi="Tahoma" w:ascii="Tahoma"/>
        </w:rPr>
        <w:t xml:space="preserve">. srpnja </w:t>
      </w:r>
      <w:proofErr w:type="spellStart"/>
      <w:r>
        <w:rPr>
          <w:rFonts w:cs="Tahoma" w:hAnsi="Tahoma" w:ascii="Tahoma"/>
        </w:rPr>
        <w:t>2015</w:t>
      </w:r>
      <w:proofErr w:type="spellEnd"/>
      <w:r>
        <w:rPr>
          <w:rFonts w:cs="Tahoma" w:hAnsi="Tahoma" w:ascii="Tahoma"/>
        </w:rPr>
        <w:t xml:space="preserve">. po stopi koja se određuje uvećanjem referentne stope Hrvatske narodne banke koja je vrijedila zadnjeg dana polugodišta koje je prethodilo tekućem polugodištu za osam postotnih poena a od </w:t>
      </w:r>
      <w:proofErr w:type="spellStart"/>
      <w:r>
        <w:rPr>
          <w:rFonts w:cs="Tahoma" w:hAnsi="Tahoma" w:ascii="Tahoma"/>
        </w:rPr>
        <w:t>01</w:t>
      </w:r>
      <w:proofErr w:type="spellEnd"/>
      <w:r>
        <w:rPr>
          <w:rFonts w:cs="Tahoma" w:hAnsi="Tahoma" w:ascii="Tahoma"/>
        </w:rPr>
        <w:t xml:space="preserve">. kolovoza </w:t>
      </w:r>
      <w:proofErr w:type="spellStart"/>
      <w:r>
        <w:rPr>
          <w:rFonts w:cs="Tahoma" w:hAnsi="Tahoma" w:ascii="Tahoma"/>
        </w:rPr>
        <w:t>2015</w:t>
      </w:r>
      <w:proofErr w:type="spellEnd"/>
      <w:r>
        <w:rPr>
          <w:rFonts w:cs="Tahoma" w:hAnsi="Tahoma" w:ascii="Tahoma"/>
        </w:rPr>
        <w:t xml:space="preserve">. pa do isplate po stopi koja se određuje za svako polugodište uvećanjem prosječne kamatne stope na stanja kredita odobrenih na razdoblje dulje od godine dana nefinancijskim trgovačkim društvima izračunate za referentno razdoblje koje prethodi tekućem polugodištu za pet postotnih poena. </w:t>
      </w:r>
    </w:p>
    <w:p w:rsidRDefault="00626FD3" w:rsidR="00DC66BF">
      <w:pPr>
        <w:spacing w:lineRule="auto" w:line="254" w:after="11"/>
        <w:ind w:left="708"/>
        <w:jc w:val="both"/>
        <w:rPr>
          <w:rFonts w:cs="Tahoma" w:hAnsi="Tahoma" w:ascii="Tahoma"/>
        </w:rPr>
      </w:pPr>
      <w:r>
        <w:rPr>
          <w:rFonts w:cs="Tahoma" w:hAnsi="Tahoma" w:ascii="Tahoma"/>
        </w:rPr>
        <w:t xml:space="preserve"> </w:t>
      </w:r>
    </w:p>
    <w:p w:rsidRDefault="00626FD3" w:rsidR="00DC66BF">
      <w:pPr>
        <w:jc w:val="both"/>
        <w:rPr>
          <w:rFonts w:cs="Tahoma" w:hAnsi="Tahoma" w:ascii="Tahoma"/>
        </w:rPr>
      </w:pPr>
      <w:r>
        <w:rPr>
          <w:rFonts w:cs="Tahoma" w:hAnsi="Tahoma" w:ascii="Tahoma"/>
        </w:rPr>
        <w:t xml:space="preserve">Nalaže se tuženiku da tužitelju naknadi trošak ovog postupka u iznosu od </w:t>
      </w:r>
      <w:proofErr w:type="spellStart"/>
      <w:r>
        <w:rPr>
          <w:rFonts w:cs="Tahoma" w:hAnsi="Tahoma" w:ascii="Tahoma"/>
        </w:rPr>
        <w:t>43.000</w:t>
      </w:r>
      <w:proofErr w:type="spellEnd"/>
      <w:r>
        <w:rPr>
          <w:rFonts w:cs="Tahoma" w:hAnsi="Tahoma" w:ascii="Tahoma"/>
        </w:rPr>
        <w:t>,</w:t>
      </w:r>
      <w:proofErr w:type="spellStart"/>
      <w:r>
        <w:rPr>
          <w:rFonts w:cs="Tahoma" w:hAnsi="Tahoma" w:ascii="Tahoma"/>
        </w:rPr>
        <w:t>00</w:t>
      </w:r>
      <w:proofErr w:type="spellEnd"/>
      <w:r>
        <w:rPr>
          <w:rFonts w:cs="Tahoma" w:hAnsi="Tahoma" w:ascii="Tahoma"/>
        </w:rPr>
        <w:t xml:space="preserve"> kuna sa zakonskim zateznim tekućim od dana donošenja presude do isplate po stopi koja se određuje za svako polugodište uvećanjem prosječne kamatne stope na stanja kredita odobrenih na razdoblje dulje od godine dana nefinancijskim trgovačkim društvima izračunate za referentno razdoblje koje prethodi tekućem polugodištu za pet postotnih poena.</w:t>
      </w:r>
    </w:p>
    <w:p w:rsidRDefault="00DC66BF" w:rsidR="00DC66BF">
      <w:pPr>
        <w:jc w:val="both"/>
        <w:rPr>
          <w:rFonts w:cs="Tahoma" w:hAnsi="Tahoma" w:ascii="Tahoma"/>
        </w:rPr>
      </w:pPr>
    </w:p>
    <w:p w:rsidRDefault="00626FD3" w:rsidR="00DC66BF">
      <w:pPr>
        <w:jc w:val="both"/>
        <w:rPr>
          <w:rFonts w:cs="Tahoma" w:hAnsi="Tahoma" w:ascii="Tahoma"/>
        </w:rPr>
      </w:pPr>
      <w:r>
        <w:rPr>
          <w:rFonts w:cs="Tahoma" w:hAnsi="Tahoma" w:ascii="Tahoma"/>
        </w:rPr>
        <w:t>Na navedenu presudu tuženik je uložio žalbu.</w:t>
      </w:r>
    </w:p>
    <w:p w:rsidRDefault="00DC66BF" w:rsidR="00DC66BF">
      <w:pPr>
        <w:jc w:val="both"/>
        <w:rPr>
          <w:rFonts w:cs="Tahoma" w:hAnsi="Tahoma" w:ascii="Tahoma"/>
        </w:rPr>
      </w:pPr>
    </w:p>
    <w:p w:rsidRDefault="00626FD3" w:rsidR="00DC66BF">
      <w:pPr>
        <w:jc w:val="both"/>
        <w:rPr>
          <w:rFonts w:cs="Tahoma" w:hAnsi="Tahoma" w:ascii="Tahoma"/>
        </w:rPr>
      </w:pPr>
      <w:r>
        <w:rPr>
          <w:rFonts w:cs="Tahoma" w:hAnsi="Tahoma" w:ascii="Tahoma"/>
        </w:rPr>
        <w:t xml:space="preserve">Trgovački sud u Zagrebu odredio je Auto centru </w:t>
      </w:r>
      <w:proofErr w:type="spellStart"/>
      <w:r>
        <w:rPr>
          <w:rFonts w:cs="Tahoma" w:hAnsi="Tahoma" w:ascii="Tahoma"/>
        </w:rPr>
        <w:t>Puljek</w:t>
      </w:r>
      <w:proofErr w:type="spellEnd"/>
      <w:r>
        <w:rPr>
          <w:rFonts w:cs="Tahoma" w:hAnsi="Tahoma" w:ascii="Tahoma"/>
        </w:rPr>
        <w:t xml:space="preserve"> d.o.o. u stečaju  da plati sudsku pristojbu za presudu i to u iznosu od </w:t>
      </w:r>
      <w:proofErr w:type="spellStart"/>
      <w:r>
        <w:rPr>
          <w:rFonts w:cs="Tahoma" w:hAnsi="Tahoma" w:ascii="Tahoma"/>
        </w:rPr>
        <w:t>5.000</w:t>
      </w:r>
      <w:proofErr w:type="spellEnd"/>
      <w:r>
        <w:rPr>
          <w:rFonts w:cs="Tahoma" w:hAnsi="Tahoma" w:ascii="Tahoma"/>
        </w:rPr>
        <w:t>,</w:t>
      </w:r>
      <w:proofErr w:type="spellStart"/>
      <w:r>
        <w:rPr>
          <w:rFonts w:cs="Tahoma" w:hAnsi="Tahoma" w:ascii="Tahoma"/>
        </w:rPr>
        <w:t>00</w:t>
      </w:r>
      <w:proofErr w:type="spellEnd"/>
      <w:r>
        <w:rPr>
          <w:rFonts w:cs="Tahoma" w:hAnsi="Tahoma" w:ascii="Tahoma"/>
        </w:rPr>
        <w:t xml:space="preserve"> kuna.</w:t>
      </w:r>
    </w:p>
    <w:p w:rsidRDefault="00DC66BF" w:rsidR="00DC66BF">
      <w:pPr>
        <w:jc w:val="both"/>
        <w:rPr>
          <w:rFonts w:cs="Tahoma" w:hAnsi="Tahoma" w:ascii="Tahoma"/>
        </w:rPr>
      </w:pPr>
    </w:p>
    <w:p w:rsidRDefault="00626FD3" w:rsidR="00DC66BF">
      <w:pPr>
        <w:jc w:val="both"/>
        <w:rPr>
          <w:rFonts w:cs="Tahoma" w:hAnsi="Tahoma" w:ascii="Tahoma"/>
        </w:rPr>
      </w:pPr>
      <w:r>
        <w:rPr>
          <w:rFonts w:cs="Tahoma" w:hAnsi="Tahoma" w:ascii="Tahoma"/>
        </w:rPr>
        <w:lastRenderedPageBreak/>
        <w:t xml:space="preserve">Dana 11.03.2019. godine Financijska agencija je podnijela prijedlog Trgovačkom sudu u Zagrebu  za otvaranje stečajnog postupka nad </w:t>
      </w:r>
      <w:proofErr w:type="spellStart"/>
      <w:r>
        <w:rPr>
          <w:rFonts w:cs="Tahoma" w:hAnsi="Tahoma" w:ascii="Tahoma"/>
        </w:rPr>
        <w:t>KGM</w:t>
      </w:r>
      <w:proofErr w:type="spellEnd"/>
      <w:r>
        <w:rPr>
          <w:rFonts w:cs="Tahoma" w:hAnsi="Tahoma" w:ascii="Tahoma"/>
        </w:rPr>
        <w:t xml:space="preserve"> Građenje d.o.o., Zagreb.</w:t>
      </w:r>
    </w:p>
    <w:p w:rsidRDefault="00626FD3" w:rsidR="00DC66BF">
      <w:pPr>
        <w:jc w:val="both"/>
        <w:rPr>
          <w:rFonts w:cs="Tahoma" w:hAnsi="Tahoma" w:ascii="Tahoma"/>
        </w:rPr>
      </w:pPr>
      <w:r>
        <w:rPr>
          <w:rFonts w:cs="Tahoma" w:hAnsi="Tahoma" w:ascii="Tahoma"/>
        </w:rPr>
        <w:t>Odvjetničko društvo Remenar&amp;Remenar ne želi više zastupati tužitelja iz razloga što neće imati mogućnosti namirenja troškova i nagrade jer će nad tuženikom najvjerojatnije biti otvoren stečajni postupak te su skoro nikakvi izgledi da se iz stečajne mase podmiri trošak odvjetnika a kamoli naplati dosuđeni iznos jer je imovina tuženika opterećena založnim pravima.</w:t>
      </w:r>
    </w:p>
    <w:p w:rsidRDefault="00626FD3" w:rsidR="00DC66BF">
      <w:pPr>
        <w:jc w:val="both"/>
        <w:rPr>
          <w:rFonts w:hAnsi="Times New Roman" w:ascii="Times New Roman"/>
          <w:sz w:val="24"/>
          <w:szCs w:val="24"/>
          <w:lang w:val="pl-PL"/>
        </w:rPr>
      </w:pPr>
      <w:r>
        <w:rPr>
          <w:rFonts w:hAnsi="Times New Roman" w:ascii="Times New Roman"/>
          <w:sz w:val="24"/>
          <w:szCs w:val="24"/>
          <w:lang w:val="pl-PL"/>
        </w:rPr>
        <w:t>II. STANJE STEČAJNE MASE</w:t>
      </w:r>
    </w:p>
    <w:p w:rsidRDefault="00626FD3" w:rsidR="00DC66BF">
      <w:pPr>
        <w:numPr>
          <w:ilvl w:val="0"/>
          <w:numId w:val="2"/>
        </w:numPr>
        <w:jc w:val="both"/>
        <w:rPr>
          <w:rFonts w:hAnsi="Times New Roman" w:ascii="Times New Roman"/>
          <w:sz w:val="24"/>
          <w:szCs w:val="24"/>
          <w:lang w:val="pl-PL"/>
        </w:rPr>
      </w:pPr>
      <w:r>
        <w:rPr>
          <w:rFonts w:hAnsi="Times New Roman" w:ascii="Times New Roman"/>
          <w:sz w:val="24"/>
          <w:szCs w:val="24"/>
          <w:lang w:val="pl-PL"/>
        </w:rPr>
        <w:t xml:space="preserve">dati sustavan pregled predmeta stečajne mase s početka razdoblja izvješća prema članku </w:t>
      </w:r>
    </w:p>
    <w:p w:rsidRDefault="00626FD3" w:rsidR="00DC66BF">
      <w:pPr>
        <w:ind w:left="720"/>
        <w:jc w:val="both"/>
        <w:rPr>
          <w:rFonts w:hAnsi="Times New Roman" w:ascii="Times New Roman"/>
          <w:sz w:val="24"/>
          <w:szCs w:val="24"/>
          <w:lang w:val="pl-PL"/>
        </w:rPr>
      </w:pPr>
      <w:r>
        <w:rPr>
          <w:rFonts w:hAnsi="Times New Roman" w:ascii="Times New Roman"/>
          <w:sz w:val="24"/>
          <w:szCs w:val="24"/>
          <w:lang w:val="pl-PL"/>
        </w:rPr>
        <w:t>223. Stečajnog zakona</w:t>
      </w:r>
    </w:p>
    <w:p w:rsidRDefault="00626FD3" w:rsidR="00DC66BF">
      <w:pPr>
        <w:ind w:left="720"/>
        <w:jc w:val="both"/>
        <w:rPr>
          <w:rFonts w:hAnsi="Times New Roman" w:ascii="Times New Roman"/>
          <w:sz w:val="24"/>
          <w:szCs w:val="24"/>
          <w:lang w:val="pl-PL"/>
        </w:rPr>
      </w:pPr>
      <w:r>
        <w:rPr>
          <w:rFonts w:hAnsi="Times New Roman" w:ascii="Times New Roman"/>
          <w:sz w:val="24"/>
          <w:szCs w:val="24"/>
          <w:lang w:val="pl-PL"/>
        </w:rPr>
        <w:t>Stanje računa: 0,00 kuna</w:t>
      </w:r>
    </w:p>
    <w:p w:rsidRDefault="00626FD3" w:rsidR="00DC66BF">
      <w:pPr>
        <w:ind w:firstLine="2" w:left="708"/>
        <w:jc w:val="both"/>
      </w:pPr>
      <w:proofErr w:type="spellStart"/>
      <w:r>
        <w:rPr>
          <w:rFonts w:cs="Tahoma" w:hAnsi="Tahoma" w:ascii="Tahoma"/>
        </w:rPr>
        <w:t>70.391</w:t>
      </w:r>
      <w:proofErr w:type="spellEnd"/>
      <w:r>
        <w:rPr>
          <w:rFonts w:cs="Tahoma" w:hAnsi="Tahoma" w:ascii="Tahoma"/>
        </w:rPr>
        <w:t>,</w:t>
      </w:r>
      <w:proofErr w:type="spellStart"/>
      <w:r>
        <w:rPr>
          <w:rFonts w:cs="Tahoma" w:hAnsi="Tahoma" w:ascii="Tahoma"/>
        </w:rPr>
        <w:t>03</w:t>
      </w:r>
      <w:proofErr w:type="spellEnd"/>
      <w:r>
        <w:rPr>
          <w:rFonts w:cs="Tahoma" w:hAnsi="Tahoma" w:ascii="Tahoma"/>
        </w:rPr>
        <w:t xml:space="preserve"> EUR u kunskoj protuvrijednosti prema presudi Trgovačkog suda u Zagrebu poslovni broj </w:t>
      </w:r>
      <w:r>
        <w:rPr>
          <w:sz w:val="24"/>
          <w:szCs w:val="24"/>
        </w:rPr>
        <w:t>P-</w:t>
      </w:r>
      <w:proofErr w:type="spellStart"/>
      <w:r>
        <w:rPr>
          <w:sz w:val="24"/>
          <w:szCs w:val="24"/>
        </w:rPr>
        <w:t>1902</w:t>
      </w:r>
      <w:proofErr w:type="spellEnd"/>
      <w:r>
        <w:rPr>
          <w:sz w:val="24"/>
          <w:szCs w:val="24"/>
        </w:rPr>
        <w:t>/</w:t>
      </w:r>
      <w:proofErr w:type="spellStart"/>
      <w:r>
        <w:rPr>
          <w:sz w:val="24"/>
          <w:szCs w:val="24"/>
        </w:rPr>
        <w:t>2017</w:t>
      </w:r>
      <w:proofErr w:type="spellEnd"/>
      <w:r>
        <w:rPr>
          <w:b/>
        </w:rPr>
        <w:t xml:space="preserve"> </w:t>
      </w:r>
      <w:r>
        <w:rPr>
          <w:rFonts w:cs="Tahoma" w:hAnsi="Tahoma" w:ascii="Tahoma"/>
          <w:b/>
          <w:lang w:val="pl-PL"/>
        </w:rPr>
        <w:t xml:space="preserve"> </w:t>
      </w:r>
    </w:p>
    <w:p w:rsidRDefault="00626FD3" w:rsidR="00DC66BF">
      <w:pPr>
        <w:numPr>
          <w:ilvl w:val="0"/>
          <w:numId w:val="2"/>
        </w:numPr>
        <w:jc w:val="both"/>
        <w:rPr>
          <w:rFonts w:hAnsi="Times New Roman" w:ascii="Times New Roman"/>
          <w:sz w:val="24"/>
          <w:szCs w:val="24"/>
          <w:lang w:val="pl-PL"/>
        </w:rPr>
      </w:pPr>
      <w:r>
        <w:rPr>
          <w:rFonts w:hAnsi="Times New Roman" w:ascii="Times New Roman"/>
          <w:sz w:val="24"/>
          <w:szCs w:val="24"/>
          <w:lang w:val="pl-PL"/>
        </w:rPr>
        <w:t>dati podatak koji su predmeti stečajne mase unovčeni i u kojem iznosu</w:t>
      </w:r>
    </w:p>
    <w:p w:rsidRDefault="00626FD3" w:rsidR="00DC66BF">
      <w:pPr>
        <w:ind w:left="720"/>
        <w:jc w:val="both"/>
        <w:rPr>
          <w:rFonts w:hAnsi="Times New Roman" w:ascii="Times New Roman"/>
          <w:sz w:val="24"/>
          <w:szCs w:val="24"/>
          <w:lang w:val="pl-PL"/>
        </w:rPr>
      </w:pPr>
      <w:r>
        <w:rPr>
          <w:rFonts w:hAnsi="Times New Roman" w:ascii="Times New Roman"/>
          <w:sz w:val="24"/>
          <w:szCs w:val="24"/>
          <w:lang w:val="pl-PL"/>
        </w:rPr>
        <w:t>nije bilo unovćenja</w:t>
      </w:r>
    </w:p>
    <w:p w:rsidRDefault="00626FD3" w:rsidR="00DC66BF">
      <w:pPr>
        <w:numPr>
          <w:ilvl w:val="0"/>
          <w:numId w:val="2"/>
        </w:numPr>
        <w:jc w:val="both"/>
        <w:rPr>
          <w:rFonts w:hAnsi="Times New Roman" w:ascii="Times New Roman"/>
          <w:sz w:val="24"/>
          <w:szCs w:val="24"/>
          <w:lang w:val="pl-PL"/>
        </w:rPr>
      </w:pPr>
      <w:r>
        <w:rPr>
          <w:rFonts w:hAnsi="Times New Roman" w:ascii="Times New Roman"/>
          <w:sz w:val="24"/>
          <w:szCs w:val="24"/>
          <w:lang w:val="pl-PL"/>
        </w:rPr>
        <w:t>dati podatak koji predmeti stečajne mase nisu unovčeni i zbog kojeg razloga</w:t>
      </w:r>
    </w:p>
    <w:p w:rsidRDefault="00626FD3" w:rsidR="00DC66BF">
      <w:pPr>
        <w:ind w:left="720"/>
        <w:jc w:val="both"/>
        <w:rPr>
          <w:rFonts w:hAnsi="Times New Roman" w:ascii="Times New Roman"/>
          <w:sz w:val="24"/>
          <w:szCs w:val="24"/>
          <w:lang w:val="pl-PL"/>
        </w:rPr>
      </w:pPr>
      <w:r>
        <w:rPr>
          <w:rFonts w:hAnsi="Times New Roman" w:ascii="Times New Roman"/>
          <w:sz w:val="24"/>
          <w:szCs w:val="24"/>
          <w:lang w:val="pl-PL"/>
        </w:rPr>
        <w:t>vodi se parnični spor</w:t>
      </w:r>
    </w:p>
    <w:p w:rsidRDefault="00626FD3" w:rsidR="00DC66BF">
      <w:pPr>
        <w:numPr>
          <w:ilvl w:val="0"/>
          <w:numId w:val="2"/>
        </w:numPr>
        <w:jc w:val="both"/>
        <w:rPr>
          <w:rFonts w:hAnsi="Times New Roman" w:ascii="Times New Roman"/>
          <w:sz w:val="24"/>
          <w:szCs w:val="24"/>
          <w:lang w:val="pl-PL"/>
        </w:rPr>
      </w:pPr>
      <w:r>
        <w:rPr>
          <w:rFonts w:hAnsi="Times New Roman" w:ascii="Times New Roman"/>
          <w:sz w:val="24"/>
          <w:szCs w:val="24"/>
          <w:lang w:val="pl-PL"/>
        </w:rPr>
        <w:t xml:space="preserve">dati podatak o tome kako je ostvareno razlučno pravo, ako ono postoji </w:t>
      </w:r>
    </w:p>
    <w:p w:rsidRDefault="00626FD3" w:rsidR="00DC66BF">
      <w:pPr>
        <w:ind w:left="720"/>
        <w:jc w:val="both"/>
        <w:rPr>
          <w:rFonts w:hAnsi="Times New Roman" w:ascii="Times New Roman"/>
          <w:sz w:val="24"/>
          <w:szCs w:val="24"/>
          <w:lang w:val="pl-PL"/>
        </w:rPr>
      </w:pPr>
      <w:r>
        <w:rPr>
          <w:rFonts w:hAnsi="Times New Roman" w:ascii="Times New Roman"/>
          <w:sz w:val="24"/>
          <w:szCs w:val="24"/>
          <w:lang w:val="pl-PL"/>
        </w:rPr>
        <w:t>ne postoji razlučno pravo</w:t>
      </w:r>
    </w:p>
    <w:p w:rsidRDefault="00626FD3" w:rsidR="00DC66BF">
      <w:pPr>
        <w:numPr>
          <w:ilvl w:val="0"/>
          <w:numId w:val="2"/>
        </w:numPr>
        <w:jc w:val="both"/>
        <w:rPr>
          <w:rFonts w:hAnsi="Times New Roman" w:ascii="Times New Roman"/>
          <w:sz w:val="24"/>
          <w:szCs w:val="24"/>
          <w:lang w:val="pl-PL"/>
        </w:rPr>
      </w:pPr>
      <w:r>
        <w:rPr>
          <w:rFonts w:hAnsi="Times New Roman" w:ascii="Times New Roman"/>
          <w:sz w:val="24"/>
          <w:szCs w:val="24"/>
          <w:lang w:val="pl-PL"/>
        </w:rPr>
        <w:t>dati podatak o tome kako je ostvareno izlučno pravo, ako ono postoji</w:t>
      </w:r>
    </w:p>
    <w:p w:rsidRDefault="00626FD3" w:rsidR="00DC66BF">
      <w:pPr>
        <w:jc w:val="both"/>
        <w:rPr>
          <w:rFonts w:hAnsi="Times New Roman" w:ascii="Times New Roman"/>
          <w:sz w:val="24"/>
          <w:szCs w:val="24"/>
          <w:lang w:val="pl-PL"/>
        </w:rPr>
      </w:pPr>
      <w:r>
        <w:rPr>
          <w:rFonts w:hAnsi="Times New Roman" w:ascii="Times New Roman"/>
          <w:sz w:val="24"/>
          <w:szCs w:val="24"/>
          <w:lang w:val="pl-PL"/>
        </w:rPr>
        <w:t xml:space="preserve">            ne postoji izlučno pravo</w:t>
      </w:r>
    </w:p>
    <w:p w:rsidRDefault="00626FD3" w:rsidR="00DC66BF">
      <w:pPr>
        <w:numPr>
          <w:ilvl w:val="0"/>
          <w:numId w:val="2"/>
        </w:numPr>
        <w:jc w:val="both"/>
        <w:rPr>
          <w:rFonts w:hAnsi="Times New Roman" w:ascii="Times New Roman"/>
          <w:sz w:val="24"/>
          <w:szCs w:val="24"/>
          <w:lang w:val="pl-PL"/>
        </w:rPr>
      </w:pPr>
      <w:r>
        <w:rPr>
          <w:rFonts w:hAnsi="Times New Roman" w:ascii="Times New Roman"/>
          <w:sz w:val="24"/>
          <w:szCs w:val="24"/>
          <w:lang w:val="pl-PL"/>
        </w:rPr>
        <w:t>dati podatak o vjerovnicima stečajne mase i njihovom namirenju</w:t>
      </w:r>
    </w:p>
    <w:p w:rsidRDefault="00626FD3" w:rsidR="00DC66BF">
      <w:pPr>
        <w:ind w:left="720"/>
        <w:jc w:val="both"/>
        <w:rPr>
          <w:rFonts w:hAnsi="Times New Roman" w:ascii="Times New Roman"/>
          <w:sz w:val="24"/>
          <w:szCs w:val="24"/>
          <w:lang w:val="pl-PL"/>
        </w:rPr>
      </w:pPr>
      <w:r>
        <w:rPr>
          <w:rFonts w:hAnsi="Times New Roman" w:ascii="Times New Roman"/>
          <w:sz w:val="24"/>
          <w:szCs w:val="24"/>
          <w:lang w:val="pl-PL"/>
        </w:rPr>
        <w:t>nije bilo namirenja</w:t>
      </w:r>
    </w:p>
    <w:p w:rsidRDefault="00626FD3" w:rsidR="00DC66BF">
      <w:pPr>
        <w:numPr>
          <w:ilvl w:val="0"/>
          <w:numId w:val="2"/>
        </w:numPr>
        <w:jc w:val="both"/>
        <w:rPr>
          <w:rFonts w:hAnsi="Times New Roman" w:ascii="Times New Roman"/>
          <w:sz w:val="24"/>
          <w:szCs w:val="24"/>
          <w:lang w:val="pl-PL"/>
        </w:rPr>
      </w:pPr>
      <w:r>
        <w:rPr>
          <w:rFonts w:hAnsi="Times New Roman" w:ascii="Times New Roman"/>
          <w:sz w:val="24"/>
          <w:szCs w:val="24"/>
          <w:lang w:val="pl-PL"/>
        </w:rPr>
        <w:t>dati podatak o isplatama plaća radnika ako su nastavili s radom nakon otvaranja stečajnoga postupka</w:t>
      </w:r>
    </w:p>
    <w:p w:rsidRDefault="00626FD3" w:rsidR="00DC66BF">
      <w:pPr>
        <w:ind w:left="720"/>
        <w:jc w:val="both"/>
        <w:rPr>
          <w:rFonts w:hAnsi="Times New Roman" w:ascii="Times New Roman"/>
          <w:sz w:val="24"/>
          <w:szCs w:val="24"/>
          <w:lang w:val="pl-PL"/>
        </w:rPr>
      </w:pPr>
      <w:r>
        <w:rPr>
          <w:rFonts w:hAnsi="Times New Roman" w:ascii="Times New Roman"/>
          <w:sz w:val="24"/>
          <w:szCs w:val="24"/>
          <w:lang w:val="pl-PL"/>
        </w:rPr>
        <w:t>nije bilo radnika koji bi nastavili sa radom</w:t>
      </w:r>
    </w:p>
    <w:p w:rsidRDefault="00626FD3" w:rsidR="00DC66BF">
      <w:pPr>
        <w:numPr>
          <w:ilvl w:val="0"/>
          <w:numId w:val="2"/>
        </w:numPr>
        <w:jc w:val="both"/>
        <w:rPr>
          <w:rFonts w:hAnsi="Times New Roman" w:ascii="Times New Roman"/>
          <w:sz w:val="24"/>
          <w:szCs w:val="24"/>
          <w:lang w:val="pl-PL"/>
        </w:rPr>
      </w:pPr>
      <w:r>
        <w:rPr>
          <w:rFonts w:hAnsi="Times New Roman" w:ascii="Times New Roman"/>
          <w:sz w:val="24"/>
          <w:szCs w:val="24"/>
          <w:lang w:val="pl-PL"/>
        </w:rPr>
        <w:t>dati podatak o namirenju stečajnih vjerovnika (diobe).</w:t>
      </w:r>
    </w:p>
    <w:p w:rsidRDefault="00626FD3" w:rsidR="00DC66BF">
      <w:pPr>
        <w:ind w:left="720"/>
        <w:jc w:val="both"/>
        <w:rPr>
          <w:rFonts w:hAnsi="Times New Roman" w:ascii="Times New Roman"/>
          <w:sz w:val="24"/>
          <w:szCs w:val="24"/>
          <w:lang w:val="pl-PL"/>
        </w:rPr>
      </w:pPr>
      <w:r>
        <w:rPr>
          <w:rFonts w:hAnsi="Times New Roman" w:ascii="Times New Roman"/>
          <w:sz w:val="24"/>
          <w:szCs w:val="24"/>
          <w:lang w:val="pl-PL"/>
        </w:rPr>
        <w:t>nije bilo namirenja</w:t>
      </w:r>
    </w:p>
    <w:p w:rsidRDefault="00626FD3" w:rsidR="00DC66BF">
      <w:pPr>
        <w:numPr>
          <w:ilvl w:val="0"/>
          <w:numId w:val="2"/>
        </w:numPr>
        <w:jc w:val="both"/>
        <w:rPr>
          <w:rFonts w:hAnsi="Times New Roman" w:ascii="Times New Roman"/>
          <w:sz w:val="24"/>
          <w:szCs w:val="24"/>
          <w:lang w:val="pl-PL"/>
        </w:rPr>
      </w:pPr>
      <w:r>
        <w:rPr>
          <w:rFonts w:hAnsi="Times New Roman" w:ascii="Times New Roman"/>
          <w:sz w:val="24"/>
          <w:szCs w:val="24"/>
          <w:lang w:val="pl-PL"/>
        </w:rPr>
        <w:t>ostali podaci.</w:t>
      </w:r>
    </w:p>
    <w:p w:rsidRDefault="00626FD3" w:rsidR="00DC66BF">
      <w:pPr>
        <w:ind w:left="720"/>
        <w:jc w:val="both"/>
        <w:rPr>
          <w:rFonts w:hAnsi="Times New Roman" w:ascii="Times New Roman"/>
          <w:sz w:val="24"/>
          <w:szCs w:val="24"/>
          <w:lang w:val="pl-PL"/>
        </w:rPr>
      </w:pPr>
      <w:r>
        <w:rPr>
          <w:rFonts w:hAnsi="Times New Roman" w:ascii="Times New Roman"/>
          <w:sz w:val="24"/>
          <w:szCs w:val="24"/>
          <w:lang w:val="pl-PL"/>
        </w:rPr>
        <w:t>podnose se godišnja financijska izvješča, te se stvara trošak sa osnova usluge vođenja knjigovodstva</w:t>
      </w:r>
    </w:p>
    <w:p w:rsidRDefault="00DC66BF" w:rsidR="00DC66BF">
      <w:pPr>
        <w:jc w:val="both"/>
        <w:rPr>
          <w:rFonts w:hAnsi="Times New Roman" w:ascii="Times New Roman"/>
          <w:sz w:val="24"/>
          <w:szCs w:val="24"/>
          <w:lang w:val="pl-PL"/>
        </w:rPr>
      </w:pPr>
    </w:p>
    <w:p w:rsidRDefault="00626FD3" w:rsidR="00DC66BF">
      <w:pPr>
        <w:jc w:val="both"/>
        <w:rPr>
          <w:rFonts w:hAnsi="Times New Roman" w:ascii="Times New Roman"/>
          <w:sz w:val="24"/>
          <w:szCs w:val="24"/>
          <w:lang w:val="pl-PL"/>
        </w:rPr>
      </w:pPr>
      <w:r>
        <w:rPr>
          <w:rFonts w:hAnsi="Times New Roman" w:ascii="Times New Roman"/>
          <w:sz w:val="24"/>
          <w:szCs w:val="24"/>
          <w:lang w:val="pl-PL"/>
        </w:rPr>
        <w:t>III. RADNJE KOJE ĆE SE PODUZETI U NAREDNOM RAZDOBLJU</w:t>
      </w:r>
    </w:p>
    <w:p w:rsidRDefault="00626FD3" w:rsidR="00DC66BF">
      <w:pPr>
        <w:jc w:val="both"/>
        <w:rPr>
          <w:rFonts w:hAnsi="Times New Roman" w:ascii="Times New Roman"/>
          <w:sz w:val="24"/>
          <w:szCs w:val="24"/>
          <w:lang w:val="pl-PL"/>
        </w:rPr>
      </w:pPr>
      <w:r>
        <w:rPr>
          <w:rFonts w:hAnsi="Times New Roman" w:ascii="Times New Roman"/>
          <w:sz w:val="24"/>
          <w:szCs w:val="24"/>
          <w:lang w:val="pl-PL"/>
        </w:rPr>
        <w:t>Naznačiti radnje koje će se poduzeti u naredom razdoblju od 20. svibnja 2019. do 20. kolovoza 2019.</w:t>
      </w:r>
    </w:p>
    <w:p w:rsidRDefault="00626FD3" w:rsidR="00DC66BF">
      <w:pPr>
        <w:jc w:val="both"/>
        <w:rPr>
          <w:rFonts w:hAnsi="Times New Roman" w:ascii="Times New Roman"/>
          <w:sz w:val="24"/>
          <w:szCs w:val="24"/>
          <w:lang w:val="pl-PL"/>
        </w:rPr>
      </w:pPr>
      <w:r>
        <w:rPr>
          <w:rFonts w:hAnsi="Times New Roman" w:ascii="Times New Roman"/>
          <w:sz w:val="24"/>
          <w:szCs w:val="24"/>
          <w:lang w:val="pl-PL"/>
        </w:rPr>
        <w:t>Pratiti će se e oglasna ploča u svezi prijedloga otvaranja stečajnog postupka nad  KGM Građenjem d.o.o..</w:t>
      </w:r>
    </w:p>
    <w:p w:rsidRDefault="00626FD3" w:rsidR="00DC66BF">
      <w:pPr>
        <w:jc w:val="both"/>
        <w:rPr>
          <w:rFonts w:hAnsi="Times New Roman" w:ascii="Times New Roman"/>
          <w:sz w:val="24"/>
          <w:szCs w:val="24"/>
          <w:lang w:val="pl-PL"/>
        </w:rPr>
      </w:pPr>
      <w:r>
        <w:rPr>
          <w:rFonts w:hAnsi="Times New Roman" w:ascii="Times New Roman"/>
          <w:sz w:val="24"/>
          <w:szCs w:val="24"/>
          <w:lang w:val="pl-PL"/>
        </w:rPr>
        <w:t>Podnosit će se zakonski predviđena financijska izvješća nadležnim službama.</w:t>
      </w:r>
    </w:p>
    <w:p w:rsidRDefault="00DC66BF" w:rsidR="00DC66BF">
      <w:pPr>
        <w:jc w:val="both"/>
        <w:rPr>
          <w:rFonts w:hAnsi="Times New Roman" w:ascii="Times New Roman"/>
          <w:sz w:val="24"/>
          <w:szCs w:val="24"/>
          <w:lang w:val="pl-PL"/>
        </w:rPr>
      </w:pPr>
    </w:p>
    <w:p w:rsidRDefault="00626FD3" w:rsidR="00DC66BF">
      <w:pPr>
        <w:jc w:val="both"/>
        <w:rPr>
          <w:rFonts w:hAnsi="Times New Roman" w:ascii="Times New Roman"/>
          <w:sz w:val="24"/>
          <w:szCs w:val="24"/>
          <w:lang w:val="pl-PL"/>
        </w:rPr>
      </w:pPr>
      <w:r>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Stečajni upravitelj</w:t>
      </w:r>
    </w:p>
    <w:p w:rsidRDefault="00626FD3" w:rsidR="00DC66BF">
      <w:pPr>
        <w:jc w:val="both"/>
      </w:pPr>
      <w:r>
        <w:rPr>
          <w:rFonts w:hAnsi="Times New Roman" w:ascii="Times New Roman"/>
          <w:sz w:val="24"/>
          <w:szCs w:val="24"/>
          <w:lang w:val="pl-PL"/>
        </w:rPr>
        <w:t>Velika Gorica, 20.05.2019.</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Stjepan  Rakarec</w:t>
      </w:r>
    </w:p>
    <w:p w:rsidRDefault="00DC66BF" w:rsidR="00DC66BF"/>
    <w:p w:rsidRDefault="00DC66BF" w:rsidR="00DC66BF"/>
    <w:sectPr w:rsidR="00DC66BF">
      <w:pgSz w:h="16838" w:w="11906"/>
      <w:pgMar w:gutter="0" w:footer="720" w:header="720"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6FD3" w:rsidR="002463BC">
      <w:pPr>
        <w:spacing w:after="0"/>
      </w:pPr>
      <w:r>
        <w:separator/>
      </w:r>
    </w:p>
  </w:endnote>
  <w:endnote w:id="0" w:type="continuationSeparator">
    <w:p w:rsidRDefault="00626FD3" w:rsidR="002463BC">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DF" w:usb3="00000000" w:usb2="00000029" w:usb1="C000E47F" w:usb0="E1002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6FD3" w:rsidR="002463BC">
      <w:pPr>
        <w:spacing w:after="0"/>
      </w:pPr>
      <w:r>
        <w:rPr>
          <w:color w:val="000000"/>
        </w:rPr>
        <w:separator/>
      </w:r>
    </w:p>
  </w:footnote>
  <w:footnote w:id="0" w:type="continuationSeparator">
    <w:p w:rsidRDefault="00626FD3" w:rsidR="002463BC">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246133"/>
    <w:multiLevelType w:val="multilevel"/>
    <w:tmpl w:val="49FA6346"/>
    <w:lvl w:ilvl="0">
      <w:start w:val="1"/>
      <w:numFmt w:val="upperRoman"/>
      <w:lvlText w:val="%1."/>
      <w:lvlJc w:val="lef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nsid w:val="73AB4685"/>
    <w:multiLevelType w:val="multilevel"/>
    <w:tmpl w:val="565A40BE"/>
    <w:lvl w:ilvl="0">
      <w:start w:val="1"/>
      <w:numFmt w:val="decimal"/>
      <w:lvlText w:val="%1."/>
      <w:lvlJc w:val="left"/>
      <w:pPr>
        <w:ind w:hanging="360" w:left="502"/>
      </w:pPr>
      <w:rPr>
        <w:rFonts w:cs="Times New Roman"/>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DC66BF"/>
    <w:rsid w:val="002463BC"/>
    <w:rsid w:val="00626FD3"/>
    <w:rsid w:val="00DC038A"/>
    <w:rsid w:val="00DC66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lineRule="auto" w:line="251"/>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spacing w:lineRule="auto" w:line="240" w:after="80"/>
    </w:pPr>
  </w:style>
  <w:style w:styleId="Naslov1" w:type="paragraph">
    <w:name w:val="heading 1"/>
    <w:next w:val="Normal"/>
    <w:pPr>
      <w:keepNext/>
      <w:keepLines/>
      <w:spacing w:lineRule="auto" w:line="254"/>
      <w:ind w:hanging="10" w:left="464"/>
      <w:jc w:val="right"/>
      <w:textAlignment w:val="auto"/>
      <w:outlineLvl w:val="0"/>
    </w:pPr>
    <w:rPr>
      <w:rFonts w:eastAsia="Times New Roman" w:hAnsi="Times New Roman" w:ascii="Times New Roman"/>
      <w:color w:val="000000"/>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ind w:left="720"/>
    </w:pPr>
  </w:style>
  <w:style w:customStyle="true" w:styleId="Naslov1Char" w:type="character">
    <w:name w:val="Naslov 1 Char"/>
    <w:basedOn w:val="Zadanifontodlomka"/>
    <w:rPr>
      <w:rFonts w:eastAsia="Times New Roman" w:hAnsi="Times New Roman" w:ascii="Times New Roman"/>
      <w:color w:val="000000"/>
      <w:sz w:val="24"/>
      <w:lang w:eastAsia="hr-HR"/>
    </w:rPr>
  </w:style>
  <w:style w:styleId="Tekstbalonia" w:type="paragraph">
    <w:name w:val="Balloon Text"/>
    <w:basedOn w:val="Normal"/>
    <w:pPr>
      <w:spacing w:after="0"/>
    </w:pPr>
    <w:rPr>
      <w:rFonts w:cs="Segoe UI" w:hAnsi="Segoe UI" w:ascii="Segoe UI"/>
      <w:sz w:val="18"/>
      <w:szCs w:val="18"/>
    </w:rPr>
  </w:style>
  <w:style w:customStyle="true" w:styleId="TekstbaloniaChar" w:type="character">
    <w:name w:val="Tekst balončića Char"/>
    <w:basedOn w:val="Zadanifontodlomka"/>
    <w:rPr>
      <w:rFonts w:cs="Segoe UI" w:hAnsi="Segoe UI" w:ascii="Segoe UI"/>
      <w:sz w:val="18"/>
      <w:szCs w:val="18"/>
    </w:rPr>
  </w:style>
  <w:style w:styleId="Tekstrezerviranogmjesta" w:type="character">
    <w:name w:val="Placeholder Text"/>
    <w:basedOn w:val="Zadanifontodlomka"/>
    <w:uiPriority w:val="99"/>
    <w:semiHidden/>
    <w:rsid w:val="00DC038A"/>
    <w:rPr>
      <w:color w:val="808080"/>
      <w:bdr w:space="0" w:sz="0" w:color="auto" w:val="none"/>
      <w:shd w:fill="auto" w:color="auto" w:val="clear"/>
    </w:rPr>
  </w:style>
  <w:style w:customStyle="true" w:styleId="eSPISCCParagraphDefaultFont" w:type="character">
    <w:name w:val="eSPIS_CC_Paragraph Default Font"/>
    <w:basedOn w:val="Zadanifontodlomka"/>
    <w:rsid w:val="00DC038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C038A"/>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DC038A"/>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DC038A"/>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line="251"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after="80" w:line="240" w:lineRule="auto"/>
    </w:pPr>
  </w:style>
  <w:style w:styleId="Naslov1" w:type="paragraph">
    <w:name w:val="heading 1"/>
    <w:next w:val="Normal"/>
    <w:pPr>
      <w:keepNext/>
      <w:keepLines/>
      <w:spacing w:line="254" w:lineRule="auto"/>
      <w:ind w:hanging="10" w:left="464"/>
      <w:jc w:val="right"/>
      <w:textAlignment w:val="auto"/>
      <w:outlineLvl w:val="0"/>
    </w:pPr>
    <w:rPr>
      <w:rFonts w:ascii="Times New Roman" w:eastAsia="Times New Roman" w:hAnsi="Times New Roman"/>
      <w:color w:val="000000"/>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customStyle="1" w:styleId="Naslov1Char" w:type="character">
    <w:name w:val="Naslov 1 Char"/>
    <w:basedOn w:val="Zadanifontodlomka"/>
    <w:rPr>
      <w:rFonts w:ascii="Times New Roman" w:eastAsia="Times New Roman" w:hAnsi="Times New Roman"/>
      <w:color w:val="000000"/>
      <w:sz w:val="24"/>
      <w:lang w:eastAsia="hr-HR"/>
    </w:rPr>
  </w:style>
  <w:style w:styleId="Tekstbalonia" w:type="paragraph">
    <w:name w:val="Balloon Text"/>
    <w:basedOn w:val="Normal"/>
    <w:pPr>
      <w:spacing w:after="0"/>
    </w:pPr>
    <w:rPr>
      <w:rFonts w:ascii="Segoe UI" w:cs="Segoe UI" w:hAnsi="Segoe UI"/>
      <w:sz w:val="18"/>
      <w:szCs w:val="18"/>
    </w:rPr>
  </w:style>
  <w:style w:customStyle="1" w:styleId="TekstbaloniaChar" w:type="character">
    <w:name w:val="Tekst balončića Char"/>
    <w:basedOn w:val="Zadanifontodlomka"/>
    <w:rPr>
      <w:rFonts w:ascii="Segoe UI" w:cs="Segoe UI" w:hAnsi="Segoe UI"/>
      <w:sz w:val="18"/>
      <w:szCs w:val="18"/>
    </w:rPr>
  </w:style>
  <w:style w:styleId="Tekstrezerviranogmjesta" w:type="character">
    <w:name w:val="Placeholder Text"/>
    <w:basedOn w:val="Zadanifontodlomka"/>
    <w:uiPriority w:val="99"/>
    <w:semiHidden/>
    <w:rsid w:val="00DC038A"/>
    <w:rPr>
      <w:color w:val="808080"/>
      <w:bdr w:color="auto" w:space="0" w:sz="0" w:val="none"/>
      <w:shd w:color="auto" w:fill="auto" w:val="clear"/>
    </w:rPr>
  </w:style>
  <w:style w:customStyle="1" w:styleId="eSPISCCParagraphDefaultFont" w:type="character">
    <w:name w:val="eSPIS_CC_Paragraph Default Font"/>
    <w:basedOn w:val="Zadanifontodlomka"/>
    <w:rsid w:val="00DC038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C038A"/>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DC038A"/>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DC038A"/>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686</properties:Words>
  <properties:Characters>3888</properties:Characters>
  <properties:Lines>86</properties:Lines>
  <properties:Paragraphs>41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2019-05-27T09:11:00Z</dcterms:created>
  <dc:creator>Stjepan Rakarec</dc:creator>
  <cp:lastModifiedBy>dvorana100</cp:lastModifiedBy>
  <cp:lastPrinted>2019-05-27T09:01:00Z</cp:lastPrinted>
  <dcterms:modified xmlns:xsi="http://www.w3.org/2001/XMLSchema-instance" xsi:type="dcterms:W3CDTF">2019-05-27T09:13:00Z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St-216/2015-65 / Podnesak - Izvješće stečajnog upravitelja (OBRAZAC 20 SVIBANJ 2019.docx)</vt:lpwstr>
  </prop:property>
  <prop:property name="CC_coloring" pid="4" fmtid="{D5CDD505-2E9C-101B-9397-08002B2CF9AE}">
    <vt:bool>false</vt:bool>
  </prop:property>
  <prop:property name="BrojStranica" pid="5" fmtid="{D5CDD505-2E9C-101B-9397-08002B2CF9AE}">
    <vt:i4>3</vt:i4>
  </prop:property>
</prop:Properties>
</file>