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0c8b97" w14:paraId="30c8b97"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B07D2F" w:rsidP="00B07D2F" w:rsidR="00B07D2F" w:rsidRPr="00B07D2F">
      <w:pPr>
        <w:spacing w:after="0"/>
        <w:ind w:firstLine="708"/>
        <w:rPr>
          <w:rFonts w:cs="Times New Roman" w:eastAsia="Times New Roman"/>
          <w:szCs w:val="20"/>
        </w:rPr>
      </w:pPr>
      <w:r w:rsidRPr="00B07D2F">
        <w:rPr>
          <w:rFonts w:cs="Times New Roman" w:eastAsia="Times New Roman"/>
          <w:noProof/>
          <w:lang w:eastAsia="hr-HR"/>
        </w:rPr>
        <w:t xml:space="preserve">  </w:t>
      </w:r>
      <w:r>
        <w:rPr>
          <w:rFonts w:cs="Times New Roman" w:eastAsia="Times New Roman"/>
          <w:noProof/>
          <w:lang w:eastAsia="hr-HR"/>
        </w:rPr>
        <w:tab/>
      </w:r>
      <w:r>
        <w:rPr>
          <w:rFonts w:cs="Times New Roman" w:eastAsia="Times New Roman"/>
          <w:noProof/>
          <w:lang w:eastAsia="hr-HR"/>
        </w:rPr>
        <w:tab/>
      </w:r>
      <w:r>
        <w:rPr>
          <w:rFonts w:cs="Times New Roman" w:eastAsia="Times New Roman"/>
          <w:noProof/>
          <w:lang w:eastAsia="hr-HR"/>
        </w:rPr>
        <w:tab/>
      </w:r>
      <w:r>
        <w:rPr>
          <w:rFonts w:cs="Times New Roman" w:eastAsia="Times New Roman"/>
          <w:noProof/>
          <w:lang w:eastAsia="hr-HR"/>
        </w:rPr>
        <w:tab/>
      </w:r>
      <w:r>
        <w:rPr>
          <w:rFonts w:cs="Times New Roman" w:eastAsia="Times New Roman"/>
          <w:noProof/>
          <w:lang w:eastAsia="hr-HR"/>
        </w:rPr>
        <w:tab/>
      </w:r>
      <w:r>
        <w:rPr>
          <w:rFonts w:cs="Times New Roman" w:eastAsia="Times New Roman"/>
          <w:noProof/>
          <w:lang w:eastAsia="hr-HR"/>
        </w:rPr>
        <w:tab/>
      </w:r>
      <w:r>
        <w:rPr>
          <w:rFonts w:cs="Times New Roman" w:eastAsia="Times New Roman"/>
          <w:noProof/>
          <w:lang w:eastAsia="hr-HR"/>
        </w:rPr>
        <w:tab/>
      </w:r>
      <w:r w:rsidRPr="00B07D2F">
        <w:rPr>
          <w:rFonts w:cs="Times New Roman" w:eastAsia="Times New Roman"/>
          <w:noProof/>
          <w:lang w:eastAsia="hr-HR"/>
        </w:rPr>
        <w:t xml:space="preserve"> </w:t>
      </w:r>
      <w:r w:rsidRPr="00B07D2F">
        <w:rPr>
          <w:rFonts w:cs="Times New Roman" w:eastAsia="Times New Roman"/>
        </w:rPr>
        <w:t>Poslovni broj 12. St-988/2017-33</w:t>
      </w:r>
    </w:p>
    <w:p w:rsidRDefault="00B07D2F" w:rsidP="00B07D2F" w:rsidR="00B07D2F" w:rsidRPr="00B07D2F">
      <w:pPr>
        <w:spacing w:after="0"/>
        <w:rPr>
          <w:rFonts w:cs="Times New Roman" w:eastAsia="Times New Roman"/>
          <w:sz w:val="8"/>
          <w:szCs w:val="8"/>
          <w:lang w:eastAsia="hr-HR"/>
        </w:rPr>
      </w:pPr>
    </w:p>
    <w:p w:rsidRDefault="00B07D2F" w:rsidP="00B07D2F" w:rsidR="00B07D2F" w:rsidRPr="00B07D2F">
      <w:pPr>
        <w:keepNext/>
        <w:spacing w:after="0"/>
        <w:jc w:val="both"/>
        <w:outlineLvl w:val="0"/>
        <w:rPr>
          <w:rFonts w:cs="Times New Roman" w:eastAsia="Arial Unicode MS"/>
          <w:bCs/>
          <w:lang w:eastAsia="hr-HR"/>
        </w:rPr>
      </w:pPr>
      <w:r w:rsidRPr="00B07D2F">
        <w:rPr>
          <w:rFonts w:cs="Times New Roman" w:eastAsia="Arial Unicode MS"/>
          <w:bCs/>
          <w:lang w:eastAsia="hr-HR"/>
        </w:rPr>
        <w:t>REPUBLIKA HRVATSKA</w:t>
      </w:r>
    </w:p>
    <w:p w:rsidRDefault="00B07D2F" w:rsidP="00B07D2F" w:rsidR="00B07D2F" w:rsidRPr="00B07D2F">
      <w:pPr>
        <w:spacing w:after="0"/>
        <w:jc w:val="both"/>
        <w:rPr>
          <w:rFonts w:cs="Times New Roman" w:eastAsia="Times New Roman"/>
          <w:lang w:val="en-US"/>
        </w:rPr>
      </w:pPr>
      <w:r w:rsidRPr="00B07D2F">
        <w:rPr>
          <w:rFonts w:cs="Times New Roman" w:eastAsia="Times New Roman"/>
          <w:lang w:val="en-US"/>
        </w:rPr>
        <w:t xml:space="preserve">TRGOVAČKI SUD U SPLITU             </w:t>
      </w:r>
      <w:r w:rsidRPr="00B07D2F">
        <w:rPr>
          <w:rFonts w:cs="Times New Roman" w:eastAsia="Times New Roman"/>
          <w:lang w:val="en-US"/>
        </w:rPr>
        <w:tab/>
      </w:r>
      <w:r w:rsidRPr="00B07D2F">
        <w:rPr>
          <w:rFonts w:cs="Times New Roman" w:eastAsia="Times New Roman"/>
          <w:lang w:val="en-US"/>
        </w:rPr>
        <w:tab/>
      </w:r>
      <w:r w:rsidRPr="00B07D2F">
        <w:rPr>
          <w:rFonts w:cs="Times New Roman" w:eastAsia="Times New Roman"/>
          <w:lang w:val="en-US"/>
        </w:rPr>
        <w:tab/>
        <w:t xml:space="preserve">      </w:t>
      </w:r>
    </w:p>
    <w:p w:rsidRDefault="00B07D2F" w:rsidP="00B07D2F" w:rsidR="00B07D2F" w:rsidRPr="00B07D2F">
      <w:pPr>
        <w:spacing w:after="0"/>
        <w:rPr>
          <w:rFonts w:cs="Times New Roman" w:eastAsia="Times New Roman"/>
          <w:lang w:val="en-US"/>
        </w:rPr>
      </w:pPr>
      <w:r w:rsidRPr="00B07D2F">
        <w:rPr>
          <w:rFonts w:cs="Times New Roman" w:eastAsia="Times New Roman"/>
          <w:lang w:val="en-US"/>
        </w:rPr>
        <w:t>Split, Sukoišanska br. 6.</w:t>
      </w:r>
    </w:p>
    <w:p w:rsidRDefault="00B07D2F" w:rsidP="00B07D2F" w:rsidR="00B07D2F" w:rsidRPr="00B07D2F">
      <w:pPr>
        <w:spacing w:after="0"/>
        <w:jc w:val="both"/>
        <w:rPr>
          <w:rFonts w:cs="Times New Roman" w:eastAsia="Times New Roman"/>
          <w:sz w:val="20"/>
          <w:szCs w:val="20"/>
        </w:rPr>
      </w:pPr>
      <w:r w:rsidRPr="00B07D2F">
        <w:rPr>
          <w:rFonts w:cs="Times New Roman" w:eastAsia="Times New Roman"/>
          <w:sz w:val="20"/>
          <w:szCs w:val="20"/>
        </w:rPr>
        <w:tab/>
      </w:r>
      <w:r w:rsidRPr="00B07D2F">
        <w:rPr>
          <w:rFonts w:cs="Times New Roman" w:eastAsia="Times New Roman"/>
          <w:sz w:val="20"/>
          <w:szCs w:val="20"/>
        </w:rPr>
        <w:tab/>
      </w:r>
      <w:r w:rsidRPr="00B07D2F">
        <w:rPr>
          <w:rFonts w:cs="Times New Roman" w:eastAsia="Times New Roman"/>
          <w:sz w:val="20"/>
          <w:szCs w:val="20"/>
        </w:rPr>
        <w:tab/>
        <w:t xml:space="preserve">      </w:t>
      </w:r>
    </w:p>
    <w:p w:rsidRDefault="00B07D2F" w:rsidP="00B07D2F" w:rsidR="00B07D2F" w:rsidRPr="00B07D2F">
      <w:pPr>
        <w:keepNext/>
        <w:spacing w:after="0"/>
        <w:jc w:val="center"/>
        <w:outlineLvl w:val="0"/>
        <w:rPr>
          <w:rFonts w:cs="Times New Roman" w:eastAsia="Arial Unicode MS"/>
          <w:bCs/>
          <w:lang w:eastAsia="hr-HR"/>
        </w:rPr>
      </w:pPr>
      <w:r w:rsidRPr="00B07D2F">
        <w:rPr>
          <w:rFonts w:cs="Times New Roman" w:eastAsia="Arial Unicode MS"/>
          <w:bCs/>
          <w:lang w:eastAsia="hr-HR"/>
        </w:rPr>
        <w:t>R E P U B L I KA   H R V A T S K A</w:t>
      </w:r>
    </w:p>
    <w:p w:rsidRDefault="00B07D2F" w:rsidP="00B07D2F" w:rsidR="00B07D2F" w:rsidRPr="00B07D2F">
      <w:pPr>
        <w:spacing w:after="0"/>
        <w:rPr>
          <w:rFonts w:cs="Times New Roman" w:eastAsia="Times New Roman"/>
          <w:lang w:eastAsia="hr-HR"/>
        </w:rPr>
      </w:pPr>
    </w:p>
    <w:p w:rsidRDefault="00B07D2F" w:rsidP="00B07D2F" w:rsidR="00B07D2F" w:rsidRPr="00B07D2F">
      <w:pPr>
        <w:keepNext/>
        <w:spacing w:after="0"/>
        <w:jc w:val="center"/>
        <w:outlineLvl w:val="1"/>
        <w:rPr>
          <w:rFonts w:cs="Times New Roman" w:eastAsia="Arial Unicode MS"/>
          <w:bCs/>
          <w:szCs w:val="20"/>
        </w:rPr>
      </w:pPr>
      <w:r w:rsidRPr="00B07D2F">
        <w:rPr>
          <w:rFonts w:cs="Times New Roman" w:eastAsia="Arial Unicode MS"/>
          <w:bCs/>
          <w:szCs w:val="20"/>
        </w:rPr>
        <w:t>Z A K L J U Č A K</w:t>
      </w:r>
    </w:p>
    <w:p w:rsidRDefault="00B07D2F" w:rsidP="00B07D2F" w:rsidR="00B07D2F" w:rsidRPr="00B07D2F">
      <w:pPr>
        <w:spacing w:after="0"/>
        <w:rPr>
          <w:rFonts w:cs="Times New Roman" w:eastAsia="Times New Roman"/>
          <w:szCs w:val="20"/>
        </w:rPr>
      </w:pPr>
    </w:p>
    <w:p w:rsidRDefault="00B07D2F" w:rsidP="00B07D2F" w:rsidR="00B07D2F" w:rsidRPr="00B07D2F">
      <w:pPr>
        <w:spacing w:after="0"/>
        <w:jc w:val="both"/>
        <w:rPr>
          <w:rFonts w:cs="Times New Roman" w:eastAsia="Times New Roman"/>
        </w:rPr>
      </w:pPr>
      <w:r w:rsidRPr="00B07D2F">
        <w:rPr>
          <w:rFonts w:cs="Times New Roman" w:eastAsia="Times New Roman"/>
          <w:szCs w:val="22"/>
        </w:rPr>
        <w:tab/>
        <w:t xml:space="preserve">Trgovački sud u Splitu, po sucu tog suda Pašku Bačiću, kao stečajnom sucu, u stečajnom postupku </w:t>
      </w:r>
      <w:r w:rsidRPr="00B07D2F">
        <w:rPr>
          <w:rFonts w:cs="Times New Roman" w:eastAsia="Times New Roman"/>
        </w:rPr>
        <w:t xml:space="preserve">nad dužnikom </w:t>
      </w:r>
      <w:r w:rsidRPr="00B07D2F">
        <w:rPr>
          <w:rFonts w:cs="Times New Roman" w:eastAsia="Times New Roman"/>
          <w:szCs w:val="22"/>
        </w:rPr>
        <w:t xml:space="preserve">Stečajna masa iza DIGNATIO d.o.o. u stečaju Zagreb, Petrinjska 28, OIB: 53863842883, 27. rujna 2018. </w:t>
      </w:r>
    </w:p>
    <w:p w:rsidRDefault="00B07D2F" w:rsidP="00B07D2F" w:rsidR="00B07D2F" w:rsidRPr="00B07D2F">
      <w:pPr>
        <w:spacing w:after="0"/>
        <w:jc w:val="both"/>
        <w:rPr>
          <w:rFonts w:cs="Times New Roman" w:eastAsia="Times New Roman"/>
          <w:sz w:val="16"/>
          <w:szCs w:val="16"/>
        </w:rPr>
      </w:pPr>
    </w:p>
    <w:p w:rsidRDefault="00B07D2F" w:rsidP="00B07D2F" w:rsidR="00B07D2F" w:rsidRPr="00B07D2F">
      <w:pPr>
        <w:spacing w:after="0"/>
        <w:rPr>
          <w:rFonts w:cs="Times New Roman" w:eastAsia="Times New Roman"/>
        </w:rPr>
      </w:pPr>
    </w:p>
    <w:p w:rsidRDefault="00B07D2F" w:rsidP="00B07D2F" w:rsidR="00B07D2F" w:rsidRPr="00B07D2F">
      <w:pPr>
        <w:spacing w:after="0"/>
        <w:jc w:val="center"/>
        <w:rPr>
          <w:rFonts w:cs="Times New Roman" w:eastAsia="Times New Roman"/>
          <w:szCs w:val="20"/>
        </w:rPr>
      </w:pPr>
      <w:r w:rsidRPr="00B07D2F">
        <w:rPr>
          <w:rFonts w:cs="Times New Roman" w:eastAsia="Times New Roman"/>
        </w:rPr>
        <w:t xml:space="preserve">z a k lj u č i o   j e                                               </w:t>
      </w:r>
    </w:p>
    <w:p w:rsidRDefault="00B07D2F" w:rsidP="00B07D2F" w:rsidR="00B07D2F" w:rsidRPr="00B07D2F">
      <w:pPr>
        <w:spacing w:after="0"/>
        <w:jc w:val="both"/>
        <w:rPr>
          <w:rFonts w:cs="Times New Roman" w:eastAsia="Times New Roman"/>
          <w:szCs w:val="20"/>
        </w:rPr>
      </w:pPr>
    </w:p>
    <w:p w:rsidRDefault="00B07D2F" w:rsidP="00B07D2F" w:rsidR="00B07D2F" w:rsidRPr="00B07D2F">
      <w:pPr>
        <w:spacing w:after="0"/>
        <w:ind w:left="705"/>
        <w:jc w:val="both"/>
        <w:rPr>
          <w:rFonts w:cs="Times New Roman" w:eastAsia="Times New Roman"/>
        </w:rPr>
      </w:pPr>
      <w:r w:rsidRPr="00B07D2F">
        <w:rPr>
          <w:rFonts w:cs="Times New Roman" w:eastAsia="Times New Roman"/>
        </w:rPr>
        <w:t>Nalaže se Financijskoj agenciji, Regionalni centar Split postupiti po zahtjevu za prodaju nekretnine u stečajnom postupku broj 12. St-988/2017 od 21. rujna 2018., bez prethodne uplate predujma za pokriće troškova prodaje elektroničkom javnom dražbom.</w:t>
      </w:r>
    </w:p>
    <w:p w:rsidRDefault="00B07D2F" w:rsidP="00B07D2F" w:rsidR="00B07D2F" w:rsidRPr="00B07D2F">
      <w:pPr>
        <w:spacing w:after="0"/>
        <w:jc w:val="both"/>
        <w:rPr>
          <w:rFonts w:cs="Times New Roman" w:eastAsia="Times New Roman"/>
        </w:rPr>
      </w:pPr>
    </w:p>
    <w:p w:rsidRDefault="00B07D2F" w:rsidP="00B07D2F" w:rsidR="00B07D2F" w:rsidRPr="00B07D2F">
      <w:pPr>
        <w:spacing w:after="0"/>
        <w:jc w:val="center"/>
        <w:rPr>
          <w:rFonts w:cs="Times New Roman" w:eastAsia="Times New Roman"/>
        </w:rPr>
      </w:pPr>
      <w:r w:rsidRPr="00B07D2F">
        <w:rPr>
          <w:rFonts w:cs="Times New Roman" w:eastAsia="Times New Roman"/>
        </w:rPr>
        <w:t>Obrazloženje</w:t>
      </w:r>
    </w:p>
    <w:p w:rsidRDefault="00B07D2F" w:rsidP="00B07D2F" w:rsidR="00B07D2F" w:rsidRPr="00B07D2F">
      <w:pPr>
        <w:spacing w:after="0"/>
        <w:rPr>
          <w:rFonts w:cs="Times New Roman" w:eastAsia="Times New Roman"/>
        </w:rPr>
      </w:pPr>
    </w:p>
    <w:p w:rsidRDefault="00B07D2F" w:rsidP="00B07D2F" w:rsidR="00B07D2F" w:rsidRPr="00B07D2F">
      <w:pPr>
        <w:spacing w:after="0"/>
        <w:jc w:val="both"/>
        <w:rPr>
          <w:rFonts w:cs="Times New Roman" w:eastAsia="Times New Roman"/>
        </w:rPr>
      </w:pPr>
      <w:r w:rsidRPr="00B07D2F">
        <w:rPr>
          <w:rFonts w:cs="Times New Roman" w:eastAsia="Times New Roman"/>
        </w:rPr>
        <w:tab/>
        <w:t>Rješenjem ovog suda posl. br. 12. St-988/2017 od 13. ožujka 2018. određen je  nastavak stečajnog postupka radi naknadne diobe stečajne mase iza dužnika DIGNATIO d.o.o. u stečaju te je određen upis te stečajne mase u sudski registar, uz dodjelu novog OIB-a, a sve to obzirom da je nakon donošenja rješenja o otvaranju i zaključenju skraćenog stečajnog postupka nad dužnikom naknadno pronađena imovina dužnika (nekretnina) koja ulazi u stečajnu masu. U konkretnom slučaju se radi o nekretnini odnosno suvlasničkom dijelu nekretnine i to: 3801/26789 dijela nekretnine označene kao čest.zem. 5348/1, oranica, oranica-plastenik ukupne površine 3827 m2, upisane u zk.ul. broj 7142, k.o. Solin.</w:t>
      </w:r>
    </w:p>
    <w:p w:rsidRDefault="00B07D2F" w:rsidP="00B07D2F" w:rsidR="00B07D2F" w:rsidRPr="00B07D2F">
      <w:pPr>
        <w:spacing w:after="0"/>
        <w:rPr>
          <w:rFonts w:cs="Times New Roman" w:eastAsia="Times New Roman"/>
        </w:rPr>
      </w:pPr>
    </w:p>
    <w:p w:rsidRDefault="00B07D2F" w:rsidP="00B07D2F" w:rsidR="00B07D2F" w:rsidRPr="00B07D2F">
      <w:pPr>
        <w:spacing w:after="0"/>
        <w:ind w:firstLine="705"/>
        <w:jc w:val="both"/>
        <w:rPr>
          <w:rFonts w:cs="Times New Roman" w:eastAsia="Times New Roman"/>
        </w:rPr>
      </w:pPr>
      <w:r w:rsidRPr="00B07D2F">
        <w:rPr>
          <w:rFonts w:cs="Times New Roman" w:eastAsia="Times New Roman"/>
        </w:rPr>
        <w:t xml:space="preserve">Na prijedlog stečajnog upravitelja Ivana Gjurašića, a temeljem odredbi članka 247. Stečajnog zakona (Narodne novine broj 71/15 i 104/17, dalje SZ), rješenjem ovog suda posl. br. 12. St-998/2017 od 27. srpnja 2018. određena je prodaja predmetne nekretnine (suvlasničkog dijela nekretnine) u stečajnom postupku, uz odgovarajuću primjenu pravila ovršnog postupka o ovrsi na nekretnini. </w:t>
      </w:r>
    </w:p>
    <w:p w:rsidRDefault="00B07D2F" w:rsidP="00B07D2F" w:rsidR="00B07D2F" w:rsidRPr="00B07D2F">
      <w:pPr>
        <w:spacing w:after="0"/>
        <w:ind w:left="705"/>
        <w:jc w:val="both"/>
        <w:rPr>
          <w:rFonts w:cs="Times New Roman" w:eastAsia="Times New Roman"/>
        </w:rPr>
      </w:pPr>
    </w:p>
    <w:p w:rsidRDefault="00B07D2F" w:rsidP="00B07D2F" w:rsidR="00B07D2F" w:rsidRPr="00B07D2F">
      <w:pPr>
        <w:spacing w:after="0"/>
        <w:ind w:firstLine="705"/>
        <w:jc w:val="both"/>
        <w:rPr>
          <w:rFonts w:cs="Times New Roman" w:eastAsia="Times New Roman"/>
        </w:rPr>
      </w:pPr>
      <w:r w:rsidRPr="00B07D2F">
        <w:rPr>
          <w:rFonts w:cs="Times New Roman" w:eastAsia="Times New Roman"/>
        </w:rPr>
        <w:t>Nakon što je naprijed navedeno rješenje o prodaji postalo pravomoćno, ovaj sud je donio zaključak o prodaji pod poslovnim brojem 12. St-988/2017 od 21. rujna 2018., kojim je utvrđena vrijednost predmetne nekretnine te način i uvjeti njene prodaje, a točkom III. tog zaključka određeno je da će se nekretnina prodavati elektroničkom javnom dražbom u postupku koji će provesti Financijska agencija, sve to sukladno odredbama članka 247. stavak 3. i 4. SZ-a.</w:t>
      </w:r>
    </w:p>
    <w:p w:rsidRDefault="00B07D2F" w:rsidP="00B07D2F" w:rsidR="00B07D2F" w:rsidRPr="00B07D2F">
      <w:pPr>
        <w:spacing w:after="0"/>
        <w:ind w:firstLine="705"/>
        <w:jc w:val="both"/>
        <w:rPr>
          <w:rFonts w:cs="Times New Roman" w:eastAsia="Times New Roman"/>
        </w:rPr>
      </w:pPr>
    </w:p>
    <w:p w:rsidRDefault="00B07D2F" w:rsidP="00B07D2F" w:rsidR="00B07D2F" w:rsidRPr="00B07D2F">
      <w:pPr>
        <w:spacing w:after="0"/>
        <w:ind w:firstLine="705"/>
        <w:jc w:val="both"/>
        <w:rPr>
          <w:rFonts w:cs="Times New Roman" w:eastAsia="Times New Roman"/>
        </w:rPr>
      </w:pPr>
      <w:r w:rsidRPr="00B07D2F">
        <w:rPr>
          <w:rFonts w:cs="Times New Roman" w:eastAsia="Times New Roman"/>
        </w:rPr>
        <w:lastRenderedPageBreak/>
        <w:t>Zaključak o prodaji od 21.09.2018. objavljen je na e-Oglasnoj ploči suda te je isto tako, između ostalih, dostavljen Financijskoj agenciji, Regionalni centar Split na nadležno postupanje uz privitke – popunjeni zahtjev za prodaju nekretnine u stečajnom postupku od 21.09.2018., rješenje ovog suda o prodaji od 27.07.2018. s  potvrdom pravomoćnosti te izvadak iz zemljišne knjige za predmetnu nekretninu u izvorniku.</w:t>
      </w:r>
    </w:p>
    <w:p w:rsidRDefault="00B07D2F" w:rsidP="00B07D2F" w:rsidR="00B07D2F" w:rsidRPr="00B07D2F">
      <w:pPr>
        <w:spacing w:after="0"/>
        <w:jc w:val="both"/>
        <w:rPr>
          <w:rFonts w:cs="Times New Roman" w:eastAsia="Times New Roman"/>
        </w:rPr>
      </w:pPr>
    </w:p>
    <w:p w:rsidRDefault="00B07D2F" w:rsidP="00B07D2F" w:rsidR="00B07D2F" w:rsidRPr="00B07D2F">
      <w:pPr>
        <w:spacing w:after="0"/>
        <w:jc w:val="both"/>
        <w:rPr>
          <w:rFonts w:cs="Times New Roman" w:eastAsia="Times New Roman"/>
        </w:rPr>
      </w:pPr>
      <w:r w:rsidRPr="00B07D2F">
        <w:rPr>
          <w:rFonts w:cs="Times New Roman" w:eastAsia="Times New Roman"/>
        </w:rPr>
        <w:tab/>
        <w:t>Podneskom od 26. rujna 2018. stečajni upravitelj Ivan Gjurašić je obavijestio sud da je Financijska agencija na svojim službenim mrežnim stranicama 25.09.2018. objavila poziv kojim se stečajni upravitelj u ime i za račun stečajnog dužnika Stečajne mase iza Dignatio d.o.o. u stečaju poziva na uplatu predujma za pokriće troškova prodaje elektroničkom javnom dražbom u ukupnom iznosu od 2.800,00 kn. Budući da na računu dužnika nema novčanih sredstava, stečajni upravitelj je predložio sudu odrediti da nije dužan platiti taj predujam prije nego što predmet prodaje bude unovčen. Iz dostavljenog poziva Financijske agencije Klase: O/110-10/18-01/1470, Ur.br.: 07-01-18-5 od 25.09.2018. razvidno je i da je u istom navedeno da ako stečajni upravitelj u roku od 8 dana u cijelosti ne predujmi troškove, da Agencija u tom slučaju neće provesti prodaju, već će o neizvršenoj uplati obavijestiti sud koji će donijeti odluku o daljnjem tijeku postupka.</w:t>
      </w:r>
    </w:p>
    <w:p w:rsidRDefault="00B07D2F" w:rsidP="00B07D2F" w:rsidR="00B07D2F" w:rsidRPr="00B07D2F">
      <w:pPr>
        <w:spacing w:after="0"/>
        <w:jc w:val="both"/>
        <w:rPr>
          <w:rFonts w:cs="Times New Roman" w:eastAsia="Times New Roman"/>
        </w:rPr>
      </w:pPr>
    </w:p>
    <w:p w:rsidRDefault="00B07D2F" w:rsidP="00B07D2F" w:rsidR="00B07D2F" w:rsidRPr="00B07D2F">
      <w:pPr>
        <w:spacing w:after="0"/>
        <w:ind w:firstLine="708"/>
        <w:jc w:val="both"/>
        <w:rPr>
          <w:rFonts w:cs="Times New Roman" w:eastAsia="Times New Roman"/>
        </w:rPr>
      </w:pPr>
      <w:r w:rsidRPr="00B07D2F">
        <w:rPr>
          <w:rFonts w:cs="Times New Roman" w:eastAsia="Times New Roman"/>
        </w:rPr>
        <w:t xml:space="preserve">Prema Pravilniku o načinu i postupku provedbe prodaje nekretnina i pokretnina u ovršnom postupku (Narodne novine broj 156/14, dalje Pravilnik) Financijska agencija će pozvati ovrhovoditelja na plaćanje predujma za troškove provedbe prodaje elektroničkom javnom dražbom. </w:t>
      </w:r>
    </w:p>
    <w:p w:rsidRDefault="00B07D2F" w:rsidP="00B07D2F" w:rsidR="00B07D2F" w:rsidRPr="00B07D2F">
      <w:pPr>
        <w:spacing w:after="0"/>
        <w:ind w:firstLine="708"/>
        <w:jc w:val="both"/>
        <w:rPr>
          <w:rFonts w:cs="Times New Roman" w:eastAsia="Times New Roman"/>
        </w:rPr>
      </w:pPr>
    </w:p>
    <w:p w:rsidRDefault="00B07D2F" w:rsidP="00B07D2F" w:rsidR="00B07D2F" w:rsidRPr="00B07D2F">
      <w:pPr>
        <w:spacing w:after="0"/>
        <w:ind w:firstLine="708"/>
        <w:jc w:val="both"/>
        <w:rPr>
          <w:rFonts w:cs="Times New Roman" w:eastAsia="Times New Roman"/>
        </w:rPr>
      </w:pPr>
      <w:r w:rsidRPr="00B07D2F">
        <w:rPr>
          <w:rFonts w:cs="Times New Roman" w:eastAsia="Times New Roman"/>
        </w:rPr>
        <w:t xml:space="preserve">U konkretnom slučaju prodaja nekretnine (na kojoj postoji razlučno pravo) provodi se u stečajnom postupku, a sukladno odredbama čl. 247. SZ-a takvu prodaju provodi Financijska agencija elektroničkom javnom dražbom. Dakle, radi se o zakonom propisanom načinu prodaje imovine (nekretnine) stečajnog dužnika. U ovom predmetu prodaje stečajni dužnik, stečajni upravitelj, a posebno sud koji je podnio zahtjev za prodaju nemaju status ovrhovoditelja, jer je stečajni postupak generalna ovrha pa stečajni dužnik može imati samo status ovršenika. Kako se dakle radi o zakonskoj obvezi unovčenja nekretnine (stečajne mase), a ne o slobodnom raspolaganju ovrhovoditelja (koji status ovrhovoditelja u tom slučaju nema stečajni dužnik niti tijela stečajnog postupka) to stoga Financijska agencija nema osnov za uvjetovanje provođenja elektronske javne dražbe prethodnom uplatom predujma za pokriće predviđenih troškova provedbe prodaje, a od strane ovrhovoditelja, već je dužna postupiti po zaključku suda, sukladno Stečajnom zakonu koji je u ovom slučaju lex specialis (tako i VTSRH u rješenju broj 74. Pž-4165/2016-2 od 12. srpnja 2016.). </w:t>
      </w:r>
    </w:p>
    <w:p w:rsidRDefault="00B07D2F" w:rsidP="00B07D2F" w:rsidR="00B07D2F" w:rsidRPr="00B07D2F">
      <w:pPr>
        <w:spacing w:after="0"/>
        <w:jc w:val="both"/>
        <w:rPr>
          <w:rFonts w:cs="Times New Roman" w:eastAsia="Times New Roman"/>
        </w:rPr>
      </w:pPr>
    </w:p>
    <w:p w:rsidRDefault="00B07D2F" w:rsidP="00B07D2F" w:rsidR="00B07D2F" w:rsidRPr="00B07D2F">
      <w:pPr>
        <w:spacing w:after="0"/>
        <w:jc w:val="both"/>
        <w:rPr>
          <w:rFonts w:cs="Times New Roman" w:eastAsia="Times New Roman"/>
        </w:rPr>
      </w:pPr>
      <w:r w:rsidRPr="00B07D2F">
        <w:rPr>
          <w:rFonts w:cs="Times New Roman" w:eastAsia="Times New Roman"/>
        </w:rPr>
        <w:tab/>
        <w:t xml:space="preserve">O rezultatu provedene prodaje (unovčenja) Financijska agencija će obavijestiti nadležni sud uz dostavu obrazloženih troškova provedene elektronske dražbe (sukladno Pravilniku), sukladno čemu će se iz iznosa ostvarenoga prodajom namiriti troškovi unovčenja (čl. 248. st. 1. SZ-a) pa tako i troškovi Financijske agencije. </w:t>
      </w:r>
    </w:p>
    <w:p w:rsidRDefault="00B07D2F" w:rsidP="00B07D2F" w:rsidR="00B07D2F" w:rsidRPr="00B07D2F">
      <w:pPr>
        <w:spacing w:after="0"/>
        <w:jc w:val="both"/>
        <w:rPr>
          <w:rFonts w:cs="Times New Roman" w:eastAsia="Times New Roman"/>
        </w:rPr>
      </w:pPr>
    </w:p>
    <w:p w:rsidRDefault="00B07D2F" w:rsidP="00B07D2F" w:rsidR="00B07D2F" w:rsidRPr="00B07D2F">
      <w:pPr>
        <w:spacing w:after="0"/>
        <w:jc w:val="both"/>
        <w:rPr>
          <w:rFonts w:cs="Times New Roman" w:eastAsia="Times New Roman"/>
        </w:rPr>
      </w:pPr>
      <w:r w:rsidRPr="00B07D2F">
        <w:rPr>
          <w:rFonts w:cs="Times New Roman" w:eastAsia="Times New Roman"/>
        </w:rPr>
        <w:tab/>
        <w:t>Slijedom navedenog, odlučeno je kao u izreci ovog zaključka.</w:t>
      </w:r>
    </w:p>
    <w:p w:rsidRDefault="00B07D2F" w:rsidP="00B07D2F" w:rsidR="00B07D2F" w:rsidRPr="00B07D2F">
      <w:pPr>
        <w:spacing w:after="0"/>
        <w:jc w:val="both"/>
        <w:rPr>
          <w:rFonts w:cs="Times New Roman" w:eastAsia="Times New Roman"/>
        </w:rPr>
      </w:pPr>
    </w:p>
    <w:p w:rsidRDefault="00B07D2F" w:rsidP="00B07D2F" w:rsidR="00B07D2F" w:rsidRPr="00B07D2F">
      <w:pPr>
        <w:spacing w:after="0"/>
        <w:jc w:val="center"/>
        <w:rPr>
          <w:rFonts w:cs="Times New Roman" w:eastAsia="Times New Roman"/>
          <w:sz w:val="16"/>
          <w:szCs w:val="16"/>
        </w:rPr>
      </w:pPr>
      <w:r w:rsidRPr="00B07D2F">
        <w:rPr>
          <w:rFonts w:cs="Times New Roman" w:eastAsia="Times New Roman"/>
        </w:rPr>
        <w:t xml:space="preserve">U Splitu, 27. rujna 2018. </w:t>
      </w:r>
    </w:p>
    <w:p w:rsidRDefault="00B07D2F" w:rsidP="00B07D2F" w:rsidR="00B07D2F" w:rsidRPr="00B07D2F">
      <w:pPr>
        <w:spacing w:after="0"/>
        <w:ind w:left="4956"/>
        <w:jc w:val="center"/>
        <w:rPr>
          <w:rFonts w:cs="Times New Roman" w:eastAsia="Times New Roman"/>
          <w:lang w:val="en-US"/>
        </w:rPr>
      </w:pPr>
      <w:r w:rsidRPr="00B07D2F">
        <w:rPr>
          <w:rFonts w:cs="Times New Roman" w:eastAsia="Times New Roman"/>
          <w:lang w:val="en-US"/>
        </w:rPr>
        <w:t>Sudac</w:t>
      </w:r>
    </w:p>
    <w:p w:rsidRDefault="00B07D2F" w:rsidP="00B07D2F" w:rsidR="00B07D2F" w:rsidRPr="00B07D2F">
      <w:pPr>
        <w:spacing w:after="0"/>
        <w:ind w:left="4956"/>
        <w:jc w:val="center"/>
        <w:rPr>
          <w:rFonts w:cs="Times New Roman" w:eastAsia="Times New Roman"/>
          <w:lang w:val="en-US"/>
        </w:rPr>
      </w:pPr>
      <w:r w:rsidRPr="00B07D2F">
        <w:rPr>
          <w:rFonts w:cs="Times New Roman" w:eastAsia="Times New Roman"/>
          <w:lang w:val="en-US"/>
        </w:rPr>
        <w:t>Paško Bačić, v.r.</w:t>
      </w:r>
    </w:p>
    <w:p w:rsidRDefault="00B07D2F" w:rsidP="00B07D2F" w:rsidR="00B07D2F" w:rsidRPr="00B07D2F">
      <w:pPr>
        <w:spacing w:after="0"/>
        <w:ind w:left="4956"/>
        <w:jc w:val="center"/>
        <w:rPr>
          <w:rFonts w:cs="Times New Roman" w:eastAsia="Times New Roman"/>
          <w:lang w:val="en-US"/>
        </w:rPr>
      </w:pPr>
      <w:r w:rsidRPr="00B07D2F">
        <w:rPr>
          <w:rFonts w:cs="Times New Roman" w:eastAsia="Times New Roman"/>
          <w:lang w:val="en-US"/>
        </w:rPr>
        <w:t>za točnost otpravka-ovlašteni službenik</w:t>
      </w:r>
    </w:p>
    <w:p w:rsidRDefault="00B07D2F" w:rsidP="00B07D2F" w:rsidR="00B07D2F" w:rsidRPr="00B07D2F">
      <w:pPr>
        <w:spacing w:after="0"/>
        <w:ind w:firstLine="708" w:left="5664"/>
        <w:rPr>
          <w:rFonts w:cs="Times New Roman" w:eastAsia="Times New Roman"/>
          <w:lang w:val="en-US"/>
        </w:rPr>
      </w:pPr>
      <w:r w:rsidRPr="00B07D2F">
        <w:rPr>
          <w:rFonts w:cs="Times New Roman" w:eastAsia="Times New Roman"/>
          <w:lang w:val="en-US"/>
        </w:rPr>
        <w:t xml:space="preserve"> Vesna Čargo</w:t>
      </w:r>
    </w:p>
    <w:p w:rsidRDefault="00B07D2F" w:rsidP="00B07D2F" w:rsidR="00B07D2F" w:rsidRPr="00B07D2F">
      <w:pPr>
        <w:spacing w:after="0"/>
        <w:ind w:firstLine="708" w:left="7080"/>
        <w:rPr>
          <w:rFonts w:cs="Times New Roman" w:eastAsia="Times New Roman"/>
          <w:u w:val="single"/>
        </w:rPr>
      </w:pPr>
    </w:p>
    <w:p w:rsidRDefault="00B07D2F" w:rsidP="00B07D2F" w:rsidR="00B07D2F" w:rsidRPr="00B07D2F">
      <w:pPr>
        <w:spacing w:after="0"/>
        <w:jc w:val="both"/>
        <w:rPr>
          <w:rFonts w:cs="Times New Roman" w:eastAsia="Times New Roman"/>
        </w:rPr>
      </w:pPr>
      <w:r w:rsidRPr="00B07D2F">
        <w:rPr>
          <w:rFonts w:cs="Times New Roman" w:eastAsia="Times New Roman"/>
        </w:rPr>
        <w:t xml:space="preserve">Pouka o pravnom lijeku: </w:t>
      </w:r>
    </w:p>
    <w:p w:rsidRDefault="00B07D2F" w:rsidP="00B07D2F" w:rsidR="00B07D2F" w:rsidRPr="00B07D2F">
      <w:pPr>
        <w:spacing w:after="0"/>
        <w:jc w:val="both"/>
        <w:rPr>
          <w:rFonts w:cs="Times New Roman" w:eastAsia="Times New Roman"/>
        </w:rPr>
      </w:pPr>
      <w:r w:rsidRPr="00B07D2F">
        <w:rPr>
          <w:rFonts w:cs="Times New Roman" w:eastAsia="Times New Roman"/>
        </w:rPr>
        <w:t>Protiv ovog zaključka žalba nije dopuštena.</w:t>
      </w:r>
    </w:p>
    <w:p w:rsidRDefault="00B07D2F" w:rsidP="00B07D2F" w:rsidR="00B07D2F" w:rsidRPr="00B07D2F">
      <w:pPr>
        <w:spacing w:after="0"/>
        <w:jc w:val="both"/>
        <w:rPr>
          <w:rFonts w:cs="Times New Roman" w:eastAsia="Times New Roman"/>
        </w:rPr>
      </w:pPr>
    </w:p>
    <w:p w:rsidRDefault="00B07D2F" w:rsidP="00B07D2F" w:rsidR="00B07D2F" w:rsidRPr="00B07D2F">
      <w:pPr>
        <w:spacing w:after="0"/>
        <w:jc w:val="both"/>
        <w:rPr>
          <w:rFonts w:cs="Times New Roman" w:eastAsia="Times New Roman"/>
        </w:rPr>
      </w:pPr>
    </w:p>
    <w:p w:rsidRDefault="00B07D2F" w:rsidP="00B07D2F" w:rsidR="00B07D2F" w:rsidRPr="00B07D2F">
      <w:pPr>
        <w:spacing w:after="0"/>
        <w:jc w:val="both"/>
        <w:rPr>
          <w:rFonts w:cs="Times New Roman" w:eastAsia="Times New Roman"/>
        </w:rPr>
      </w:pPr>
    </w:p>
    <w:p w:rsidRDefault="00B07D2F" w:rsidP="00B07D2F" w:rsidR="00B07D2F" w:rsidRPr="00B07D2F">
      <w:pPr>
        <w:spacing w:after="0"/>
        <w:jc w:val="both"/>
        <w:rPr>
          <w:rFonts w:cs="Times New Roman" w:eastAsia="Times New Roman"/>
        </w:rPr>
      </w:pPr>
    </w:p>
    <w:p w:rsidRDefault="00B07D2F" w:rsidP="00B07D2F" w:rsidR="00B07D2F" w:rsidRPr="00B07D2F">
      <w:pPr>
        <w:spacing w:after="0"/>
        <w:jc w:val="both"/>
        <w:rPr>
          <w:rFonts w:cs="Times New Roman" w:eastAsia="Times New Roman"/>
        </w:rPr>
      </w:pPr>
    </w:p>
    <w:p w:rsidRDefault="00B07D2F" w:rsidP="00B07D2F" w:rsidR="00B07D2F" w:rsidRPr="00B07D2F">
      <w:pPr>
        <w:spacing w:after="0"/>
        <w:jc w:val="both"/>
        <w:rPr>
          <w:rFonts w:cs="Times New Roman" w:eastAsia="Times New Roman"/>
        </w:rPr>
      </w:pPr>
    </w:p>
    <w:p w:rsidRDefault="00B07D2F" w:rsidP="00B07D2F" w:rsidR="00B07D2F" w:rsidRPr="00B07D2F">
      <w:pPr>
        <w:spacing w:after="0"/>
        <w:jc w:val="both"/>
        <w:rPr>
          <w:rFonts w:cs="Times New Roman" w:eastAsia="Times New Roman"/>
        </w:rPr>
      </w:pPr>
    </w:p>
    <w:p w:rsidRDefault="00B07D2F" w:rsidP="00B07D2F" w:rsidR="00B07D2F" w:rsidRPr="00B07D2F">
      <w:pPr>
        <w:spacing w:after="0"/>
        <w:jc w:val="both"/>
        <w:rPr>
          <w:rFonts w:cs="Times New Roman" w:eastAsia="Times New Roman"/>
        </w:rPr>
      </w:pPr>
    </w:p>
    <w:p w:rsidRDefault="00B07D2F" w:rsidP="00B07D2F" w:rsidR="00B07D2F" w:rsidRPr="00B07D2F">
      <w:pPr>
        <w:spacing w:after="0"/>
        <w:jc w:val="both"/>
        <w:rPr>
          <w:rFonts w:cs="Times New Roman" w:eastAsia="Times New Roman"/>
        </w:rPr>
      </w:pPr>
    </w:p>
    <w:p w:rsidRDefault="00B07D2F" w:rsidP="00B07D2F" w:rsidR="00B07D2F" w:rsidRPr="00B07D2F">
      <w:pPr>
        <w:spacing w:after="0"/>
        <w:jc w:val="both"/>
        <w:rPr>
          <w:rFonts w:cs="Times New Roman" w:eastAsia="Times New Roman"/>
        </w:rPr>
      </w:pPr>
    </w:p>
    <w:p w:rsidRDefault="00B07D2F" w:rsidP="00B07D2F" w:rsidR="00B07D2F" w:rsidRPr="00B07D2F">
      <w:pPr>
        <w:spacing w:after="0"/>
        <w:jc w:val="both"/>
        <w:rPr>
          <w:rFonts w:cs="Times New Roman" w:eastAsia="Times New Roman"/>
        </w:rPr>
      </w:pPr>
    </w:p>
    <w:p w:rsidRDefault="00B07D2F" w:rsidP="00B07D2F" w:rsidR="00B07D2F" w:rsidRPr="00B07D2F">
      <w:pPr>
        <w:spacing w:after="0"/>
        <w:jc w:val="both"/>
        <w:rPr>
          <w:rFonts w:cs="Times New Roman" w:eastAsia="Times New Roman"/>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07D2F"/>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2304283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rujna 2018.</izvorni_sadrzaj>
    <derivirana_varijabla naziv="DomainObject.DatumDonosenjaOdluke_1">27.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St-988/2017-33</izvorni_sadrzaj>
    <derivirana_varijabla naziv="DomainObject.Oznaka_1">St-988/2017-33</derivirana_varijabla>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988</izvorni_sadrzaj>
    <derivirana_varijabla naziv="DomainObject.Predmet.Broj_1">988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2017.</izvorni_sadrzaj>
    <derivirana_varijabla naziv="DomainObject.Predmet.DatumOsnivanja_1">23.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po stečajnoj masi</izvorni_sadrzaj>
    <derivirana_varijabla naziv="DomainObject.Predmet.Opis_1">Nastavak postupka po stečajnoj masi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St-988/2017</izvorni_sadrzaj>
    <derivirana_varijabla naziv="DomainObject.Predmet.OznakaBroj_1">St-988/2017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DIGNATIO d.o.o. za građenje i usluge u stečaju</izvorni_sadrzaj>
    <derivirana_varijabla naziv="DomainObject.Predmet.ProtustrankaFormated_1">  Stečajna masa iza DIGNATIO d.o.o. za građenje i usluge u stečaju</derivirana_varijabla>
  </DomainObject.Predmet.ProtustrankaFormated>
  <DomainObject.Predmet.ProtustrankaFormatedOIB>
    <izvorni_sadrzaj>  Stečajna masa iza DIGNATIO d.o.o. za građenje i usluge u stečaju, OIB 53863842883</izvorni_sadrzaj>
    <derivirana_varijabla naziv="DomainObject.Predmet.ProtustrankaFormatedOIB_1">  Stečajna masa iza DIGNATIO d.o.o. za građenje i usluge u stečaju, OIB 53863842883</derivirana_varijabla>
  </DomainObject.Predmet.ProtustrankaFormatedOIB>
  <DomainObject.Predmet.ProtustrankaFormatedWithAdress>
    <izvorni_sadrzaj> Stečajna masa iza DIGNATIO d.o.o. za građenje i usluge u stečaju, Petrinjska 28, 10000 Zagreb</izvorni_sadrzaj>
    <derivirana_varijabla naziv="DomainObject.Predmet.ProtustrankaFormatedWithAdress_1"> Stečajna masa iza DIGNATIO d.o.o. za građenje i usluge u stečaju, Petrinjska 28, 10000 Zagreb</derivirana_varijabla>
  </DomainObject.Predmet.ProtustrankaFormatedWithAdress>
  <DomainObject.Predmet.ProtustrankaFormatedWithAdressOIB>
    <izvorni_sadrzaj> Stečajna masa iza DIGNATIO d.o.o. za građenje i usluge u stečaju, OIB 53863842883, Petrinjska 28, 10000 Zagreb</izvorni_sadrzaj>
    <derivirana_varijabla naziv="DomainObject.Predmet.ProtustrankaFormatedWithAdressOIB_1"> Stečajna masa iza DIGNATIO d.o.o. za građenje i usluge u stečaju, OIB 53863842883, Petrinjska 28, 10000 Zagreb</derivirana_varijabla>
  </DomainObject.Predmet.ProtustrankaFormatedWithAdressOIB>
  <DomainObject.Predmet.ProtustrankaWithAdress>
    <izvorni_sadrzaj>Stečajna masa iza DIGNATIO d.o.o. za građenje i usluge u stečaju Petrinjska 28, 10000 Zagreb</izvorni_sadrzaj>
    <derivirana_varijabla naziv="DomainObject.Predmet.ProtustrankaWithAdress_1">Stečajna masa iza DIGNATIO d.o.o. za građenje i usluge u stečaju Petrinjska 28, 10000 Zagreb</derivirana_varijabla>
  </DomainObject.Predmet.ProtustrankaWithAdress>
  <DomainObject.Predmet.ProtustrankaWithAdressOIB>
    <izvorni_sadrzaj>Stečajna masa iza DIGNATIO d.o.o. za građenje i usluge u stečaju, OIB 53863842883, Petrinjska 28, 10000 Zagreb</izvorni_sadrzaj>
    <derivirana_varijabla naziv="DomainObject.Predmet.ProtustrankaWithAdressOIB_1">Stečajna masa iza DIGNATIO d.o.o. za građenje i usluge u stečaju, OIB 53863842883, Petrinjska 28, 10000 Zagreb</derivirana_varijabla>
  </DomainObject.Predmet.ProtustrankaWithAdressOIB>
  <DomainObject.Predmet.ProtustrankaNazivFormated>
    <izvorni_sadrzaj>Stečajna masa iza DIGNATIO d.o.o. za građenje i usluge u stečaju</izvorni_sadrzaj>
    <derivirana_varijabla naziv="DomainObject.Predmet.ProtustrankaNazivFormated_1">Stečajna masa iza DIGNATIO d.o.o. za građenje i usluge u stečaju</derivirana_varijabla>
  </DomainObject.Predmet.ProtustrankaNazivFormated>
  <DomainObject.Predmet.ProtustrankaNazivFormatedOIB>
    <izvorni_sadrzaj>Stečajna masa iza DIGNATIO d.o.o. za građenje i usluge u stečaju, OIB 53863842883</izvorni_sadrzaj>
    <derivirana_varijabla naziv="DomainObject.Predmet.ProtustrankaNazivFormatedOIB_1">Stečajna masa iza DIGNATIO d.o.o. za građenje i usluge u stečaju, OIB 53863842883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Stečajna masa iza DIGNATIO d.o.o. za građenje i usluge u stečaju</item>
    </izvorni_sadrzaj>
    <derivirana_varijabla naziv="DomainObject.Predmet.ProtuStrankaListFormated_1">
      <item>Stečajna masa iza DIGNATIO d.o.o. za građenje i usluge u stečaju</item>
    </derivirana_varijabla>
  </DomainObject.Predmet.ProtuStrankaListFormated>
  <DomainObject.Predmet.ProtuStrankaListFormatedOIB>
    <izvorni_sadrzaj>
      <item>Stečajna masa iza DIGNATIO d.o.o. za građenje i usluge u stečaju, OIB 53863842883</item>
    </izvorni_sadrzaj>
    <derivirana_varijabla naziv="DomainObject.Predmet.ProtuStrankaListFormatedOIB_1">
      <item>Stečajna masa iza DIGNATIO d.o.o. za građenje i usluge u stečaju, OIB 53863842883</item>
    </derivirana_varijabla>
  </DomainObject.Predmet.ProtuStrankaListFormatedOIB>
  <DomainObject.Predmet.ProtuStrankaListFormatedWithAdress>
    <izvorni_sadrzaj>
      <item>Stečajna masa iza DIGNATIO d.o.o. za građenje i usluge u stečaju, Petrinjska 28, 10000 Zagreb</item>
    </izvorni_sadrzaj>
    <derivirana_varijabla naziv="DomainObject.Predmet.ProtuStrankaListFormatedWithAdress_1">
      <item>Stečajna masa iza DIGNATIO d.o.o. za građenje i usluge u stečaju, Petrinjska 28, 10000 Zagreb</item>
    </derivirana_varijabla>
  </DomainObject.Predmet.ProtuStrankaListFormatedWithAdress>
  <DomainObject.Predmet.ProtuStrankaListFormatedWithAdressOIB>
    <izvorni_sadrzaj>
      <item>Stečajna masa iza DIGNATIO d.o.o. za građenje i usluge u stečaju, OIB 53863842883, Petrinjska 28, 10000 Zagreb</item>
    </izvorni_sadrzaj>
    <derivirana_varijabla naziv="DomainObject.Predmet.ProtuStrankaListFormatedWithAdressOIB_1">
      <item>Stečajna masa iza DIGNATIO d.o.o. za građenje i usluge u stečaju, OIB 53863842883, Petrinjska 28, 10000 Zagreb</item>
    </derivirana_varijabla>
  </DomainObject.Predmet.ProtuStrankaListFormatedWithAdressOIB>
  <DomainObject.Predmet.ProtuStrankaListNazivFormated>
    <izvorni_sadrzaj>
      <item>Stečajna masa iza DIGNATIO d.o.o. za građenje i usluge u stečaju</item>
    </izvorni_sadrzaj>
    <derivirana_varijabla naziv="DomainObject.Predmet.ProtuStrankaListNazivFormated_1">
      <item>Stečajna masa iza DIGNATIO d.o.o. za građenje i usluge u stečaju</item>
    </derivirana_varijabla>
  </DomainObject.Predmet.ProtuStrankaListNazivFormated>
  <DomainObject.Predmet.ProtuStrankaListNazivFormatedOIB>
    <izvorni_sadrzaj>
      <item>Stečajna masa iza DIGNATIO d.o.o. za građenje i usluge u stečaju, OIB 53863842883</item>
    </izvorni_sadrzaj>
    <derivirana_varijabla naziv="DomainObject.Predmet.ProtuStrankaListNazivFormatedOIB_1">
      <item>Stečajna masa iza DIGNATIO d.o.o. za građenje i usluge u stečaju, OIB 53863842883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2018.</izvorni_sadrzaj>
    <derivirana_varijabla naziv="DomainObject.Datum_1">27. rujna 2018.</derivirana_varijabla>
  </DomainObject.Datum>
  <DomainObject.PoslovniBrojDokumenta>
    <izvorni_sadrzaj>St-988/2017-33</izvorni_sadrzaj>
    <derivirana_varijabla naziv="DomainObject.PoslovniBrojDokumenta_1">St-988/2017-33</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Stečajna masa iza DIGNATIO d.o.o. za građenje i usluge u stečaju</izvorni_sadrzaj>
    <derivirana_varijabla naziv="DomainObject.Predmet.ProtustrankaIDrugi_1">Stečajna masa iza DIGNATIO d.o.o. za građenje i usluge u stečaju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Stečajna masa iza DIGNATIO d.o.o. za građenje i usluge u stečaju, OIB 53863842883, Petrinjska 28, 10000 Zagreb</izvorni_sadrzaj>
    <derivirana_varijabla naziv="DomainObject.Predmet.ProtustrankaIDrugiAdressOIB_1">Stečajna masa iza DIGNATIO d.o.o. za građenje i usluge u stečaju, OIB 53863842883, Petrinjska 28,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DIGNATIO d.o.o. za građenje i usluge u stečaju</item>
      <item>FINANCIJSKA AGENCIJA, RC SPLIT</item>
    </izvorni_sadrzaj>
    <derivirana_varijabla naziv="DomainObject.Predmet.SudioniciListNaziv_1">
      <item>Stečajna masa iza DIGNATIO d.o.o. za građenje i usluge u stečaju</item>
      <item>FINANCIJSKA AGENCIJA, RC SPLIT</item>
    </derivirana_varijabla>
  </DomainObject.Predmet.SudioniciListNaziv>
  <DomainObject.Predmet.SudioniciListAdressOIB>
    <izvorni_sadrzaj>
      <item>Stečajna masa iza DIGNATIO d.o.o. za građenje i usluge u stečaju, OIB 53863842883, Petrinjska 28,10000 Zagreb</item>
      <item>FINANCIJSKA AGENCIJA, RC SPLIT, OIB 85821130368, Mažuranićevo šetalište 24 b,21000 Split</item>
    </izvorni_sadrzaj>
    <derivirana_varijabla naziv="DomainObject.Predmet.SudioniciListAdressOIB_1">
      <item>Stečajna masa iza DIGNATIO d.o.o. za građenje i usluge u stečaju, OIB 53863842883, Petrinjska 28,10000 Zagreb</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C84A69D-233F-4159-8202-325F2B36AA4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813</properties:Words>
  <properties:Characters>4671</properties:Characters>
  <properties:Lines>112</properties:Lines>
  <properties:Paragraphs>26</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5566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Paško Bačić</cp:lastModifiedBy>
  <dcterms:modified xmlns:xsi="http://www.w3.org/2001/XMLSchema-instance" xsi:type="dcterms:W3CDTF">2018-09-27T11:23:00Z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St-988/2017-33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