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7c1e0" w14:paraId="a17c1e0" w:rsidRDefault="00CA5162" w:rsidP="00CA5162" w:rsidR="00CA5162">
      <w:pPr>
        <w:pStyle w:val="SudNaziv"/>
        <w15:collapsed w:val="false"/>
        <w:rPr>
          <w:rFonts w:cs="Times New Roman" w:eastAsia="Times New Roman"/>
          <w:lang w:eastAsia="hr-HR"/>
        </w:rPr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Pr="00CA5162">
        <w:rPr>
          <w:rFonts w:cs="Times New Roman" w:eastAsia="Times New Roman"/>
          <w:lang w:eastAsia="hr-HR"/>
        </w:rPr>
        <w:tab/>
      </w:r>
      <w:r w:rsidRPr="00CA5162">
        <w:rPr>
          <w:rFonts w:cs="Times New Roman" w:eastAsia="Times New Roman"/>
          <w:lang w:eastAsia="hr-HR"/>
        </w:rPr>
        <w:tab/>
      </w:r>
      <w:r w:rsidRPr="00CA5162">
        <w:rPr>
          <w:rFonts w:cs="Times New Roman" w:eastAsia="Times New Roman"/>
          <w:lang w:eastAsia="hr-HR"/>
        </w:rPr>
        <w:tab/>
      </w:r>
      <w:r w:rsidRPr="00CA5162">
        <w:rPr>
          <w:rFonts w:cs="Times New Roman" w:eastAsia="Times New Roman"/>
          <w:lang w:eastAsia="hr-HR"/>
        </w:rPr>
        <w:tab/>
      </w:r>
      <w:r w:rsidRPr="00CA5162">
        <w:rPr>
          <w:rFonts w:cs="Times New Roman" w:eastAsia="Times New Roman"/>
          <w:lang w:eastAsia="hr-HR"/>
        </w:rPr>
        <w:tab/>
      </w:r>
      <w:r w:rsidRPr="00CA5162">
        <w:rPr>
          <w:rFonts w:cs="Times New Roman" w:eastAsia="Times New Roman"/>
          <w:lang w:eastAsia="hr-HR"/>
        </w:rPr>
        <w:tab/>
      </w:r>
      <w:r w:rsidRPr="00CA5162">
        <w:rPr>
          <w:rFonts w:cs="Times New Roman" w:eastAsia="Times New Roman"/>
          <w:lang w:eastAsia="hr-HR"/>
        </w:rPr>
        <w:tab/>
      </w:r>
      <w:r w:rsidRPr="00CA5162">
        <w:rPr>
          <w:rFonts w:cs="Times New Roman" w:eastAsia="Times New Roman"/>
          <w:lang w:eastAsia="hr-HR"/>
        </w:rPr>
        <w:tab/>
      </w:r>
      <w:r w:rsidRPr="00CA5162">
        <w:rPr>
          <w:rFonts w:cs="Times New Roman" w:eastAsia="Times New Roman"/>
          <w:lang w:eastAsia="hr-HR"/>
        </w:rPr>
        <w:tab/>
      </w:r>
      <w:r w:rsidRPr="00CA5162">
        <w:rPr>
          <w:rFonts w:cs="Times New Roman" w:eastAsia="Times New Roman"/>
          <w:lang w:eastAsia="hr-HR"/>
        </w:rPr>
        <w:tab/>
      </w:r>
    </w:p>
    <w:p w:rsidRDefault="00CA5162" w:rsidP="00CA5162" w:rsidR="00CA5162" w:rsidRPr="00CA5162">
      <w:pPr>
        <w:spacing w:after="0"/>
        <w:rPr>
          <w:rFonts w:cs="Times New Roman" w:eastAsia="Times New Roman"/>
          <w:b/>
          <w:lang w:eastAsia="hr-HR"/>
        </w:rPr>
      </w:pPr>
      <w:r w:rsidRPr="00CA5162">
        <w:rPr>
          <w:rFonts w:cs="Times New Roman" w:eastAsia="Times New Roman"/>
          <w:b/>
          <w:lang w:eastAsia="hr-HR"/>
        </w:rPr>
        <w:t xml:space="preserve">  REPUBLIKA HRVATSKA</w:t>
      </w:r>
    </w:p>
    <w:p w:rsidRDefault="00CA5162" w:rsidP="00CA5162" w:rsidR="00CA5162" w:rsidRPr="00CA5162">
      <w:pPr>
        <w:spacing w:after="0"/>
        <w:rPr>
          <w:rFonts w:cs="Times New Roman" w:eastAsia="Times New Roman"/>
          <w:b/>
          <w:lang w:eastAsia="hr-HR"/>
        </w:rPr>
      </w:pPr>
    </w:p>
    <w:p w:rsidRDefault="00CA5162" w:rsidP="00CA5162" w:rsidR="00CA5162" w:rsidRPr="00CA5162">
      <w:pPr>
        <w:spacing w:after="0"/>
        <w:rPr>
          <w:rFonts w:cs="Times New Roman" w:eastAsia="Times New Roman"/>
          <w:b/>
          <w:lang w:eastAsia="hr-HR"/>
        </w:rPr>
      </w:pPr>
      <w:r w:rsidRPr="00CA5162">
        <w:rPr>
          <w:rFonts w:cs="Times New Roman" w:eastAsia="Times New Roman"/>
          <w:b/>
          <w:lang w:eastAsia="hr-HR"/>
        </w:rPr>
        <w:t>TRGOVAČKI SUD U ZAGREBU</w:t>
      </w:r>
    </w:p>
    <w:p w:rsidRDefault="00CA5162" w:rsidP="00CA5162" w:rsidR="00CA5162" w:rsidRPr="00CA5162">
      <w:pPr>
        <w:spacing w:after="0"/>
        <w:rPr>
          <w:rFonts w:cs="Times New Roman" w:eastAsia="Times New Roman"/>
          <w:b/>
          <w:lang w:eastAsia="hr-HR"/>
        </w:rPr>
      </w:pPr>
      <w:r w:rsidRPr="00CA5162">
        <w:rPr>
          <w:rFonts w:cs="Times New Roman" w:eastAsia="Times New Roman"/>
          <w:b/>
          <w:lang w:eastAsia="hr-HR"/>
        </w:rPr>
        <w:t xml:space="preserve">           STALNA SLUŽBA </w:t>
      </w:r>
    </w:p>
    <w:p w:rsidRDefault="00CA5162" w:rsidP="00CA5162" w:rsidR="00CA5162" w:rsidRPr="00CA5162">
      <w:pPr>
        <w:spacing w:after="0"/>
        <w:rPr>
          <w:rFonts w:cs="Times New Roman" w:eastAsia="Times New Roman"/>
          <w:b/>
          <w:lang w:eastAsia="hr-HR"/>
        </w:rPr>
      </w:pPr>
      <w:r w:rsidRPr="00CA5162">
        <w:rPr>
          <w:rFonts w:cs="Times New Roman" w:eastAsia="Times New Roman"/>
          <w:b/>
          <w:lang w:eastAsia="hr-HR"/>
        </w:rPr>
        <w:t>Karlovac, Ljudevita Šestića 4</w:t>
      </w:r>
    </w:p>
    <w:p w:rsidRDefault="00CA5162" w:rsidP="00CA5162" w:rsidR="00CA5162" w:rsidRPr="00CA5162">
      <w:pPr>
        <w:spacing w:after="0"/>
        <w:rPr>
          <w:rFonts w:cs="Times New Roman" w:eastAsia="Times New Roman"/>
          <w:b/>
          <w:lang w:eastAsia="hr-HR"/>
        </w:rPr>
      </w:pPr>
    </w:p>
    <w:p w:rsidRDefault="00CA5162" w:rsidP="00CA5162" w:rsidR="00CA5162" w:rsidRPr="00CA5162">
      <w:pPr>
        <w:spacing w:after="0"/>
        <w:rPr>
          <w:rFonts w:cs="Times New Roman" w:eastAsia="Times New Roman"/>
          <w:b/>
          <w:lang w:eastAsia="hr-HR"/>
        </w:rPr>
      </w:pPr>
    </w:p>
    <w:p w:rsidRDefault="00CA5162" w:rsidP="00CA5162" w:rsidR="00CA5162" w:rsidRPr="00CA5162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CA5162">
        <w:rPr>
          <w:rFonts w:cs="Times New Roman" w:eastAsia="Times New Roman"/>
          <w:b/>
          <w:lang w:eastAsia="hr-HR"/>
        </w:rPr>
        <w:t>U IME REPUBLIKE HRVATSKE</w:t>
      </w:r>
    </w:p>
    <w:p w:rsidRDefault="00CA5162" w:rsidP="00CA5162" w:rsidR="00CA5162" w:rsidRPr="00CA5162">
      <w:pPr>
        <w:spacing w:after="0"/>
        <w:jc w:val="center"/>
        <w:rPr>
          <w:rFonts w:cs="Times New Roman" w:eastAsia="Times New Roman"/>
          <w:lang w:eastAsia="hr-HR"/>
        </w:rPr>
      </w:pPr>
      <w:r w:rsidRPr="00CA5162">
        <w:rPr>
          <w:rFonts w:cs="Times New Roman" w:eastAsia="Times New Roman"/>
          <w:lang w:eastAsia="hr-HR"/>
        </w:rPr>
        <w:tab/>
      </w:r>
    </w:p>
    <w:p w:rsidRDefault="00CA5162" w:rsidP="00CA5162" w:rsidR="00CA5162" w:rsidRPr="00CA5162">
      <w:pPr>
        <w:tabs>
          <w:tab w:pos="4050" w:val="left"/>
        </w:tabs>
        <w:spacing w:after="0"/>
        <w:jc w:val="center"/>
        <w:rPr>
          <w:rFonts w:cs="Times New Roman" w:eastAsia="Times New Roman"/>
          <w:b/>
          <w:lang w:eastAsia="hr-HR"/>
        </w:rPr>
      </w:pPr>
      <w:r w:rsidRPr="00CA5162">
        <w:rPr>
          <w:rFonts w:cs="Times New Roman" w:eastAsia="Times New Roman"/>
          <w:b/>
          <w:lang w:eastAsia="hr-HR"/>
        </w:rPr>
        <w:t>R J E Š E N J E</w:t>
      </w:r>
    </w:p>
    <w:p w:rsidRDefault="00CA5162" w:rsidP="00CA5162" w:rsidR="00CA5162" w:rsidRPr="00CA5162">
      <w:pPr>
        <w:spacing w:after="0"/>
        <w:rPr>
          <w:rFonts w:cs="Times New Roman" w:eastAsia="Times New Roman"/>
          <w:lang w:eastAsia="hr-HR"/>
        </w:rPr>
      </w:pPr>
    </w:p>
    <w:p w:rsidRDefault="00CA5162" w:rsidP="00CA5162" w:rsidR="00CA5162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CA5162">
        <w:rPr>
          <w:rFonts w:cs="Times New Roman" w:eastAsia="Times New Roman"/>
          <w:lang w:eastAsia="hr-HR"/>
        </w:rPr>
        <w:t>TRGOVAČKI SUD U ZAGREBU, Stalna služba,  po sucu Jadranki Mađeruh, kao stečajnom sucu, u stečajnom postupku nad stečajnim dužnikom POLIKLINIKA INTERNEURON d.o.o. Zagreb, Vlaška 126, OIB: 85084166209, dana 4. studenog 2015. godine</w:t>
      </w:r>
    </w:p>
    <w:p w:rsidRDefault="00CA5162" w:rsidP="00CA5162" w:rsidR="00CA5162" w:rsidRPr="00CA5162">
      <w:pPr>
        <w:spacing w:after="0"/>
        <w:ind w:firstLine="720"/>
        <w:jc w:val="both"/>
        <w:rPr>
          <w:rFonts w:cs="Times New Roman" w:eastAsia="Times New Roman"/>
          <w:lang w:eastAsia="hr-HR"/>
        </w:rPr>
      </w:pPr>
    </w:p>
    <w:p w:rsidRDefault="00CA5162" w:rsidP="00CA5162" w:rsidR="00CA5162" w:rsidRPr="00CA5162">
      <w:pPr>
        <w:spacing w:after="0"/>
        <w:jc w:val="center"/>
        <w:rPr>
          <w:rFonts w:cs="Times New Roman" w:eastAsia="Times New Roman"/>
          <w:lang w:eastAsia="hr-HR"/>
        </w:rPr>
      </w:pPr>
      <w:r w:rsidRPr="00CA5162">
        <w:rPr>
          <w:rFonts w:cs="Times New Roman" w:eastAsia="Times New Roman"/>
          <w:lang w:eastAsia="hr-HR"/>
        </w:rPr>
        <w:t>r i j e š i o     j e</w:t>
      </w:r>
    </w:p>
    <w:p w:rsidRDefault="00CA5162" w:rsidP="00CA5162" w:rsidR="00CA5162" w:rsidRPr="00CA5162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CA5162" w:rsidP="00CA5162" w:rsidR="00CA5162" w:rsidRPr="00CA5162">
      <w:pPr>
        <w:spacing w:after="0"/>
        <w:rPr>
          <w:rFonts w:cs="Times New Roman" w:eastAsia="Times New Roman"/>
          <w:lang w:eastAsia="hr-HR"/>
        </w:rPr>
      </w:pPr>
    </w:p>
    <w:p w:rsidRDefault="00CA5162" w:rsidP="00CA5162" w:rsidR="00CA5162" w:rsidRPr="00CA5162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CA5162">
        <w:rPr>
          <w:rFonts w:cs="Times New Roman" w:eastAsia="Times New Roman"/>
          <w:lang w:eastAsia="hr-HR"/>
        </w:rPr>
        <w:t>Otvara se stečajni postupak nad stečajnim dužnikom POLIKLINIKA INTERNEURON d.o.o. Zagreb, Vlaška 126, OIB: 85084166209,. Stečajni postupak je otvoren dana 4. studenog 2015. godine u 12,00 sati, kad je ovo rješenje i oglas o otvaranju stečajnog postupka istaknuto na e-oglasnoj ploči ovog suda.</w:t>
      </w:r>
    </w:p>
    <w:p w:rsidRDefault="00CA5162" w:rsidP="00CA5162" w:rsidR="00CA5162" w:rsidRPr="00CA5162">
      <w:pPr>
        <w:spacing w:after="0"/>
        <w:ind w:left="708"/>
        <w:jc w:val="both"/>
        <w:rPr>
          <w:rFonts w:cs="Times New Roman" w:eastAsia="Times New Roman"/>
          <w:lang w:eastAsia="hr-HR"/>
        </w:rPr>
      </w:pPr>
    </w:p>
    <w:p w:rsidRDefault="00CA5162" w:rsidP="00CA5162" w:rsidR="00CA5162" w:rsidRPr="00CA5162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CA5162">
        <w:rPr>
          <w:rFonts w:cs="Times New Roman" w:eastAsia="Times New Roman"/>
          <w:lang w:eastAsia="hr-HR"/>
        </w:rPr>
        <w:t>Stečajnim upraviteljem se imenuje Marija Vujčić-Turkulin, Zagreb, Vrtlarska 3, OIB: 22593287559.</w:t>
      </w:r>
    </w:p>
    <w:p w:rsidRDefault="00CA5162" w:rsidP="00CA5162" w:rsidR="00CA5162" w:rsidRPr="00CA5162">
      <w:pPr>
        <w:spacing w:after="0"/>
        <w:ind w:left="708"/>
        <w:jc w:val="both"/>
        <w:rPr>
          <w:rFonts w:cs="Times New Roman" w:eastAsia="Times New Roman"/>
          <w:lang w:eastAsia="hr-HR"/>
        </w:rPr>
      </w:pPr>
    </w:p>
    <w:p w:rsidRDefault="00CA5162" w:rsidP="00CA5162" w:rsidR="00CA5162" w:rsidRPr="00CA5162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CA5162">
        <w:rPr>
          <w:rFonts w:cs="Times New Roman" w:eastAsia="Times New Roman"/>
          <w:lang w:eastAsia="hr-HR"/>
        </w:rPr>
        <w:t>Zaključuje se stečajni postupak nad dužnikom POLIKLINIKA INTERNEURON d.o.o. Zagreb, Vlaška 126, OIB: 85084166209, s danom 4. studenog 2015. godine.</w:t>
      </w:r>
    </w:p>
    <w:p w:rsidRDefault="00CA5162" w:rsidP="00CA5162" w:rsidR="00CA5162" w:rsidRPr="00CA5162">
      <w:pPr>
        <w:spacing w:after="0"/>
        <w:jc w:val="both"/>
        <w:rPr>
          <w:rFonts w:cs="Times New Roman" w:eastAsia="Times New Roman"/>
          <w:lang w:eastAsia="hr-HR"/>
        </w:rPr>
      </w:pPr>
    </w:p>
    <w:p w:rsidRDefault="00CA5162" w:rsidP="00CA5162" w:rsidR="00CA5162" w:rsidRPr="00CA5162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CA5162">
        <w:rPr>
          <w:rFonts w:cs="Times New Roman" w:eastAsia="Times New Roman"/>
          <w:lang w:eastAsia="hr-HR"/>
        </w:rPr>
        <w:t>Ovo rješenje će se objaviti na e-oglasnoj ploči ovog suda.</w:t>
      </w:r>
    </w:p>
    <w:p w:rsidRDefault="00CA5162" w:rsidP="00CA5162" w:rsidR="00CA5162" w:rsidRPr="00CA5162">
      <w:pPr>
        <w:spacing w:after="0"/>
        <w:jc w:val="both"/>
        <w:rPr>
          <w:rFonts w:cs="Times New Roman" w:eastAsia="Times New Roman"/>
          <w:lang w:eastAsia="hr-HR"/>
        </w:rPr>
      </w:pPr>
    </w:p>
    <w:p w:rsidRDefault="00CA5162" w:rsidP="00CA5162" w:rsidR="00CA5162" w:rsidRPr="00CA5162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b/>
          <w:lang w:eastAsia="hr-HR"/>
        </w:rPr>
      </w:pPr>
      <w:r w:rsidRPr="00CA5162">
        <w:rPr>
          <w:rFonts w:cs="Times New Roman" w:eastAsia="Times New Roman"/>
          <w:lang w:eastAsia="hr-HR"/>
        </w:rPr>
        <w:t>Po pravomoćnosti ovog rješenja dužnik POLIKLINIKA INTERNEURON d.o.o. Zagreb, Vlaška 126, OIB: 85084166209, bit će brisan iz sudskog registra ovog suda.</w:t>
      </w:r>
    </w:p>
    <w:p w:rsidRDefault="00CA5162" w:rsidP="00CA5162" w:rsidR="00CA5162" w:rsidRPr="00CA5162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CA5162" w:rsidP="00CA5162" w:rsidR="00CA5162" w:rsidRPr="00CA5162">
      <w:pPr>
        <w:spacing w:after="0"/>
        <w:jc w:val="center"/>
        <w:rPr>
          <w:rFonts w:cs="Times New Roman" w:eastAsia="Times New Roman"/>
          <w:lang w:eastAsia="hr-HR"/>
        </w:rPr>
      </w:pPr>
      <w:r w:rsidRPr="00CA5162">
        <w:rPr>
          <w:rFonts w:cs="Times New Roman" w:eastAsia="Times New Roman"/>
          <w:lang w:eastAsia="hr-HR"/>
        </w:rPr>
        <w:t>Obrazloženje</w:t>
      </w:r>
    </w:p>
    <w:p w:rsidRDefault="00CA5162" w:rsidP="00CA5162" w:rsidR="00CA5162" w:rsidRPr="00CA5162">
      <w:pPr>
        <w:spacing w:after="0"/>
        <w:rPr>
          <w:rFonts w:cs="Times New Roman" w:eastAsia="Times New Roman"/>
          <w:lang w:eastAsia="hr-HR"/>
        </w:rPr>
      </w:pPr>
    </w:p>
    <w:p w:rsidRDefault="00CA5162" w:rsidP="00CA5162" w:rsidR="00CA5162" w:rsidRPr="00CA516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CA5162">
        <w:rPr>
          <w:rFonts w:cs="Times New Roman" w:eastAsia="Times New Roman"/>
          <w:lang w:eastAsia="hr-HR"/>
        </w:rPr>
        <w:t xml:space="preserve">Financijska agencija je sukladno odredbama čl. </w:t>
      </w:r>
      <w:smartTag w:element="metricconverter" w:uri="urn:schemas-microsoft-com:office:smarttags">
        <w:smartTagPr>
          <w:attr w:val="42. st" w:name="ProductID"/>
        </w:smartTagPr>
        <w:r w:rsidRPr="00CA5162">
          <w:rPr>
            <w:rFonts w:cs="Times New Roman" w:eastAsia="Times New Roman"/>
            <w:lang w:eastAsia="hr-HR"/>
          </w:rPr>
          <w:t>42. st</w:t>
        </w:r>
      </w:smartTag>
      <w:r w:rsidRPr="00CA5162">
        <w:rPr>
          <w:rFonts w:cs="Times New Roman" w:eastAsia="Times New Roman"/>
          <w:lang w:eastAsia="hr-HR"/>
        </w:rPr>
        <w:t xml:space="preserve">. 2. Zakona o financijskom poslovanju i predstečajnoj nagodbi (Narodne novine broj 108/12, 144/12, 81/13, 112/13, dalje:ZFPN)  podnijela je ovom sudu dana 3. veljače 2015. godine prijedlog za otvaranje stečajnog postupka nad dužnikom POLIKLINIKA INTERNEURON d.o.o. Zagreb, Vlaška </w:t>
      </w:r>
      <w:r w:rsidRPr="00CA5162">
        <w:rPr>
          <w:rFonts w:cs="Times New Roman" w:eastAsia="Times New Roman"/>
          <w:lang w:eastAsia="hr-HR"/>
        </w:rPr>
        <w:lastRenderedPageBreak/>
        <w:t xml:space="preserve">126, OIB: 85084166209, ističući da je račun dužnika neprekidno blokiran u razdoblju dužem od 60 dana. </w:t>
      </w:r>
    </w:p>
    <w:p w:rsidRDefault="00CA5162" w:rsidP="00CA5162" w:rsidR="00CA5162" w:rsidRPr="00CA516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CA5162" w:rsidP="00CA5162" w:rsidR="00CA5162" w:rsidRPr="00CA516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CA5162">
        <w:rPr>
          <w:rFonts w:cs="Times New Roman" w:eastAsia="Times New Roman"/>
          <w:lang w:eastAsia="hr-HR"/>
        </w:rPr>
        <w:t>Uvidom u potvrdu FINA-e utvrđeno je da je dužnik u razdoblju dužem od 60 dana imao evidentiranih neizvršenih osnova za plaćanje, a koje je trebalo na temelju valjanih osnova za plaćanje, bez daljnjeg pristanka dužnika naplatiti s bilo kojeg od njegovih računa (list 4 spisa).</w:t>
      </w:r>
    </w:p>
    <w:p w:rsidRDefault="00CA5162" w:rsidP="00CA5162" w:rsidR="00CA5162" w:rsidRPr="00CA516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CA5162" w:rsidP="00CA5162" w:rsidR="00CA5162" w:rsidRPr="00CA516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CA5162">
        <w:rPr>
          <w:rFonts w:cs="Times New Roman" w:eastAsia="Times New Roman"/>
          <w:lang w:eastAsia="hr-HR"/>
        </w:rPr>
        <w:t>Iz izvješća privremenog stečajnog upravitelja proizlazi da dužnik nema nikakve imovine, a tako niti imovine za pokriće troškova stečajnog postupka, da postoji stečajni razlog nesposobnosti za plaćanje.</w:t>
      </w:r>
    </w:p>
    <w:p w:rsidRDefault="00CA5162" w:rsidP="00CA5162" w:rsidR="00CA5162" w:rsidRPr="00CA516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CA5162" w:rsidP="00CA5162" w:rsidR="00CA5162" w:rsidRPr="00CA5162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CA5162">
        <w:rPr>
          <w:rFonts w:cs="Times New Roman" w:eastAsia="Times New Roman"/>
          <w:lang w:eastAsia="hr-HR"/>
        </w:rPr>
        <w:t xml:space="preserve">Dakle, utvrđeno je da imovina dužnika nije dovoljna ni za namirenje troškova postupka, pa je valjalo temeljem čl. </w:t>
      </w:r>
      <w:smartTag w:element="metricconverter" w:uri="urn:schemas-microsoft-com:office:smarttags">
        <w:smartTagPr>
          <w:attr w:val="63. st" w:name="ProductID"/>
        </w:smartTagPr>
        <w:r w:rsidRPr="00CA5162">
          <w:rPr>
            <w:rFonts w:cs="Times New Roman" w:eastAsia="Times New Roman"/>
            <w:lang w:eastAsia="hr-HR"/>
          </w:rPr>
          <w:t>63. st</w:t>
        </w:r>
      </w:smartTag>
      <w:r w:rsidRPr="00CA5162">
        <w:rPr>
          <w:rFonts w:cs="Times New Roman" w:eastAsia="Times New Roman"/>
          <w:lang w:eastAsia="hr-HR"/>
        </w:rPr>
        <w:t xml:space="preserve">. 1. Stečajnog zakona donijeti rješenje kojim se stečajni postupak otvara i istodobno zaključuje, te je riješeno kao u toči 1.i 3. izreke. </w:t>
      </w:r>
    </w:p>
    <w:p w:rsidRDefault="00CA5162" w:rsidP="00CA5162" w:rsidR="00CA5162" w:rsidRPr="00CA5162">
      <w:pPr>
        <w:spacing w:after="0"/>
        <w:ind w:firstLine="900"/>
        <w:jc w:val="both"/>
        <w:rPr>
          <w:rFonts w:cs="Times New Roman" w:eastAsia="Times New Roman"/>
          <w:lang w:eastAsia="hr-HR"/>
        </w:rPr>
      </w:pPr>
    </w:p>
    <w:p w:rsidRDefault="00CA5162" w:rsidP="00CA5162" w:rsidR="00CA5162" w:rsidRPr="00CA5162">
      <w:pPr>
        <w:spacing w:after="0"/>
        <w:ind w:firstLine="900"/>
        <w:jc w:val="both"/>
        <w:rPr>
          <w:rFonts w:cs="Times New Roman" w:eastAsia="Times New Roman"/>
          <w:lang w:eastAsia="hr-HR"/>
        </w:rPr>
      </w:pPr>
      <w:r w:rsidRPr="00CA5162">
        <w:rPr>
          <w:rFonts w:cs="Times New Roman" w:eastAsia="Times New Roman"/>
          <w:lang w:eastAsia="hr-HR"/>
        </w:rPr>
        <w:t xml:space="preserve">Temeljem čl. </w:t>
      </w:r>
      <w:smartTag w:element="metricconverter" w:uri="urn:schemas-microsoft-com:office:smarttags">
        <w:smartTagPr>
          <w:attr w:val="54. st" w:name="ProductID"/>
        </w:smartTagPr>
        <w:r w:rsidRPr="00CA5162">
          <w:rPr>
            <w:rFonts w:cs="Times New Roman" w:eastAsia="Times New Roman"/>
            <w:lang w:eastAsia="hr-HR"/>
          </w:rPr>
          <w:t>54. st</w:t>
        </w:r>
      </w:smartTag>
      <w:r w:rsidRPr="00CA5162">
        <w:rPr>
          <w:rFonts w:cs="Times New Roman" w:eastAsia="Times New Roman"/>
          <w:lang w:eastAsia="hr-HR"/>
        </w:rPr>
        <w:t>. 2. točka 2. SZ-a odlučeno je kao u točki 2. izreke rješenja.</w:t>
      </w:r>
    </w:p>
    <w:p w:rsidRDefault="00CA5162" w:rsidP="00CA5162" w:rsidR="00CA5162" w:rsidRPr="00CA5162">
      <w:pPr>
        <w:spacing w:after="0"/>
        <w:ind w:firstLine="900"/>
        <w:jc w:val="both"/>
        <w:rPr>
          <w:rFonts w:cs="Times New Roman" w:eastAsia="Times New Roman"/>
          <w:lang w:eastAsia="hr-HR"/>
        </w:rPr>
      </w:pPr>
    </w:p>
    <w:p w:rsidRDefault="00CA5162" w:rsidP="00CA5162" w:rsidR="00CA5162" w:rsidRPr="00CA5162">
      <w:pPr>
        <w:spacing w:after="0"/>
        <w:ind w:firstLine="900"/>
        <w:jc w:val="both"/>
        <w:rPr>
          <w:rFonts w:cs="Times New Roman" w:eastAsia="Times New Roman"/>
          <w:lang w:eastAsia="hr-HR"/>
        </w:rPr>
      </w:pPr>
      <w:r w:rsidRPr="00CA5162">
        <w:rPr>
          <w:rFonts w:cs="Times New Roman" w:eastAsia="Times New Roman"/>
          <w:lang w:eastAsia="hr-HR"/>
        </w:rPr>
        <w:t xml:space="preserve">Temeljem čl. </w:t>
      </w:r>
      <w:smartTag w:element="metricconverter" w:uri="urn:schemas-microsoft-com:office:smarttags">
        <w:smartTagPr>
          <w:attr w:val="63. st" w:name="ProductID"/>
        </w:smartTagPr>
        <w:r w:rsidRPr="00CA5162">
          <w:rPr>
            <w:rFonts w:cs="Times New Roman" w:eastAsia="Times New Roman"/>
            <w:lang w:eastAsia="hr-HR"/>
          </w:rPr>
          <w:t>63. st</w:t>
        </w:r>
      </w:smartTag>
      <w:r w:rsidRPr="00CA5162">
        <w:rPr>
          <w:rFonts w:cs="Times New Roman" w:eastAsia="Times New Roman"/>
          <w:lang w:eastAsia="hr-HR"/>
        </w:rPr>
        <w:t>. 5. SZ-a riješeno je kao u točki 4. izreke.</w:t>
      </w:r>
    </w:p>
    <w:p w:rsidRDefault="00CA5162" w:rsidP="00CA5162" w:rsidR="00CA5162" w:rsidRPr="00CA5162">
      <w:pPr>
        <w:spacing w:after="0"/>
        <w:ind w:firstLine="900"/>
        <w:jc w:val="both"/>
        <w:rPr>
          <w:rFonts w:cs="Times New Roman" w:eastAsia="Times New Roman"/>
          <w:lang w:eastAsia="hr-HR"/>
        </w:rPr>
      </w:pPr>
    </w:p>
    <w:p w:rsidRDefault="00CA5162" w:rsidP="00CA5162" w:rsidR="00CA5162" w:rsidRPr="00CA5162">
      <w:pPr>
        <w:spacing w:after="0"/>
        <w:ind w:firstLine="900"/>
        <w:jc w:val="both"/>
        <w:rPr>
          <w:rFonts w:cs="Times New Roman" w:eastAsia="Times New Roman"/>
          <w:lang w:eastAsia="hr-HR"/>
        </w:rPr>
      </w:pPr>
      <w:r w:rsidRPr="00CA5162">
        <w:rPr>
          <w:rFonts w:cs="Times New Roman" w:eastAsia="Times New Roman"/>
          <w:lang w:eastAsia="hr-HR"/>
        </w:rPr>
        <w:t>Temeljem čl. 196.  SZ-a odlučeno je kao u točki 5. izreke rješenja.</w:t>
      </w:r>
    </w:p>
    <w:p w:rsidRDefault="00CA5162" w:rsidP="00CA5162" w:rsidR="00CA5162" w:rsidRPr="00CA5162">
      <w:pPr>
        <w:spacing w:after="0"/>
        <w:jc w:val="both"/>
        <w:rPr>
          <w:rFonts w:cs="Times New Roman" w:eastAsia="Times New Roman"/>
          <w:lang w:eastAsia="hr-HR"/>
        </w:rPr>
      </w:pPr>
    </w:p>
    <w:p w:rsidRDefault="00CA5162" w:rsidP="00CA5162" w:rsidR="00CA5162" w:rsidRPr="00CA5162">
      <w:pPr>
        <w:spacing w:after="0"/>
        <w:jc w:val="both"/>
        <w:rPr>
          <w:rFonts w:cs="Times New Roman" w:eastAsia="Times New Roman"/>
          <w:lang w:eastAsia="hr-HR"/>
        </w:rPr>
      </w:pPr>
      <w:r w:rsidRPr="00CA5162">
        <w:rPr>
          <w:rFonts w:cs="Times New Roman" w:eastAsia="Times New Roman"/>
          <w:lang w:eastAsia="hr-HR"/>
        </w:rPr>
        <w:tab/>
        <w:t xml:space="preserve">Prije donošenja ovog rješenja sud je ovosudnim rješenjem posl. br. St-106/15 od 3. rujna 2015. godine pozvao osobe koje bi imale pravni interes da se stečajni postupak nad dužnikom provede, da u roku 15 dana na žiro račun suda predujme iznos od 30.000,00 kn za pokriće troškova prethodnog i stečajnog postupka. Navedeno rješenje objavljeno je na e-oglasnoj ploči ovog suda 4. rujna 2015. godine te traženi predujam nije uplaćen pa je postupak zaključen kao u točki 3. izreke, a temeljem čl. </w:t>
      </w:r>
      <w:smartTag w:element="metricconverter" w:uri="urn:schemas-microsoft-com:office:smarttags">
        <w:smartTagPr>
          <w:attr w:val="63. st" w:name="ProductID"/>
        </w:smartTagPr>
        <w:r w:rsidRPr="00CA5162">
          <w:rPr>
            <w:rFonts w:cs="Times New Roman" w:eastAsia="Times New Roman"/>
            <w:lang w:eastAsia="hr-HR"/>
          </w:rPr>
          <w:t>63. st</w:t>
        </w:r>
      </w:smartTag>
      <w:r w:rsidRPr="00CA5162">
        <w:rPr>
          <w:rFonts w:cs="Times New Roman" w:eastAsia="Times New Roman"/>
          <w:lang w:eastAsia="hr-HR"/>
        </w:rPr>
        <w:t>. 1. SZ-a.</w:t>
      </w:r>
    </w:p>
    <w:p w:rsidRDefault="00CA5162" w:rsidP="00CA5162" w:rsidR="00CA5162" w:rsidRPr="00CA5162">
      <w:pPr>
        <w:spacing w:after="0"/>
        <w:jc w:val="both"/>
        <w:rPr>
          <w:rFonts w:cs="Times New Roman" w:eastAsia="Times New Roman"/>
          <w:lang w:eastAsia="hr-HR"/>
        </w:rPr>
      </w:pPr>
      <w:r w:rsidRPr="00CA5162">
        <w:rPr>
          <w:rFonts w:cs="Times New Roman" w:eastAsia="Times New Roman"/>
          <w:lang w:eastAsia="hr-HR"/>
        </w:rPr>
        <w:tab/>
      </w:r>
      <w:r w:rsidRPr="00CA5162">
        <w:rPr>
          <w:rFonts w:cs="Times New Roman" w:eastAsia="Times New Roman"/>
          <w:lang w:eastAsia="hr-HR"/>
        </w:rPr>
        <w:tab/>
      </w:r>
    </w:p>
    <w:p w:rsidRDefault="00CA5162" w:rsidP="00CA5162" w:rsidR="00CA5162" w:rsidRPr="00CA5162">
      <w:pPr>
        <w:spacing w:after="0"/>
        <w:jc w:val="center"/>
        <w:rPr>
          <w:rFonts w:cs="Times New Roman" w:eastAsia="Times New Roman"/>
          <w:lang w:eastAsia="hr-HR"/>
        </w:rPr>
      </w:pPr>
      <w:r w:rsidRPr="00CA5162">
        <w:rPr>
          <w:rFonts w:cs="Times New Roman" w:eastAsia="Times New Roman"/>
          <w:lang w:eastAsia="hr-HR"/>
        </w:rPr>
        <w:t>U Karlovcu 4. studenog 2015. godine</w:t>
      </w:r>
    </w:p>
    <w:p w:rsidRDefault="00CA5162" w:rsidP="00CA5162" w:rsidR="00CA5162" w:rsidRPr="00CA5162">
      <w:pPr>
        <w:spacing w:after="0"/>
        <w:jc w:val="both"/>
        <w:rPr>
          <w:rFonts w:cs="Times New Roman" w:eastAsia="Times New Roman"/>
          <w:lang w:eastAsia="hr-HR"/>
        </w:rPr>
      </w:pPr>
    </w:p>
    <w:p w:rsidRDefault="00CA5162" w:rsidP="00CA5162" w:rsidR="00CA5162" w:rsidRPr="00CA5162">
      <w:pPr>
        <w:spacing w:after="0"/>
        <w:ind w:left="5664"/>
        <w:jc w:val="both"/>
        <w:rPr>
          <w:rFonts w:cs="Times New Roman" w:eastAsia="Times New Roman"/>
          <w:lang w:eastAsia="hr-HR"/>
        </w:rPr>
      </w:pPr>
      <w:r w:rsidRPr="00CA5162">
        <w:rPr>
          <w:rFonts w:cs="Times New Roman" w:eastAsia="Times New Roman"/>
          <w:lang w:eastAsia="hr-HR"/>
        </w:rPr>
        <w:t xml:space="preserve">       Stečajni sudac:</w:t>
      </w:r>
    </w:p>
    <w:p w:rsidRDefault="00CA5162" w:rsidP="00CA5162" w:rsidR="00CA5162" w:rsidRPr="00CA5162">
      <w:pPr>
        <w:spacing w:after="0"/>
        <w:rPr>
          <w:rFonts w:cs="Times New Roman" w:eastAsia="Times New Roman"/>
          <w:lang w:eastAsia="hr-HR"/>
        </w:rPr>
      </w:pPr>
      <w:r w:rsidRPr="00CA5162">
        <w:rPr>
          <w:rFonts w:cs="Times New Roman" w:eastAsia="Times New Roman"/>
          <w:lang w:eastAsia="hr-HR"/>
        </w:rPr>
        <w:t xml:space="preserve">                                                                       </w:t>
      </w:r>
      <w:r w:rsidRPr="00CA5162">
        <w:rPr>
          <w:rFonts w:cs="Times New Roman" w:eastAsia="Times New Roman"/>
          <w:lang w:eastAsia="hr-HR"/>
        </w:rPr>
        <w:tab/>
      </w:r>
      <w:r w:rsidRPr="00CA5162">
        <w:rPr>
          <w:rFonts w:cs="Times New Roman" w:eastAsia="Times New Roman"/>
          <w:lang w:eastAsia="hr-HR"/>
        </w:rPr>
        <w:tab/>
        <w:t xml:space="preserve"> </w:t>
      </w:r>
      <w:r>
        <w:rPr>
          <w:rFonts w:cs="Times New Roman" w:eastAsia="Times New Roman"/>
          <w:lang w:eastAsia="hr-HR"/>
        </w:rPr>
        <w:t>Jadranka Mađeruh</w:t>
      </w:r>
    </w:p>
    <w:p w:rsidRDefault="00CA5162" w:rsidP="00CA5162" w:rsidR="00CA5162" w:rsidRPr="00CA5162">
      <w:pPr>
        <w:spacing w:after="0"/>
        <w:rPr>
          <w:rFonts w:cs="Times New Roman" w:eastAsia="Times New Roman"/>
          <w:lang w:eastAsia="hr-HR"/>
        </w:rPr>
      </w:pPr>
    </w:p>
    <w:p w:rsidRDefault="00CA5162" w:rsidP="00CA5162" w:rsidR="00CA5162" w:rsidRPr="00CA5162">
      <w:pPr>
        <w:spacing w:after="0"/>
        <w:rPr>
          <w:rFonts w:cs="Times New Roman" w:eastAsia="Times New Roman"/>
          <w:lang w:eastAsia="hr-HR"/>
        </w:rPr>
      </w:pPr>
    </w:p>
    <w:p w:rsidRDefault="00CA5162" w:rsidP="00CA5162" w:rsidR="00CA5162" w:rsidRPr="00CA5162">
      <w:pPr>
        <w:spacing w:after="0"/>
        <w:rPr>
          <w:rFonts w:cs="Times New Roman" w:eastAsia="Times New Roman"/>
          <w:lang w:eastAsia="hr-HR"/>
        </w:rPr>
      </w:pPr>
      <w:r w:rsidRPr="00CA5162">
        <w:rPr>
          <w:rFonts w:cs="Times New Roman" w:eastAsia="Times New Roman"/>
          <w:lang w:eastAsia="hr-HR"/>
        </w:rPr>
        <w:t>PRAVNA POUKA:</w:t>
      </w:r>
    </w:p>
    <w:p w:rsidRDefault="00CA5162" w:rsidP="00CA5162" w:rsidR="00CA5162" w:rsidRPr="00CA5162">
      <w:pPr>
        <w:tabs>
          <w:tab w:pos="6735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CA5162">
        <w:rPr>
          <w:rFonts w:cs="Times New Roman" w:eastAsia="Times New Roman"/>
          <w:lang w:eastAsia="hr-HR"/>
        </w:rPr>
        <w:t xml:space="preserve">Protiv rješenja o otvaranju stečajnog postupka žalbu može podnijeti zakonski zastupnik dužnika (čl. </w:t>
      </w:r>
      <w:smartTag w:element="metricconverter" w:uri="urn:schemas-microsoft-com:office:smarttags">
        <w:smartTagPr>
          <w:attr w:val="53. st" w:name="ProductID"/>
        </w:smartTagPr>
        <w:r w:rsidRPr="00CA5162">
          <w:rPr>
            <w:rFonts w:cs="Times New Roman" w:eastAsia="Times New Roman"/>
            <w:lang w:eastAsia="hr-HR"/>
          </w:rPr>
          <w:t>53. st</w:t>
        </w:r>
      </w:smartTag>
      <w:r w:rsidRPr="00CA5162">
        <w:rPr>
          <w:rFonts w:cs="Times New Roman" w:eastAsia="Times New Roman"/>
          <w:lang w:eastAsia="hr-HR"/>
        </w:rPr>
        <w:t>. 6. SZ-a), a protiv rješenja o zaključenju stečajnog postupka žalba je dopuštena  vjerovnicima, u roku 8 dana od dana dostave ovog rješenja. Žalba se podnosi Visokom trgovačkom sudu RH, putem ovog suda.</w:t>
      </w:r>
    </w:p>
    <w:p w:rsidRDefault="00CA5162" w:rsidP="00CA5162" w:rsidR="00CA5162" w:rsidRPr="00CA5162">
      <w:pPr>
        <w:spacing w:after="0"/>
        <w:rPr>
          <w:rFonts w:cs="Times New Roman" w:eastAsia="Times New Roman"/>
          <w:lang w:eastAsia="hr-HR"/>
        </w:rPr>
      </w:pPr>
    </w:p>
    <w:p w:rsidRDefault="00CA5162" w:rsidP="00CA5162" w:rsidR="00CA5162" w:rsidRPr="00CA5162">
      <w:pPr>
        <w:spacing w:after="0"/>
        <w:rPr>
          <w:rFonts w:cs="Times New Roman" w:eastAsia="Times New Roman"/>
          <w:b/>
          <w:lang w:eastAsia="hr-HR"/>
        </w:rPr>
      </w:pPr>
    </w:p>
    <w:p w:rsidRDefault="00CA5162" w:rsidP="00CA5162" w:rsidR="00CA5162" w:rsidRPr="00CA5162">
      <w:pPr>
        <w:spacing w:after="0"/>
        <w:rPr>
          <w:rFonts w:cs="Times New Roman" w:eastAsia="Times New Roman"/>
          <w:lang w:eastAsia="hr-HR"/>
        </w:rPr>
      </w:pPr>
    </w:p>
    <w:p w:rsidRDefault="00CA5162" w:rsidP="00CA5162" w:rsidR="00CA5162" w:rsidRPr="00CA5162">
      <w:pPr>
        <w:spacing w:after="0"/>
        <w:rPr>
          <w:rFonts w:cs="Times New Roman" w:eastAsia="Times New Roman"/>
          <w:lang w:eastAsia="hr-HR"/>
        </w:rPr>
      </w:pPr>
    </w:p>
    <w:p w:rsidRDefault="00CA5162" w:rsidP="00CA5162" w:rsidR="00CA5162" w:rsidRPr="00CA5162">
      <w:pPr>
        <w:spacing w:after="0"/>
        <w:rPr>
          <w:rFonts w:cs="Times New Roman" w:eastAsia="Times New Roman"/>
          <w:lang w:eastAsia="hr-HR"/>
        </w:rPr>
      </w:pPr>
    </w:p>
    <w:p w:rsidRDefault="00CA5162" w:rsidP="00CA5162" w:rsidR="00CA5162" w:rsidRPr="00CA5162">
      <w:pPr>
        <w:spacing w:after="0"/>
        <w:rPr>
          <w:rFonts w:cs="Times New Roman" w:eastAsia="Times New Roman"/>
          <w:lang w:eastAsia="hr-HR"/>
        </w:rPr>
      </w:pPr>
    </w:p>
    <w:p w:rsidRDefault="00CA5162" w:rsidP="00CA5162" w:rsidR="00CA5162" w:rsidRPr="00CA5162">
      <w:pPr>
        <w:spacing w:after="0"/>
        <w:rPr>
          <w:rFonts w:cs="Times New Roman" w:eastAsia="Times New Roman"/>
          <w:lang w:eastAsia="hr-HR"/>
        </w:rPr>
      </w:pPr>
      <w:r w:rsidRPr="00CA5162">
        <w:rPr>
          <w:rFonts w:cs="Times New Roman" w:eastAsia="Times New Roman"/>
          <w:lang w:eastAsia="hr-HR"/>
        </w:rPr>
        <w:t>Dna:</w:t>
      </w:r>
    </w:p>
    <w:p w:rsidRDefault="00CA5162" w:rsidP="00CA5162" w:rsidR="00CA5162" w:rsidRPr="00CA5162">
      <w:pPr>
        <w:numPr>
          <w:ilvl w:val="0"/>
          <w:numId w:val="48"/>
        </w:numPr>
        <w:spacing w:after="0"/>
        <w:rPr>
          <w:rFonts w:cs="Times New Roman" w:eastAsia="Times New Roman"/>
          <w:lang w:eastAsia="hr-HR"/>
        </w:rPr>
      </w:pPr>
      <w:r w:rsidRPr="00CA5162">
        <w:rPr>
          <w:rFonts w:cs="Times New Roman" w:eastAsia="Times New Roman"/>
          <w:lang w:eastAsia="hr-HR"/>
        </w:rPr>
        <w:t>dužnik</w:t>
      </w:r>
    </w:p>
    <w:p w:rsidRDefault="00CA5162" w:rsidP="00CA5162" w:rsidR="00CA5162" w:rsidRPr="00CA5162">
      <w:pPr>
        <w:numPr>
          <w:ilvl w:val="0"/>
          <w:numId w:val="48"/>
        </w:numPr>
        <w:spacing w:after="0"/>
        <w:rPr>
          <w:rFonts w:cs="Times New Roman" w:eastAsia="Times New Roman"/>
          <w:lang w:eastAsia="hr-HR"/>
        </w:rPr>
      </w:pPr>
      <w:r w:rsidRPr="00CA5162">
        <w:rPr>
          <w:rFonts w:cs="Times New Roman" w:eastAsia="Times New Roman"/>
          <w:lang w:eastAsia="hr-HR"/>
        </w:rPr>
        <w:t>stečajna upraviteljica Marija Vujčić Turkulin</w:t>
      </w:r>
    </w:p>
    <w:p w:rsidRDefault="00CA5162" w:rsidP="00CA5162" w:rsidR="00CA5162" w:rsidRPr="00CA5162">
      <w:pPr>
        <w:numPr>
          <w:ilvl w:val="0"/>
          <w:numId w:val="48"/>
        </w:numPr>
        <w:spacing w:after="0"/>
        <w:rPr>
          <w:rFonts w:cs="Times New Roman" w:eastAsia="Times New Roman"/>
          <w:lang w:eastAsia="hr-HR"/>
        </w:rPr>
      </w:pPr>
      <w:r w:rsidRPr="00CA5162">
        <w:rPr>
          <w:rFonts w:cs="Times New Roman" w:eastAsia="Times New Roman"/>
          <w:lang w:eastAsia="hr-HR"/>
        </w:rPr>
        <w:t>FINA</w:t>
      </w:r>
    </w:p>
    <w:p w:rsidRDefault="00CA5162" w:rsidP="00CA5162" w:rsidR="00CA5162" w:rsidRPr="00CA5162">
      <w:pPr>
        <w:numPr>
          <w:ilvl w:val="0"/>
          <w:numId w:val="48"/>
        </w:numPr>
        <w:spacing w:after="0"/>
        <w:rPr>
          <w:rFonts w:cs="Times New Roman" w:eastAsia="Times New Roman"/>
          <w:lang w:eastAsia="hr-HR"/>
        </w:rPr>
      </w:pPr>
      <w:r w:rsidRPr="00CA5162">
        <w:rPr>
          <w:rFonts w:cs="Times New Roman" w:eastAsia="Times New Roman"/>
          <w:lang w:eastAsia="hr-HR"/>
        </w:rPr>
        <w:t>Sudskom  registru ovog suda</w:t>
      </w:r>
    </w:p>
    <w:p w:rsidRDefault="00CA5162" w:rsidP="00CA5162" w:rsidR="00CA5162" w:rsidRPr="00CA5162">
      <w:pPr>
        <w:numPr>
          <w:ilvl w:val="0"/>
          <w:numId w:val="48"/>
        </w:numPr>
        <w:spacing w:after="0"/>
        <w:rPr>
          <w:rFonts w:cs="Times New Roman" w:eastAsia="Times New Roman"/>
          <w:lang w:eastAsia="hr-HR"/>
        </w:rPr>
      </w:pPr>
      <w:r w:rsidRPr="00CA5162">
        <w:rPr>
          <w:rFonts w:cs="Times New Roman" w:eastAsia="Times New Roman"/>
          <w:lang w:eastAsia="hr-HR"/>
        </w:rPr>
        <w:t>Oglasna ploča suda</w:t>
      </w:r>
    </w:p>
    <w:p w:rsidRDefault="00CA5162" w:rsidP="00CA5162" w:rsidR="00CA5162" w:rsidRPr="00CA5162">
      <w:pPr>
        <w:numPr>
          <w:ilvl w:val="0"/>
          <w:numId w:val="48"/>
        </w:numPr>
        <w:spacing w:after="0"/>
        <w:rPr>
          <w:rFonts w:cs="Times New Roman" w:eastAsia="Times New Roman"/>
          <w:lang w:eastAsia="hr-HR"/>
        </w:rPr>
      </w:pPr>
      <w:r w:rsidRPr="00CA5162">
        <w:rPr>
          <w:rFonts w:cs="Times New Roman" w:eastAsia="Times New Roman"/>
          <w:lang w:eastAsia="hr-HR"/>
        </w:rPr>
        <w:t>ŽDO u Zagrebu</w:t>
      </w:r>
    </w:p>
    <w:p w:rsidRDefault="00CA5162" w:rsidP="00CA5162" w:rsidR="00CA5162" w:rsidRPr="00CA5162">
      <w:pPr>
        <w:numPr>
          <w:ilvl w:val="0"/>
          <w:numId w:val="48"/>
        </w:numPr>
        <w:spacing w:after="0"/>
        <w:rPr>
          <w:rFonts w:cs="Times New Roman" w:eastAsia="Times New Roman"/>
          <w:lang w:eastAsia="hr-HR"/>
        </w:rPr>
      </w:pPr>
      <w:r w:rsidRPr="00CA5162">
        <w:rPr>
          <w:rFonts w:cs="Times New Roman" w:eastAsia="Times New Roman"/>
          <w:lang w:eastAsia="hr-HR"/>
        </w:rPr>
        <w:t>RH, Ministarstvo pravosuđa, Zagreb</w:t>
      </w:r>
    </w:p>
    <w:p w:rsidRDefault="00CA5162" w:rsidP="00CA5162" w:rsidR="00CA5162" w:rsidRPr="00CA5162">
      <w:pPr>
        <w:spacing w:after="0"/>
        <w:rPr>
          <w:rFonts w:cs="Times New Roman" w:eastAsia="Times New Roman"/>
          <w:lang w:eastAsia="hr-HR"/>
        </w:rPr>
      </w:pPr>
    </w:p>
    <w:p w:rsidRDefault="00CA5162" w:rsidP="00CA5162" w:rsidR="00CA5162" w:rsidRPr="00CA5162">
      <w:pPr>
        <w:spacing w:after="0"/>
        <w:rPr>
          <w:rFonts w:cs="Times New Roman" w:eastAsia="Times New Roman"/>
          <w:lang w:eastAsia="hr-HR"/>
        </w:rPr>
      </w:pPr>
    </w:p>
    <w:p w:rsidRDefault="00CA5162" w:rsidP="00CA5162" w:rsidR="00CA5162" w:rsidRPr="00CA5162">
      <w:pPr>
        <w:spacing w:after="0"/>
        <w:rPr>
          <w:rFonts w:cs="Times New Roman" w:eastAsia="Times New Roman"/>
          <w:lang w:eastAsia="hr-HR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126508210"/>
      <w:docPartObj>
        <w:docPartGallery w:val="Page Numbers (Top of Page)"/>
        <w:docPartUnique/>
      </w:docPartObj>
    </w:sdtPr>
    <w:sdtContent>
      <w:p w:rsidRDefault="00CA5162" w:rsidR="00CA516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 w:rsidRDefault="00CA5162" w:rsidR="008333A9">
    <w:pPr>
      <w:pStyle w:val="Zaglavlje"/>
    </w:pPr>
    <w:r>
      <w:t>1 St-106/15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5CF673F"/>
    <w:multiLevelType w:val="hybridMultilevel"/>
    <w:tmpl w:val="434AC228"/>
    <w:lvl w:tplc="D9169F56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5162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18752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83821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studenog 2015.</izvorni_sadrzaj>
    <derivirana_varijabla naziv="DomainObject.DatumDonosenjaOdluke_1">4.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St-106/2015-16</izvorni_sadrzaj>
    <derivirana_varijabla naziv="DomainObject.Oznaka_1">St-106/2015-16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</izvorni_sadrzaj>
    <derivirana_varijabla naziv="DomainObject.Predmet.Broj_1">106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veljače 2015.</izvorni_sadrzaj>
    <derivirana_varijabla naziv="DomainObject.Predmet.DatumOsnivanja_1">3.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St-106/2015</izvorni_sadrzaj>
    <derivirana_varijabla naziv="DomainObject.Predmet.OznakaBroj_1">St-106/2015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POLIKLINIKA INTERNEURON d.o.o.</izvorni_sadrzaj>
    <derivirana_varijabla naziv="DomainObject.Predmet.ProtustrankaFormated_1">  POLIKLINIKA INTERNEURON d.o.o.</derivirana_varijabla>
  </DomainObject.Predmet.ProtustrankaFormated>
  <DomainObject.Predmet.ProtustrankaFormatedOIB>
    <izvorni_sadrzaj>  POLIKLINIKA INTERNEURON d.o.o., OIB 85084166209</izvorni_sadrzaj>
    <derivirana_varijabla naziv="DomainObject.Predmet.ProtustrankaFormatedOIB_1">  POLIKLINIKA INTERNEURON d.o.o., OIB 85084166209</derivirana_varijabla>
  </DomainObject.Predmet.ProtustrankaFormatedOIB>
  <DomainObject.Predmet.ProtustrankaFormatedWithAdress>
    <izvorni_sadrzaj> POLIKLINIKA INTERNEURON d.o.o., Vlaška 126, Zagreb</izvorni_sadrzaj>
    <derivirana_varijabla naziv="DomainObject.Predmet.ProtustrankaFormatedWithAdress_1"> POLIKLINIKA INTERNEURON d.o.o., Vlaška 126, Zagreb</derivirana_varijabla>
  </DomainObject.Predmet.ProtustrankaFormatedWithAdress>
  <DomainObject.Predmet.ProtustrankaFormatedWithAdressOIB>
    <izvorni_sadrzaj> POLIKLINIKA INTERNEURON d.o.o., OIB 85084166209, Vlaška 126, Zagreb</izvorni_sadrzaj>
    <derivirana_varijabla naziv="DomainObject.Predmet.ProtustrankaFormatedWithAdressOIB_1"> POLIKLINIKA INTERNEURON d.o.o., OIB 85084166209, Vlaška 126, Zagreb</derivirana_varijabla>
  </DomainObject.Predmet.ProtustrankaFormatedWithAdressOIB>
  <DomainObject.Predmet.ProtustrankaWithAdress>
    <izvorni_sadrzaj>POLIKLINIKA INTERNEURON d.o.o. Vlaška 126, Zagreb</izvorni_sadrzaj>
    <derivirana_varijabla naziv="DomainObject.Predmet.ProtustrankaWithAdress_1">POLIKLINIKA INTERNEURON d.o.o. Vlaška 126, Zagreb</derivirana_varijabla>
  </DomainObject.Predmet.ProtustrankaWithAdress>
  <DomainObject.Predmet.ProtustrankaWithAdressOIB>
    <izvorni_sadrzaj>POLIKLINIKA INTERNEURON d.o.o., OIB 85084166209, Vlaška 126, Zagreb</izvorni_sadrzaj>
    <derivirana_varijabla naziv="DomainObject.Predmet.ProtustrankaWithAdressOIB_1">POLIKLINIKA INTERNEURON d.o.o., OIB 85084166209, Vlaška 126, Zagreb</derivirana_varijabla>
  </DomainObject.Predmet.ProtustrankaWithAdressOIB>
  <DomainObject.Predmet.ProtustrankaNazivFormated>
    <izvorni_sadrzaj>POLIKLINIKA INTERNEURON d.o.o.</izvorni_sadrzaj>
    <derivirana_varijabla naziv="DomainObject.Predmet.ProtustrankaNazivFormated_1">POLIKLINIKA INTERNEURON d.o.o.</derivirana_varijabla>
  </DomainObject.Predmet.ProtustrankaNazivFormated>
  <DomainObject.Predmet.ProtustrankaNazivFormatedOIB>
    <izvorni_sadrzaj>POLIKLINIKA INTERNEURON d.o.o., OIB 85084166209</izvorni_sadrzaj>
    <derivirana_varijabla naziv="DomainObject.Predmet.ProtustrankaNazivFormatedOIB_1">POLIKLINIKA INTERNEURON d.o.o., OIB 85084166209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Ilica 307, 10000 Zagreb</izvorni_sadrzaj>
    <derivirana_varijabla naziv="DomainObject.Predmet.StrankaFormatedWithAdress_1"> FINA Regionalni centar Zagreb, Ilica 307, 10000 Zagreb</derivirana_varijabla>
  </DomainObject.Predmet.StrankaFormatedWithAdress>
  <DomainObject.Predmet.StrankaFormatedWithAdressOIB>
    <izvorni_sadrzaj> FINA Regionalni centar Zagreb, OIB 85821130368, Ilica 307, 10000 Zagreb</izvorni_sadrzaj>
    <derivirana_varijabla naziv="DomainObject.Predmet.StrankaFormatedWithAdressOIB_1"> FINA Regionalni centar Zagreb, OIB 85821130368, Ilica 307, 10000 Zagreb</derivirana_varijabla>
  </DomainObject.Predmet.StrankaFormatedWithAdressOIB>
  <DomainObject.Predmet.StrankaWithAdress>
    <izvorni_sadrzaj>FINA Regionalni centar Zagreb Ilica 307,10000 Zagreb</izvorni_sadrzaj>
    <derivirana_varijabla naziv="DomainObject.Predmet.StrankaWithAdress_1">FINA Regionalni centar Zagreb Ilica 307,10000 Zagreb</derivirana_varijabla>
  </DomainObject.Predmet.StrankaWithAdress>
  <DomainObject.Predmet.StrankaWithAdressOIB>
    <izvorni_sadrzaj>FINA Regionalni centar Zagreb, OIB 85821130368, Ilica 307,10000 Zagreb</izvorni_sadrzaj>
    <derivirana_varijabla naziv="DomainObject.Predmet.StrankaWithAdressOIB_1">FINA Regionalni centar Zagreb, OIB 85821130368, Ilica 307,10000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Ilica 307, 10000 Zagreb</item>
    </izvorni_sadrzaj>
    <derivirana_varijabla naziv="DomainObject.Predmet.StrankaListFormatedWithAdress_1">
      <item>FINA Regionalni centar Zagreb, Ilica 307, 10000 Zagreb</item>
    </derivirana_varijabla>
  </DomainObject.Predmet.StrankaListFormatedWithAdress>
  <DomainObject.Predmet.StrankaListFormatedWithAdressOIB>
    <izvorni_sadrzaj>
      <item>FINA Regionalni centar Zagreb, OIB 85821130368, Ilica 307, 10000 Zagreb</item>
    </izvorni_sadrzaj>
    <derivirana_varijabla naziv="DomainObject.Predmet.StrankaListFormatedWithAdressOIB_1">
      <item>FINA Regionalni centar Zagreb, OIB 85821130368, Ilica 307,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POLIKLINIKA INTERNEURON d.o.o.</item>
    </izvorni_sadrzaj>
    <derivirana_varijabla naziv="DomainObject.Predmet.ProtuStrankaListFormated_1">
      <item>POLIKLINIKA INTERNEURON d.o.o.</item>
    </derivirana_varijabla>
  </DomainObject.Predmet.ProtuStrankaListFormated>
  <DomainObject.Predmet.ProtuStrankaListFormatedOIB>
    <izvorni_sadrzaj>
      <item>POLIKLINIKA INTERNEURON d.o.o., OIB 85084166209</item>
    </izvorni_sadrzaj>
    <derivirana_varijabla naziv="DomainObject.Predmet.ProtuStrankaListFormatedOIB_1">
      <item>POLIKLINIKA INTERNEURON d.o.o., OIB 85084166209</item>
    </derivirana_varijabla>
  </DomainObject.Predmet.ProtuStrankaListFormatedOIB>
  <DomainObject.Predmet.ProtuStrankaListFormatedWithAdress>
    <izvorni_sadrzaj>
      <item>POLIKLINIKA INTERNEURON d.o.o., Vlaška 126, Zagreb</item>
    </izvorni_sadrzaj>
    <derivirana_varijabla naziv="DomainObject.Predmet.ProtuStrankaListFormatedWithAdress_1">
      <item>POLIKLINIKA INTERNEURON d.o.o., Vlaška 126, Zagreb</item>
    </derivirana_varijabla>
  </DomainObject.Predmet.ProtuStrankaListFormatedWithAdress>
  <DomainObject.Predmet.ProtuStrankaListFormatedWithAdressOIB>
    <izvorni_sadrzaj>
      <item>POLIKLINIKA INTERNEURON d.o.o., OIB 85084166209, Vlaška 126, Zagreb</item>
    </izvorni_sadrzaj>
    <derivirana_varijabla naziv="DomainObject.Predmet.ProtuStrankaListFormatedWithAdressOIB_1">
      <item>POLIKLINIKA INTERNEURON d.o.o., OIB 85084166209, Vlaška 126, Zagreb</item>
    </derivirana_varijabla>
  </DomainObject.Predmet.ProtuStrankaListFormatedWithAdressOIB>
  <DomainObject.Predmet.ProtuStrankaListNazivFormated>
    <izvorni_sadrzaj>
      <item>POLIKLINIKA INTERNEURON d.o.o.</item>
    </izvorni_sadrzaj>
    <derivirana_varijabla naziv="DomainObject.Predmet.ProtuStrankaListNazivFormated_1">
      <item>POLIKLINIKA INTERNEURON d.o.o.</item>
    </derivirana_varijabla>
  </DomainObject.Predmet.ProtuStrankaListNazivFormated>
  <DomainObject.Predmet.ProtuStrankaListNazivFormatedOIB>
    <izvorni_sadrzaj>
      <item>POLIKLINIKA INTERNEURON d.o.o., OIB 85084166209</item>
    </izvorni_sadrzaj>
    <derivirana_varijabla naziv="DomainObject.Predmet.ProtuStrankaListNazivFormatedOIB_1">
      <item>POLIKLINIKA INTERNEURON d.o.o., OIB 85084166209</item>
    </derivirana_varijabla>
  </DomainObject.Predmet.ProtuStrankaListNazivFormatedOIB>
  <DomainObject.Predmet.OstaliListFormated>
    <izvorni_sadrzaj>
      <item>Krešimir Jergović</item>
      <item>Marija Vujčić Turkulin</item>
    </izvorni_sadrzaj>
    <derivirana_varijabla naziv="DomainObject.Predmet.OstaliListFormated_1">
      <item>Krešimir Jergović</item>
      <item>Marija Vujčić Turkulin</item>
    </derivirana_varijabla>
  </DomainObject.Predmet.OstaliListFormated>
  <DomainObject.Predmet.OstaliListFormatedOIB>
    <izvorni_sadrzaj>
      <item>Krešimir Jergović, OIB 25296570743</item>
      <item>Marija Vujčić Turkulin, OIB 22593287559</item>
    </izvorni_sadrzaj>
    <derivirana_varijabla naziv="DomainObject.Predmet.OstaliListFormatedOIB_1">
      <item>Krešimir Jergović, OIB 25296570743</item>
      <item>Marija Vujčić Turkulin, OIB 22593287559</item>
    </derivirana_varijabla>
  </DomainObject.Predmet.OstaliListFormatedOIB>
  <DomainObject.Predmet.OstaliListFormatedWithAdress>
    <izvorni_sadrzaj>
      <item>Krešimir Jergović, Nova Ves 72, 10000 Zagreb</item>
      <item>Marija Vujčić Turkulin, Vrtlarska 3, 10000 Zagreb</item>
    </izvorni_sadrzaj>
    <derivirana_varijabla naziv="DomainObject.Predmet.OstaliListFormatedWithAdress_1">
      <item>Krešimir Jergović, Nova Ves 72, 10000 Zagreb</item>
      <item>Marija Vujčić Turkulin, Vrtlarska 3, 10000 Zagreb</item>
    </derivirana_varijabla>
  </DomainObject.Predmet.OstaliListFormatedWithAdress>
  <DomainObject.Predmet.OstaliListFormatedWithAdressOIB>
    <izvorni_sadrzaj>
      <item>Krešimir Jergović, OIB 25296570743, Nova Ves 72, 10000 Zagreb</item>
      <item>Marija Vujčić Turkulin, OIB 22593287559, Vrtlarska 3, 10000 Zagreb</item>
    </izvorni_sadrzaj>
    <derivirana_varijabla naziv="DomainObject.Predmet.OstaliListFormatedWithAdressOIB_1">
      <item>Krešimir Jergović, OIB 25296570743, Nova Ves 72, 10000 Zagreb</item>
      <item>Marija Vujčić Turkulin, OIB 22593287559, Vrtlarska 3, 10000 Zagreb</item>
    </derivirana_varijabla>
  </DomainObject.Predmet.OstaliListFormatedWithAdressOIB>
  <DomainObject.Predmet.OstaliListNazivFormated>
    <izvorni_sadrzaj>
      <item>Krešimir Jergović</item>
      <item>Marija Vujčić Turkulin</item>
    </izvorni_sadrzaj>
    <derivirana_varijabla naziv="DomainObject.Predmet.OstaliListNazivFormated_1">
      <item>Krešimir Jergović</item>
      <item>Marija Vujčić Turkulin</item>
    </derivirana_varijabla>
  </DomainObject.Predmet.OstaliListNazivFormated>
  <DomainObject.Predmet.OstaliListNazivFormatedOIB>
    <izvorni_sadrzaj>
      <item>Krešimir Jergović, OIB 25296570743</item>
      <item>Marija Vujčić Turkulin, OIB 22593287559</item>
    </izvorni_sadrzaj>
    <derivirana_varijabla naziv="DomainObject.Predmet.OstaliListNazivFormatedOIB_1">
      <item>Krešimir Jergović, OIB 25296570743</item>
      <item>Marija Vujčić Turkulin, OIB 22593287559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studenog 2015.</izvorni_sadrzaj>
    <derivirana_varijabla naziv="DomainObject.Datum_1">4. studenog 2015.</derivirana_varijabla>
  </DomainObject.Datum>
  <DomainObject.PoslovniBrojDokumenta>
    <izvorni_sadrzaj>St-106/2015-16</izvorni_sadrzaj>
    <derivirana_varijabla naziv="DomainObject.PoslovniBrojDokumenta_1">St-106/2015-16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POLIKLINIKA INTERNEURON d.o.o.</izvorni_sadrzaj>
    <derivirana_varijabla naziv="DomainObject.Predmet.ProtustrankaIDrugi_1">POLIKLINIKA INTERNEURON d.o.o.</derivirana_varijabla>
  </DomainObject.Predmet.ProtustrankaIDrugi>
  <DomainObject.Predmet.StrankaIDrugiAdressOIB>
    <izvorni_sadrzaj>FINA Regionalni centar Zagreb, OIB 85821130368, Ilica 307, 10000 Zagreb</izvorni_sadrzaj>
    <derivirana_varijabla naziv="DomainObject.Predmet.StrankaIDrugiAdressOIB_1">FINA Regionalni centar Zagreb, OIB 85821130368, Ilica 307, 10000 Zagreb</derivirana_varijabla>
  </DomainObject.Predmet.StrankaIDrugiAdressOIB>
  <DomainObject.Predmet.ProtustrankaIDrugiAdressOIB>
    <izvorni_sadrzaj>POLIKLINIKA INTERNEURON d.o.o., OIB 85084166209, Vlaška 126, Zagreb</izvorni_sadrzaj>
    <derivirana_varijabla naziv="DomainObject.Predmet.ProtustrankaIDrugiAdressOIB_1">POLIKLINIKA INTERNEURON d.o.o., OIB 85084166209, Vlaška 126,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POLIKLINIKA INTERNEURON d.o.o.</item>
      <item>Krešimir Jergović</item>
      <item>Marija Vujčić Turkulin</item>
    </izvorni_sadrzaj>
    <derivirana_varijabla naziv="DomainObject.Predmet.SudioniciListNaziv_1">
      <item>FINA Regionalni centar Zagreb</item>
      <item>POLIKLINIKA INTERNEURON d.o.o.</item>
      <item>Krešimir Jergović</item>
      <item>Marija Vujčić Turkulin</item>
    </derivirana_varijabla>
  </DomainObject.Predmet.SudioniciListNaziv>
  <DomainObject.Predmet.SudioniciListAdressOIB>
    <izvorni_sadrzaj>
      <item>FINA Regionalni centar Zagreb, OIB 85821130368, Ilica 307,10000 Zagreb</item>
      <item>POLIKLINIKA INTERNEURON d.o.o., OIB 85084166209, Vlaška 126,Zagreb</item>
      <item>Krešimir Jergović, OIB 25296570743, Nova Ves 72,10000 Zagreb</item>
      <item>Marija Vujčić Turkulin, OIB 22593287559, Vrtlarska 3,10000 Zagreb</item>
    </izvorni_sadrzaj>
    <derivirana_varijabla naziv="DomainObject.Predmet.SudioniciListAdressOIB_1">
      <item>FINA Regionalni centar Zagreb, OIB 85821130368, Ilica 307,10000 Zagreb</item>
      <item>POLIKLINIKA INTERNEURON d.o.o., OIB 85084166209, Vlaška 126,Zagreb</item>
      <item>Krešimir Jergović, OIB 25296570743, Nova Ves 72,10000 Zagreb</item>
      <item>Marija Vujčić Turkulin, OIB 22593287559, Vrtlarska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EE97A2C-15AF-40D3-ACF5-2728CE4DEA3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565</properties:Words>
  <properties:Characters>3051</properties:Characters>
  <properties:Lines>106</properties:Lines>
  <properties:Paragraphs>35</properties:Paragraphs>
  <properties:TotalTime>30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3702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2015-11-04T08:35:00Z</cp:lastPrinted>
  <dcterms:modified xmlns:xsi="http://www.w3.org/2001/XMLSchema-instance" xsi:type="dcterms:W3CDTF">2015-11-04T08:35:00Z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St-106/2015-16 / Odluka - Rješenje - otvaranje i zaključenje stečajnog postupka (čl. 63)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