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cde8" w14:paraId="87acde8" w:rsidRDefault="00EF311F" w:rsidP="00126F44" w:rsidR="00E543AD">
      <w:pPr>
        <w15:collapsed w:val="false"/>
      </w:pPr>
      <w:bookmarkStart w:name="_GoBack" w:id="0"/>
      <w:bookmarkEnd w:id="0"/>
      <w:r>
        <w:tab/>
      </w:r>
      <w:r>
        <w:tab/>
      </w:r>
      <w:r>
        <w:tab/>
      </w:r>
      <w:r>
        <w:tab/>
      </w:r>
      <w:r>
        <w:tab/>
      </w:r>
      <w:r>
        <w:tab/>
      </w:r>
      <w:r>
        <w:tab/>
      </w:r>
      <w:r>
        <w:tab/>
      </w:r>
      <w:r>
        <w:tab/>
      </w:r>
      <w:r>
        <w:tab/>
        <w:t>14 St-</w:t>
      </w:r>
      <w:r w:rsidR="009655F9">
        <w:t>1784</w:t>
      </w:r>
      <w:r>
        <w:t>/1</w:t>
      </w:r>
      <w:r w:rsidR="00E34885">
        <w:t>6</w:t>
      </w:r>
      <w:r>
        <w:t>-</w:t>
      </w:r>
      <w:r w:rsidR="00FC2774">
        <w:t>2</w:t>
      </w:r>
      <w:r w:rsidR="009655F9">
        <w:t>6</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3F4E67" w:rsidR="003F4E67">
      <w:pPr>
        <w:rPr>
          <w:b/>
          <w:bCs/>
        </w:rPr>
      </w:pPr>
    </w:p>
    <w:p w:rsidRDefault="003F4E67" w:rsidP="005A6B71" w:rsidR="0096087F">
      <w:pPr>
        <w:jc w:val="both"/>
      </w:pPr>
      <w:r>
        <w:tab/>
      </w:r>
      <w:r w:rsidRPr="003F4E67">
        <w:t xml:space="preserve">Trgovački sud u Osijeku, po sucu mr. sc. Tihomiru Kovačeviću, kao stečajnom sucu, povodom prijedloga FINANCIJSKE AGENCIJE ZAGREB, Regionalni centar Osijek, Podružnica Osijek, L. Jagera 3, OIB 85821130368 za otvaranje stečajnog postupka nad dužnikom KRUBER d.o.o. za proizvodnju, trgovinu i usluge, Đakovo, A. Starčevića 29, MBS 030096905, OIB 20700661383, dana </w:t>
      </w:r>
      <w:r>
        <w:t>28</w:t>
      </w:r>
      <w:r w:rsidRPr="003F4E67">
        <w:t>. listopada 2016.</w:t>
      </w:r>
    </w:p>
    <w:p w:rsidRDefault="003F4E67" w:rsidP="005A6B71" w:rsidR="003F4E67">
      <w:pPr>
        <w:jc w:val="both"/>
      </w:pPr>
    </w:p>
    <w:p w:rsidRDefault="003F4E67" w:rsidP="005A6B71" w:rsidR="003F4E67">
      <w:pPr>
        <w:jc w:val="both"/>
      </w:pPr>
    </w:p>
    <w:p w:rsidRDefault="00E543AD" w:rsidR="00E543AD" w:rsidRPr="00703147">
      <w:pPr>
        <w:jc w:val="center"/>
      </w:pPr>
      <w:r w:rsidRPr="00703147">
        <w:t>r i j e š i o  j e</w:t>
      </w:r>
    </w:p>
    <w:p w:rsidRDefault="0096087F" w:rsidP="005A6B71" w:rsidR="0096087F">
      <w:pPr>
        <w:rPr>
          <w:b/>
          <w:bCs/>
        </w:rPr>
      </w:pPr>
    </w:p>
    <w:p w:rsidRDefault="003F4E67" w:rsidP="005A6B71" w:rsidR="003F4E67">
      <w:pPr>
        <w:rPr>
          <w:b/>
          <w:bCs/>
        </w:rPr>
      </w:pPr>
    </w:p>
    <w:p w:rsidRDefault="006C55C7" w:rsidP="003F4E67"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3F4E67" w:rsidRPr="003F4E67">
        <w:rPr>
          <w:bCs/>
        </w:rPr>
        <w:t>KRUBER d.o.o. za proizvodnju, trgovinu i usluge, Đakovo, A. Starčevića 29, MBS 030096905, OIB 20700661383</w:t>
      </w:r>
      <w:r w:rsidRPr="00557979">
        <w:rPr>
          <w:bCs/>
        </w:rPr>
        <w:t>.</w:t>
      </w:r>
    </w:p>
    <w:p w:rsidRDefault="006C55C7" w:rsidP="006C55C7" w:rsidR="006C55C7">
      <w:pPr>
        <w:ind w:left="1065"/>
        <w:jc w:val="both"/>
        <w:rPr>
          <w:bCs/>
        </w:rPr>
      </w:pPr>
    </w:p>
    <w:p w:rsidRDefault="006C55C7" w:rsidP="003F4E67" w:rsidR="006C55C7">
      <w:pPr>
        <w:numPr>
          <w:ilvl w:val="0"/>
          <w:numId w:val="28"/>
        </w:numPr>
        <w:jc w:val="both"/>
      </w:pPr>
      <w:r w:rsidRPr="001209D9">
        <w:t>Za stečajn</w:t>
      </w:r>
      <w:r>
        <w:t>og</w:t>
      </w:r>
      <w:r w:rsidRPr="001209D9">
        <w:t xml:space="preserve"> upravitelj</w:t>
      </w:r>
      <w:r>
        <w:t>a</w:t>
      </w:r>
      <w:r w:rsidRPr="001209D9">
        <w:t xml:space="preserve"> imenuje se </w:t>
      </w:r>
      <w:r w:rsidR="003F4E67" w:rsidRPr="003F4E67">
        <w:t>Tihomir Zec, Osijek, K.A. Stepinca 4, OIB 80723087237</w:t>
      </w:r>
      <w:r w:rsidR="00061BE1">
        <w:t xml:space="preserve"> </w:t>
      </w:r>
      <w:r w:rsidRPr="00104A09">
        <w:t>automatskom dodjelom</w:t>
      </w:r>
      <w:r w:rsidR="00D54496">
        <w:t xml:space="preserve"> </w:t>
      </w:r>
      <w:r w:rsidR="00465215">
        <w:t>s iznimkom</w:t>
      </w:r>
      <w:r w:rsidR="00C53799">
        <w:t xml:space="preserve"> – promjenom uloge</w:t>
      </w:r>
      <w:r w:rsidRPr="002F195A">
        <w:t>.</w:t>
      </w:r>
    </w:p>
    <w:p w:rsidRDefault="009E5ADE" w:rsidP="009E5ADE" w:rsidR="009E5ADE">
      <w:pPr>
        <w:pStyle w:val="Odlomakpopisa"/>
      </w:pPr>
    </w:p>
    <w:p w:rsidRDefault="008D258E" w:rsidP="0025577E" w:rsidR="008D258E">
      <w:pPr>
        <w:numPr>
          <w:ilvl w:val="0"/>
          <w:numId w:val="28"/>
        </w:numPr>
        <w:jc w:val="both"/>
      </w:pPr>
      <w:r w:rsidRPr="0074324A">
        <w:t xml:space="preserve">Pozivaju se vjerovnici da u roku od 60 dana od dana objave oglasa o otvaranju stečajnog postupka na mrežnoj stranici e-Oglasna ploča sudova prijave svoje tražbine stečajnom upravitelju </w:t>
      </w:r>
      <w:r w:rsidR="0025577E" w:rsidRPr="0025577E">
        <w:t>Tihomir</w:t>
      </w:r>
      <w:r w:rsidR="0025577E">
        <w:t>u</w:t>
      </w:r>
      <w:r w:rsidR="0025577E" w:rsidRPr="0025577E">
        <w:t xml:space="preserve"> Zec, Osijek, K.A. Stepinca 4</w:t>
      </w:r>
      <w:r w:rsidRPr="0074324A">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25577E">
        <w:t>1784</w:t>
      </w:r>
      <w:r w:rsidRPr="0074324A">
        <w:t>-16.</w:t>
      </w:r>
    </w:p>
    <w:p w:rsidRDefault="009E5ADE" w:rsidP="009E5ADE" w:rsidR="009E5ADE">
      <w:pPr>
        <w:pStyle w:val="Odlomakpopisa"/>
      </w:pPr>
    </w:p>
    <w:p w:rsidRDefault="008D258E" w:rsidP="009E5ADE" w:rsidR="008D258E">
      <w:pPr>
        <w:numPr>
          <w:ilvl w:val="0"/>
          <w:numId w:val="28"/>
        </w:numPr>
        <w:jc w:val="both"/>
      </w:pPr>
      <w:r w:rsidRPr="0074324A">
        <w:t>Izlučni vjerovnici dužni su u roku iz t. 3. izreke ovoga rješenja obavijestiti stečajnog upravitelja o svom izlučnom pravu, pravnoj osnovi izlučnog prava i naznačiti predmet na koji se njihovo izlučno pravo odnosi, sukladno čl. 258. SZ-a.</w:t>
      </w:r>
    </w:p>
    <w:p w:rsidRDefault="009E5ADE" w:rsidP="009E5ADE" w:rsidR="009E5ADE">
      <w:pPr>
        <w:pStyle w:val="Odlomakpopisa"/>
      </w:pPr>
    </w:p>
    <w:p w:rsidRDefault="008D258E" w:rsidP="009E5ADE" w:rsidR="008D258E">
      <w:pPr>
        <w:numPr>
          <w:ilvl w:val="0"/>
          <w:numId w:val="28"/>
        </w:numPr>
        <w:jc w:val="both"/>
      </w:pPr>
      <w:r w:rsidRPr="0074324A">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9E5ADE" w:rsidP="009E5ADE" w:rsidR="009E5ADE">
      <w:pPr>
        <w:pStyle w:val="Odlomakpopisa"/>
      </w:pPr>
    </w:p>
    <w:p w:rsidRDefault="008D258E" w:rsidP="009E5ADE" w:rsidR="008D258E">
      <w:pPr>
        <w:numPr>
          <w:ilvl w:val="0"/>
          <w:numId w:val="28"/>
        </w:numPr>
        <w:jc w:val="both"/>
      </w:pPr>
      <w:r w:rsidRPr="0074324A">
        <w:lastRenderedPageBreak/>
        <w:t xml:space="preserve">Pozivaju se dužnikovi dužnici da svoje obveze bez odgode ispunjavaju stečajnom upravitelju za stečajnog dužnika. </w:t>
      </w:r>
    </w:p>
    <w:p w:rsidRDefault="009E5ADE" w:rsidP="009E5ADE" w:rsidR="009E5ADE">
      <w:pPr>
        <w:pStyle w:val="Odlomakpopisa"/>
      </w:pPr>
    </w:p>
    <w:p w:rsidRDefault="008D258E" w:rsidP="00BD0738" w:rsidR="008D258E" w:rsidRPr="00BD0738">
      <w:pPr>
        <w:numPr>
          <w:ilvl w:val="0"/>
          <w:numId w:val="28"/>
        </w:numPr>
        <w:jc w:val="both"/>
      </w:pPr>
      <w:r w:rsidRPr="0074324A">
        <w:t>Otvaranje stečajnog postupka ima se upisati u sudski registar ovoga suda</w:t>
      </w:r>
      <w:r w:rsidR="00B529E9">
        <w:rPr>
          <w:color w:val="000000"/>
        </w:rPr>
        <w:t>.</w:t>
      </w:r>
    </w:p>
    <w:p w:rsidRDefault="008D258E" w:rsidP="008D258E" w:rsidR="008D258E" w:rsidRPr="0074324A">
      <w:pPr>
        <w:jc w:val="both"/>
      </w:pPr>
    </w:p>
    <w:p w:rsidRDefault="008D258E" w:rsidP="00D53C58" w:rsidR="008D258E" w:rsidRPr="0074324A">
      <w:pPr>
        <w:pStyle w:val="Odlomakpopisa"/>
        <w:numPr>
          <w:ilvl w:val="0"/>
          <w:numId w:val="28"/>
        </w:numPr>
        <w:jc w:val="both"/>
      </w:pPr>
      <w:r w:rsidRPr="0074324A">
        <w:t xml:space="preserve">Stečajni postupak otvoren je dana </w:t>
      </w:r>
      <w:r w:rsidR="007955ED">
        <w:t>2</w:t>
      </w:r>
      <w:r w:rsidR="002A3867">
        <w:t>8</w:t>
      </w:r>
      <w:r w:rsidRPr="0074324A">
        <w:t xml:space="preserve">. </w:t>
      </w:r>
      <w:r w:rsidR="007955ED">
        <w:t>li</w:t>
      </w:r>
      <w:r w:rsidR="002A3867">
        <w:t>stopad</w:t>
      </w:r>
      <w:r w:rsidRPr="0074324A">
        <w:t xml:space="preserve">a 2016. godine u </w:t>
      </w:r>
      <w:r w:rsidR="0088026B">
        <w:t>9</w:t>
      </w:r>
      <w:r w:rsidRPr="0074324A">
        <w:t>,</w:t>
      </w:r>
      <w:r w:rsidR="002A3867">
        <w:t>3</w:t>
      </w:r>
      <w:r w:rsidRPr="0074324A">
        <w:t>0 sati, kada su ovo rješenje i oglas o otvaranju stečajnog postupka stavljeni na mrežnu stranicu e-Oglasna ploča sudova.</w:t>
      </w:r>
    </w:p>
    <w:p w:rsidRDefault="008D258E" w:rsidP="009E5ADE" w:rsidR="008D258E" w:rsidRPr="0074324A">
      <w:pPr>
        <w:ind w:left="720"/>
        <w:jc w:val="both"/>
      </w:pPr>
    </w:p>
    <w:p w:rsidRDefault="008D258E" w:rsidP="00D53C58" w:rsidR="008D258E" w:rsidRPr="0074324A">
      <w:pPr>
        <w:pStyle w:val="Odlomakpopisa"/>
        <w:numPr>
          <w:ilvl w:val="0"/>
          <w:numId w:val="28"/>
        </w:numPr>
        <w:jc w:val="both"/>
      </w:pPr>
      <w:r w:rsidRPr="0074324A">
        <w:t>Na dan objave oglasa na mrežnoj stranici e-Oglasna ploča sudova nastupaju pravne posljedice otvaranja stečajnog postupka.</w:t>
      </w:r>
    </w:p>
    <w:p w:rsidRDefault="008D258E" w:rsidP="009E5ADE" w:rsidR="008D258E" w:rsidRPr="0074324A">
      <w:pPr>
        <w:ind w:left="720"/>
        <w:jc w:val="both"/>
      </w:pPr>
    </w:p>
    <w:p w:rsidRDefault="008D258E" w:rsidP="00D53C58" w:rsidR="008D258E" w:rsidRPr="0074324A">
      <w:pPr>
        <w:pStyle w:val="Odlomakpopisa"/>
        <w:numPr>
          <w:ilvl w:val="0"/>
          <w:numId w:val="28"/>
        </w:numPr>
        <w:jc w:val="both"/>
      </w:pPr>
      <w:r w:rsidRPr="0074324A">
        <w:t>Ročište vjerovnika na kojem će se ispitati prijavljene tražbine (ispitno ročište) određuje se za dan</w:t>
      </w:r>
    </w:p>
    <w:p w:rsidRDefault="008D258E" w:rsidP="008D258E" w:rsidR="008D258E" w:rsidRPr="0074324A">
      <w:pPr>
        <w:jc w:val="both"/>
      </w:pPr>
    </w:p>
    <w:p w:rsidRDefault="002A3867" w:rsidP="008D258E" w:rsidR="008D258E" w:rsidRPr="0074324A">
      <w:pPr>
        <w:ind w:left="720"/>
        <w:jc w:val="center"/>
      </w:pPr>
      <w:r>
        <w:t>30</w:t>
      </w:r>
      <w:r w:rsidR="008D258E" w:rsidRPr="0074324A">
        <w:t xml:space="preserve">. </w:t>
      </w:r>
      <w:r>
        <w:t>siječnj</w:t>
      </w:r>
      <w:r w:rsidR="008D258E">
        <w:t>a</w:t>
      </w:r>
      <w:r w:rsidR="008D258E" w:rsidRPr="0074324A">
        <w:t xml:space="preserve"> 201</w:t>
      </w:r>
      <w:r>
        <w:t>7</w:t>
      </w:r>
      <w:r w:rsidR="008D258E" w:rsidRPr="0074324A">
        <w:t>. godine</w:t>
      </w:r>
    </w:p>
    <w:p w:rsidRDefault="008D258E" w:rsidP="008D258E" w:rsidR="008D258E" w:rsidRPr="0074324A">
      <w:pPr>
        <w:ind w:left="720"/>
        <w:jc w:val="center"/>
      </w:pPr>
      <w:r w:rsidRPr="0074324A">
        <w:t xml:space="preserve">s početkom u </w:t>
      </w:r>
      <w:r w:rsidR="007955ED">
        <w:t>1</w:t>
      </w:r>
      <w:r w:rsidR="002A3867">
        <w:t>1</w:t>
      </w:r>
      <w:r w:rsidRPr="0074324A">
        <w:t>,00 sati</w:t>
      </w:r>
    </w:p>
    <w:p w:rsidRDefault="008D258E" w:rsidP="008D258E" w:rsidR="008D258E" w:rsidRPr="0074324A">
      <w:pPr>
        <w:ind w:left="720"/>
        <w:jc w:val="center"/>
      </w:pPr>
      <w:r w:rsidRPr="0074324A">
        <w:t>u Trgovačkom sudu u Osijeku</w:t>
      </w:r>
    </w:p>
    <w:p w:rsidRDefault="008D258E" w:rsidP="008D258E" w:rsidR="008D258E" w:rsidRPr="0074324A">
      <w:pPr>
        <w:ind w:left="720"/>
        <w:jc w:val="center"/>
      </w:pPr>
      <w:r w:rsidRPr="0074324A">
        <w:t>Zagrebačka br. 2. soba br. 21/I.</w:t>
      </w:r>
    </w:p>
    <w:p w:rsidRDefault="008D258E" w:rsidP="008D258E" w:rsidR="008D258E" w:rsidRPr="0074324A">
      <w:pPr>
        <w:jc w:val="both"/>
      </w:pPr>
    </w:p>
    <w:p w:rsidRDefault="008D258E" w:rsidP="007955ED" w:rsidR="008D258E" w:rsidRPr="0074324A">
      <w:pPr>
        <w:pStyle w:val="Odlomakpopisa"/>
        <w:numPr>
          <w:ilvl w:val="0"/>
          <w:numId w:val="28"/>
        </w:numPr>
        <w:jc w:val="both"/>
      </w:pPr>
      <w:r w:rsidRPr="0074324A">
        <w:t xml:space="preserve">Ročište vjerovnika na kojem će se na temelju izvješća stečajnog upravitelja odlučivati o daljnjem tijeku stečajnog postupka (izvještajno ročište) zakazuje se za isti dan i na istom mjestu s početkom u </w:t>
      </w:r>
      <w:r w:rsidR="007955ED">
        <w:t>1</w:t>
      </w:r>
      <w:r w:rsidR="002A3867">
        <w:t>1</w:t>
      </w:r>
      <w:r w:rsidRPr="0074324A">
        <w:t>,30 sati.</w:t>
      </w:r>
    </w:p>
    <w:p w:rsidRDefault="006C55C7" w:rsidP="006C55C7" w:rsidR="006C55C7">
      <w:pPr>
        <w:jc w:val="both"/>
      </w:pPr>
    </w:p>
    <w:p w:rsidRDefault="00A56402" w:rsidP="006C55C7" w:rsidR="00A56402">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2A3867" w:rsidP="002A3867" w:rsidR="002A3867">
      <w:pPr>
        <w:ind w:firstLine="720"/>
        <w:jc w:val="both"/>
      </w:pPr>
      <w:r>
        <w:t xml:space="preserve">Dana 1.06.2016. zaprimljen je na ovome sudu prijedlog FINE Regionalni centar Osijek, Podružnica Osijek, klasa: 110-07/16-01/04 Ur. broj 04-06-16-9556 od 31.05.2016. godine, za otvranje stečajnog postupka nad dužnikom </w:t>
      </w:r>
      <w:r w:rsidRPr="00956FCE">
        <w:t>KRUBER d.o.o. za proizvodnju, trgovinu i usluge, Đakovo, A. Starčevića 29, MBS: 030096905, OIB: 20700661383</w:t>
      </w:r>
      <w:r>
        <w:t>, temeljem odredbe čl. 444. st. 2. Stečajnog zakona (NN 71/15, dalje: SZ).</w:t>
      </w:r>
    </w:p>
    <w:p w:rsidRDefault="002A3867" w:rsidP="002A3867" w:rsidR="002A3867">
      <w:pPr>
        <w:ind w:firstLine="720"/>
        <w:jc w:val="both"/>
      </w:pPr>
    </w:p>
    <w:p w:rsidRDefault="002A3867" w:rsidP="002A3867" w:rsidR="002A3867">
      <w:pPr>
        <w:ind w:firstLine="720"/>
        <w:jc w:val="both"/>
      </w:pPr>
      <w:r>
        <w:t>U prijedlogu je navela da na dan 1.09.2015. dužnik u Očevidniku redoslijeda osnova za plaćanje ima evidentirane neizvršene osnove za plaćanje u neprekinutom razdoblju od 1573 dana, u ukupnom iznosu od 8.392.195,96 kn, u koji iznos je uračunata kamata i naknada FINE za provedbe ovrhe na novčanim sredstvima dužnika. Navodi da dužnik ima 1 zaposlenog radnika.</w:t>
      </w:r>
    </w:p>
    <w:p w:rsidRDefault="002A3867" w:rsidP="002A3867" w:rsidR="002A3867">
      <w:pPr>
        <w:ind w:firstLine="720"/>
        <w:jc w:val="both"/>
      </w:pPr>
    </w:p>
    <w:p w:rsidRDefault="002A3867" w:rsidP="002A3867" w:rsidR="002A3867">
      <w:pPr>
        <w:ind w:firstLine="720"/>
        <w:jc w:val="both"/>
      </w:pPr>
      <w:r>
        <w:t>Dostavlja popis računa i oročenih novčanih sredstava na dan 31.05.2016., te u svom podnesku od 16.06.2016. navodi da dužnik na dan 16.06.2016. na temelju čl. 112. st. 5. SZ na ime predujma za namirenje troškova stečajnog postupka nema zaplijenjena novčana sredstva.</w:t>
      </w:r>
    </w:p>
    <w:p w:rsidRDefault="0059650C" w:rsidP="00D621A8" w:rsidR="0059650C">
      <w:pPr>
        <w:jc w:val="both"/>
      </w:pPr>
    </w:p>
    <w:p w:rsidRDefault="0059650C" w:rsidP="001A661E" w:rsidR="001A661E">
      <w:pPr>
        <w:jc w:val="both"/>
      </w:pPr>
      <w:r>
        <w:tab/>
      </w:r>
      <w:r w:rsidR="001A661E">
        <w:t xml:space="preserve">Sud je utvrdio da je predlagatelj ovlašten za podnošenje predmetnoga prijedloga temeljem odredbe čl. </w:t>
      </w:r>
      <w:r w:rsidR="005C59B6">
        <w:t>444</w:t>
      </w:r>
      <w:r w:rsidR="001A661E">
        <w:t>. st. 2. SZ, te je donio rješenje o pokretanju prethodnog postupka i imenovao privremenog stečajnog postupka (čl. 115. st. 1. i 2. SZ-a), odredio mu dužnosti (čl. 119. st. 2. i 3. SZ-a) i zakazao ročište</w:t>
      </w:r>
      <w:r w:rsidR="00ED1186">
        <w:t xml:space="preserve"> (čl. 123. i čl. 128. st.1. SZ-a)</w:t>
      </w:r>
      <w:r w:rsidR="001A661E">
        <w:t>.</w:t>
      </w:r>
    </w:p>
    <w:p w:rsidRDefault="00FD785A" w:rsidP="00FD785A" w:rsidR="00FD785A">
      <w:pPr>
        <w:jc w:val="both"/>
        <w:rPr>
          <w:color w:val="000000"/>
        </w:rPr>
      </w:pPr>
    </w:p>
    <w:p w:rsidRDefault="007A3670" w:rsidP="00197349" w:rsidR="00197349" w:rsidRPr="00D360B1">
      <w:pPr>
        <w:jc w:val="both"/>
      </w:pPr>
      <w:r>
        <w:rPr>
          <w:color w:val="000000"/>
        </w:rPr>
        <w:tab/>
      </w:r>
      <w:r w:rsidR="0040787B">
        <w:rPr>
          <w:color w:val="000000"/>
        </w:rPr>
        <w:t xml:space="preserve">U određenom </w:t>
      </w:r>
      <w:r w:rsidR="00ED1186">
        <w:rPr>
          <w:color w:val="000000"/>
        </w:rPr>
        <w:t>mu</w:t>
      </w:r>
      <w:r w:rsidR="0040787B">
        <w:rPr>
          <w:color w:val="000000"/>
        </w:rPr>
        <w:t xml:space="preserve"> roku privremen</w:t>
      </w:r>
      <w:r w:rsidR="00ED1186">
        <w:rPr>
          <w:color w:val="000000"/>
        </w:rPr>
        <w:t>i</w:t>
      </w:r>
      <w:r w:rsidR="0040787B">
        <w:rPr>
          <w:color w:val="000000"/>
        </w:rPr>
        <w:t xml:space="preserve"> stečajn</w:t>
      </w:r>
      <w:r w:rsidR="00ED1186">
        <w:rPr>
          <w:color w:val="000000"/>
        </w:rPr>
        <w:t>i</w:t>
      </w:r>
      <w:r w:rsidR="0040787B">
        <w:rPr>
          <w:color w:val="000000"/>
        </w:rPr>
        <w:t xml:space="preserve"> upravitelj dostavi</w:t>
      </w:r>
      <w:r w:rsidR="00ED1186">
        <w:rPr>
          <w:color w:val="000000"/>
        </w:rPr>
        <w:t>o</w:t>
      </w:r>
      <w:r w:rsidR="0040787B">
        <w:rPr>
          <w:color w:val="000000"/>
        </w:rPr>
        <w:t xml:space="preserve"> je svoje pisano izvješće</w:t>
      </w:r>
      <w:r w:rsidR="00D85C45">
        <w:rPr>
          <w:color w:val="000000"/>
        </w:rPr>
        <w:t xml:space="preserve">, koje prileži u spisu na listu </w:t>
      </w:r>
      <w:r w:rsidR="005C59B6">
        <w:rPr>
          <w:color w:val="000000"/>
        </w:rPr>
        <w:t>34</w:t>
      </w:r>
      <w:r w:rsidR="00D85C45">
        <w:rPr>
          <w:color w:val="000000"/>
        </w:rPr>
        <w:t>-</w:t>
      </w:r>
      <w:r w:rsidR="005C59B6">
        <w:rPr>
          <w:color w:val="000000"/>
        </w:rPr>
        <w:t>40</w:t>
      </w:r>
      <w:r w:rsidR="00D85C45">
        <w:rPr>
          <w:color w:val="000000"/>
        </w:rPr>
        <w:t xml:space="preserve"> i koje je izložio na ročištu održanom </w:t>
      </w:r>
      <w:r w:rsidR="005C59B6">
        <w:rPr>
          <w:color w:val="000000"/>
        </w:rPr>
        <w:t>6</w:t>
      </w:r>
      <w:r w:rsidR="00D85C45">
        <w:rPr>
          <w:color w:val="000000"/>
        </w:rPr>
        <w:t>.</w:t>
      </w:r>
      <w:r w:rsidR="005C59B6">
        <w:rPr>
          <w:color w:val="000000"/>
        </w:rPr>
        <w:t>10</w:t>
      </w:r>
      <w:r w:rsidR="00D85C45">
        <w:rPr>
          <w:color w:val="000000"/>
        </w:rPr>
        <w:t xml:space="preserve">.2016., radi </w:t>
      </w:r>
      <w:r w:rsidR="00D85C45">
        <w:rPr>
          <w:color w:val="000000"/>
        </w:rPr>
        <w:lastRenderedPageBreak/>
        <w:t>izjašnjenja o prijedlogu za otvaranje stečajnog postupka i radi rasprave o uvjetima za otvaranje ste</w:t>
      </w:r>
      <w:r w:rsidR="00081AD8">
        <w:rPr>
          <w:color w:val="000000"/>
        </w:rPr>
        <w:t xml:space="preserve">čajnog postupka nad dužnikom, te je naveo da </w:t>
      </w:r>
      <w:r w:rsidR="00197349">
        <w:t>p</w:t>
      </w:r>
      <w:r w:rsidR="00197349" w:rsidRPr="00D360B1">
        <w:t>rema tvrdnjama zakonskog zastupnika dužnika, osnovni predmet poslovanja društva bila je proizvodnja fu</w:t>
      </w:r>
      <w:r w:rsidR="00197349">
        <w:t>r</w:t>
      </w:r>
      <w:r w:rsidR="00197349" w:rsidRPr="00D360B1">
        <w:t>nira i ostalih ploča od drveta, koja proizvodnja  se odvijala u zakupljenim proizvodnim pogonima u Novoj Kapeli. Tijekom najboljih godina poslovanja (2007. – 2012.) dužnik je u prosjeku zapošljavao stotinjak radnika dok su se godišnji prihodi od poslovanja kretali u rasponu od 7-12 milijuna kuna.</w:t>
      </w:r>
    </w:p>
    <w:p w:rsidRDefault="00197349" w:rsidP="00197349" w:rsidR="00197349" w:rsidRPr="00D360B1">
      <w:pPr>
        <w:jc w:val="both"/>
      </w:pPr>
    </w:p>
    <w:p w:rsidRDefault="00197349" w:rsidP="00197349" w:rsidR="00197349" w:rsidRPr="00D360B1">
      <w:pPr>
        <w:jc w:val="both"/>
      </w:pPr>
      <w:r>
        <w:tab/>
      </w:r>
      <w:r w:rsidRPr="00D360B1">
        <w:t>Uslijed recesije, drastičnog pada cijene proizvoda (preko 40%), značajnog smanjenja narudžbi od strane inozemnih kupaca društvo je tijekom 2011. godine zapalo u poteškoće, blokiran im je računa, što je u konačnici impliciralo otkazivanjem zakupnog odnosa, prestankom proizvodnje, otpuštanjem zaposlenih, tako da od kolovoza 2011. godine društvo faktički ne posluje.</w:t>
      </w:r>
    </w:p>
    <w:p w:rsidRDefault="00197349" w:rsidP="00197349" w:rsidR="00197349" w:rsidRPr="00D360B1">
      <w:pPr>
        <w:jc w:val="both"/>
      </w:pPr>
    </w:p>
    <w:p w:rsidRDefault="00197349" w:rsidP="00197349" w:rsidR="00197349" w:rsidRPr="00D360B1">
      <w:pPr>
        <w:jc w:val="both"/>
      </w:pPr>
      <w:r>
        <w:tab/>
      </w:r>
      <w:r w:rsidRPr="00D360B1">
        <w:t>Zakonski zastupnik nije u posjedu većeg dijela poslovne dokumentacije, poglavito za period 2013</w:t>
      </w:r>
      <w:r>
        <w:t>.</w:t>
      </w:r>
      <w:r w:rsidRPr="00D360B1">
        <w:t>-2016</w:t>
      </w:r>
      <w:r>
        <w:t>.</w:t>
      </w:r>
      <w:r w:rsidRPr="00D360B1">
        <w:t xml:space="preserve">, a prema tvrdnjama istog za navedena razdoblja nisu niti podnošeni godišnji financijski izvještaji. </w:t>
      </w:r>
    </w:p>
    <w:p w:rsidRDefault="00197349" w:rsidP="00197349" w:rsidR="00197349" w:rsidRPr="00D360B1">
      <w:pPr>
        <w:jc w:val="both"/>
      </w:pPr>
    </w:p>
    <w:p w:rsidRDefault="00197349" w:rsidP="00197349" w:rsidR="00197349" w:rsidRPr="00D360B1">
      <w:pPr>
        <w:jc w:val="both"/>
      </w:pPr>
      <w:r>
        <w:tab/>
      </w:r>
      <w:r w:rsidRPr="00D360B1">
        <w:t xml:space="preserve">Zbog nedostatnosti i nedostupnosti dokumentacije, pri utvrđivanju financijsko-gospodarskog položaja dužnika korišteni su isključivo izvori javno objavljenih financijskih podataka putem RGFI-a i portala Poslovna Hrvatska. Valja napomenuti da je posljednje javno objavljeno financijsko izvješće dužnika u Registru financijskih izvještaja ono za 2011. godinu dok portal Poslovna Hrvatska raspolaže podatcima i za 2012. i 2013. godinu, koji podaci odgovaraju bruto bilancama za 2012. i 2013. Koje su dostavljene od strane zakonskog zastupnika dužnika. </w:t>
      </w:r>
    </w:p>
    <w:p w:rsidRDefault="00197349" w:rsidP="00197349" w:rsidR="00197349" w:rsidRPr="00D360B1">
      <w:pPr>
        <w:jc w:val="both"/>
      </w:pPr>
    </w:p>
    <w:p w:rsidRDefault="00197349" w:rsidP="00197349" w:rsidR="00197349" w:rsidRPr="00D360B1">
      <w:pPr>
        <w:jc w:val="both"/>
        <w:rPr>
          <w:b/>
        </w:rPr>
      </w:pPr>
      <w:r>
        <w:tab/>
      </w:r>
      <w:r w:rsidRPr="00D360B1">
        <w:t>Dužnik ima u radnom odnosu jednog zaposlenog i to zakonskog zastupnika Krunoslava Andrića.</w:t>
      </w:r>
    </w:p>
    <w:p w:rsidRDefault="00197349" w:rsidP="00197349" w:rsidR="00197349" w:rsidRPr="00D360B1"/>
    <w:p w:rsidRDefault="00197349" w:rsidP="00197349" w:rsidR="00197349" w:rsidRPr="00D360B1">
      <w:pPr>
        <w:rPr>
          <w:b/>
        </w:rPr>
      </w:pPr>
      <w:r>
        <w:tab/>
      </w:r>
      <w:r w:rsidRPr="00D360B1">
        <w:t>Imovina dužnika je u bilanci iskazana prema sljedećim stavkama:</w:t>
      </w:r>
    </w:p>
    <w:p w:rsidRDefault="00197349" w:rsidP="00197349" w:rsidR="00197349" w:rsidRPr="00D360B1">
      <w:pPr>
        <w:jc w:val="both"/>
        <w:rPr>
          <w:b/>
        </w:rPr>
      </w:pPr>
    </w:p>
    <w:p w:rsidRDefault="00197349" w:rsidP="00197349" w:rsidR="00197349">
      <w:pPr>
        <w:jc w:val="both"/>
        <w:rPr>
          <w:rFonts w:cs="Calibri Light" w:hAnsi="Calibri Light" w:ascii="Calibri Light"/>
          <w:b/>
        </w:rPr>
      </w:pPr>
    </w:p>
    <w:tbl>
      <w:tblPr>
        <w:tblW w:type="dxa" w:w="10200"/>
        <w:tblInd w:type="dxa" w:w="113"/>
        <w:tblLook w:val="04A0" w:noVBand="1" w:noHBand="0" w:lastColumn="0" w:firstColumn="1" w:lastRow="0" w:firstRow="1"/>
      </w:tblPr>
      <w:tblGrid>
        <w:gridCol w:w="6660"/>
        <w:gridCol w:w="1180"/>
        <w:gridCol w:w="1180"/>
        <w:gridCol w:w="1180"/>
      </w:tblGrid>
      <w:tr w:rsidTr="00197349" w:rsidR="00197349">
        <w:trPr>
          <w:trHeight w:val="255"/>
        </w:trPr>
        <w:tc>
          <w:tcPr>
            <w:tcW w:type="dxa" w:w="6660"/>
            <w:tcBorders>
              <w:top w:space="0" w:sz="4" w:color="auto" w:val="single"/>
              <w:left w:space="0" w:sz="4" w:color="auto" w:val="single"/>
              <w:bottom w:space="0" w:sz="4" w:color="auto" w:val="single"/>
              <w:right w:space="0" w:sz="4" w:color="auto" w:val="single"/>
            </w:tcBorders>
            <w:shd w:fill="BFBFBF" w:color="auto" w:val="clear"/>
            <w:noWrap/>
            <w:vAlign w:val="center"/>
            <w:hideMark/>
          </w:tcPr>
          <w:p w:rsidRDefault="00197349" w:rsidP="00197349" w:rsidR="00197349" w:rsidRPr="00A557DE">
            <w:pPr>
              <w:rPr>
                <w:b/>
                <w:bCs/>
                <w:color w:val="000000"/>
                <w:sz w:val="20"/>
                <w:szCs w:val="20"/>
              </w:rPr>
            </w:pPr>
            <w:r w:rsidRPr="00A557DE">
              <w:rPr>
                <w:b/>
                <w:bCs/>
                <w:color w:val="000000"/>
                <w:sz w:val="20"/>
                <w:szCs w:val="20"/>
              </w:rPr>
              <w:t>AKTIVA</w:t>
            </w:r>
          </w:p>
        </w:tc>
        <w:tc>
          <w:tcPr>
            <w:tcW w:type="dxa" w:w="1180"/>
            <w:tcBorders>
              <w:top w:space="0" w:sz="4" w:color="auto" w:val="single"/>
              <w:left w:val="nil"/>
              <w:bottom w:space="0" w:sz="4" w:color="auto" w:val="single"/>
              <w:right w:space="0" w:sz="4" w:color="auto" w:val="single"/>
            </w:tcBorders>
            <w:shd w:fill="BFBFBF" w:color="auto" w:val="clear"/>
            <w:noWrap/>
            <w:vAlign w:val="center"/>
            <w:hideMark/>
          </w:tcPr>
          <w:p w:rsidRDefault="00197349" w:rsidP="00197349" w:rsidR="00197349" w:rsidRPr="00A557DE">
            <w:pPr>
              <w:jc w:val="center"/>
              <w:rPr>
                <w:b/>
                <w:bCs/>
                <w:color w:val="000000"/>
                <w:sz w:val="20"/>
                <w:szCs w:val="20"/>
              </w:rPr>
            </w:pPr>
            <w:r w:rsidRPr="00A557DE">
              <w:rPr>
                <w:b/>
                <w:bCs/>
                <w:color w:val="000000"/>
                <w:sz w:val="20"/>
                <w:szCs w:val="20"/>
              </w:rPr>
              <w:t>2011</w:t>
            </w:r>
          </w:p>
        </w:tc>
        <w:tc>
          <w:tcPr>
            <w:tcW w:type="dxa" w:w="1180"/>
            <w:tcBorders>
              <w:top w:space="0" w:sz="4" w:color="auto" w:val="single"/>
              <w:left w:val="nil"/>
              <w:bottom w:space="0" w:sz="4" w:color="auto" w:val="single"/>
              <w:right w:space="0" w:sz="4" w:color="auto" w:val="single"/>
            </w:tcBorders>
            <w:shd w:fill="BFBFBF" w:color="auto" w:val="clear"/>
            <w:noWrap/>
            <w:vAlign w:val="center"/>
            <w:hideMark/>
          </w:tcPr>
          <w:p w:rsidRDefault="00197349" w:rsidP="00197349" w:rsidR="00197349" w:rsidRPr="00A557DE">
            <w:pPr>
              <w:jc w:val="center"/>
              <w:rPr>
                <w:b/>
                <w:bCs/>
                <w:color w:val="000000"/>
                <w:sz w:val="20"/>
                <w:szCs w:val="20"/>
              </w:rPr>
            </w:pPr>
            <w:r w:rsidRPr="00A557DE">
              <w:rPr>
                <w:b/>
                <w:bCs/>
                <w:color w:val="000000"/>
                <w:sz w:val="20"/>
                <w:szCs w:val="20"/>
              </w:rPr>
              <w:t>2012</w:t>
            </w:r>
          </w:p>
        </w:tc>
        <w:tc>
          <w:tcPr>
            <w:tcW w:type="dxa" w:w="1180"/>
            <w:tcBorders>
              <w:top w:space="0" w:sz="4" w:color="auto" w:val="single"/>
              <w:left w:val="nil"/>
              <w:bottom w:space="0" w:sz="4" w:color="auto" w:val="single"/>
              <w:right w:space="0" w:sz="4" w:color="auto" w:val="single"/>
            </w:tcBorders>
            <w:shd w:fill="BFBFBF" w:color="auto" w:val="clear"/>
            <w:noWrap/>
            <w:vAlign w:val="center"/>
            <w:hideMark/>
          </w:tcPr>
          <w:p w:rsidRDefault="00197349" w:rsidP="00197349" w:rsidR="00197349" w:rsidRPr="00A557DE">
            <w:pPr>
              <w:jc w:val="center"/>
              <w:rPr>
                <w:b/>
                <w:bCs/>
                <w:color w:val="000000"/>
                <w:sz w:val="20"/>
                <w:szCs w:val="20"/>
              </w:rPr>
            </w:pPr>
            <w:r w:rsidRPr="00A557DE">
              <w:rPr>
                <w:b/>
                <w:bCs/>
                <w:color w:val="000000"/>
                <w:sz w:val="20"/>
                <w:szCs w:val="20"/>
              </w:rPr>
              <w:t>2013</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A) POTRAŽIVANJA ZA UPISANI A NEUPLAĆENI KAPITAL</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B) DUGOTRAJNA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330.900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1.584.600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1.584.600</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 NEMATERIJALNA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6.700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6.700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6.700</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II. MATERIJALNA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324.200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1.578.000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1.578.000</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III. DUGOTRAJNA FINANCIJSKA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IV. POTRAŽIVANJA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V. ODGOĐENA POREZNA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C) KRATKOTRAJNA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8.481.600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3.907.600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4.886.300</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 ZALIHE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II. POTRAŽIVANJA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6.521.000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3.716.800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4.553.500</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III. KRATKOTRAJNA FINANCIJSKA IMOVINA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1.956.700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190.800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327.000</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IV. NOVAC U BANCI I BLAGAJNI</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jc w:val="right"/>
              <w:rPr>
                <w:color w:val="000000"/>
                <w:sz w:val="20"/>
                <w:szCs w:val="20"/>
              </w:rPr>
            </w:pPr>
            <w:r w:rsidRPr="00A557DE">
              <w:rPr>
                <w:color w:val="000000"/>
                <w:sz w:val="20"/>
                <w:szCs w:val="20"/>
              </w:rPr>
              <w:t>4.000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color w:val="000000"/>
                <w:sz w:val="20"/>
                <w:szCs w:val="20"/>
              </w:rPr>
            </w:pPr>
            <w:r w:rsidRPr="00A557DE">
              <w:rPr>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D) PLAĆENI TROŠKOVI BUDUĆEG RAZDOBLJA I OBRAČUNATI PRIHODI</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A557DE">
            <w:pPr>
              <w:rPr>
                <w:b/>
                <w:bCs/>
                <w:color w:val="000000"/>
                <w:sz w:val="20"/>
                <w:szCs w:val="20"/>
              </w:rPr>
            </w:pPr>
            <w:r w:rsidRPr="00A557DE">
              <w:rPr>
                <w:b/>
                <w:bCs/>
                <w:color w:val="000000"/>
                <w:sz w:val="20"/>
                <w:szCs w:val="20"/>
              </w:rPr>
              <w:t> </w:t>
            </w:r>
          </w:p>
        </w:tc>
      </w:tr>
      <w:tr w:rsidTr="00197349" w:rsidR="00197349">
        <w:trPr>
          <w:trHeight w:val="255"/>
        </w:trPr>
        <w:tc>
          <w:tcPr>
            <w:tcW w:type="dxa" w:w="6660"/>
            <w:tcBorders>
              <w:top w:val="nil"/>
              <w:left w:space="0" w:sz="4" w:color="auto" w:val="single"/>
              <w:bottom w:space="0" w:sz="4" w:color="auto" w:val="single"/>
              <w:right w:space="0" w:sz="4" w:color="auto" w:val="single"/>
            </w:tcBorders>
            <w:shd w:fill="BFBFBF" w:color="auto" w:val="clear"/>
            <w:noWrap/>
            <w:vAlign w:val="center"/>
            <w:hideMark/>
          </w:tcPr>
          <w:p w:rsidRDefault="00197349" w:rsidP="00197349" w:rsidR="00197349" w:rsidRPr="00A557DE">
            <w:pPr>
              <w:rPr>
                <w:b/>
                <w:bCs/>
                <w:color w:val="000000"/>
                <w:sz w:val="20"/>
                <w:szCs w:val="20"/>
              </w:rPr>
            </w:pPr>
            <w:r w:rsidRPr="00A557DE">
              <w:rPr>
                <w:b/>
                <w:bCs/>
                <w:color w:val="000000"/>
                <w:sz w:val="20"/>
                <w:szCs w:val="20"/>
              </w:rPr>
              <w:t>E) UKUPNO AKTIVA</w:t>
            </w:r>
          </w:p>
        </w:tc>
        <w:tc>
          <w:tcPr>
            <w:tcW w:type="dxa" w:w="1180"/>
            <w:tcBorders>
              <w:top w:val="nil"/>
              <w:left w:val="nil"/>
              <w:bottom w:space="0" w:sz="4" w:color="auto" w:val="single"/>
              <w:right w:space="0" w:sz="4" w:color="auto" w:val="single"/>
            </w:tcBorders>
            <w:shd w:fill="BFBFBF" w:color="auto" w:val="clear"/>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8.812.500</w:t>
            </w:r>
          </w:p>
        </w:tc>
        <w:tc>
          <w:tcPr>
            <w:tcW w:type="dxa" w:w="1180"/>
            <w:tcBorders>
              <w:top w:val="nil"/>
              <w:left w:val="nil"/>
              <w:bottom w:space="0" w:sz="4" w:color="auto" w:val="single"/>
              <w:right w:space="0" w:sz="4" w:color="auto" w:val="single"/>
            </w:tcBorders>
            <w:shd w:fill="BFBFBF" w:color="auto" w:val="clear"/>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5.492.200</w:t>
            </w:r>
          </w:p>
        </w:tc>
        <w:tc>
          <w:tcPr>
            <w:tcW w:type="dxa" w:w="1180"/>
            <w:tcBorders>
              <w:top w:val="nil"/>
              <w:left w:val="nil"/>
              <w:bottom w:space="0" w:sz="4" w:color="auto" w:val="single"/>
              <w:right w:space="0" w:sz="4" w:color="auto" w:val="single"/>
            </w:tcBorders>
            <w:shd w:fill="BFBFBF" w:color="auto" w:val="clear"/>
            <w:noWrap/>
            <w:vAlign w:val="center"/>
            <w:hideMark/>
          </w:tcPr>
          <w:p w:rsidRDefault="00197349" w:rsidP="00197349" w:rsidR="00197349" w:rsidRPr="00A557DE">
            <w:pPr>
              <w:jc w:val="right"/>
              <w:rPr>
                <w:b/>
                <w:bCs/>
                <w:color w:val="000000"/>
                <w:sz w:val="20"/>
                <w:szCs w:val="20"/>
              </w:rPr>
            </w:pPr>
            <w:r w:rsidRPr="00A557DE">
              <w:rPr>
                <w:b/>
                <w:bCs/>
                <w:color w:val="000000"/>
                <w:sz w:val="20"/>
                <w:szCs w:val="20"/>
              </w:rPr>
              <w:t>6.470.900</w:t>
            </w:r>
          </w:p>
        </w:tc>
      </w:tr>
    </w:tbl>
    <w:p w:rsidRDefault="00197349" w:rsidP="00197349" w:rsidR="00197349">
      <w:pPr>
        <w:jc w:val="both"/>
        <w:rPr>
          <w:rFonts w:cs="Calibri Light" w:hAnsi="Calibri Light" w:ascii="Calibri Light"/>
        </w:rPr>
      </w:pPr>
    </w:p>
    <w:p w:rsidRDefault="00197349" w:rsidP="00197349" w:rsidR="00197349" w:rsidRPr="00CC3017">
      <w:pPr>
        <w:jc w:val="both"/>
      </w:pPr>
      <w:r>
        <w:tab/>
      </w:r>
      <w:r w:rsidRPr="00CC3017">
        <w:t>Prema bilančnim podatcima za 2011. godinu koji su objavljeni na stranicama RGFI-a i podatcima zemljišno-knjižnog odjela dužnik nije vlasnik nekretnina u obliku zemljišta i građevinskih objekata, a to je potvrđeno i temeljem uvida u zemljišne knjige.</w:t>
      </w:r>
    </w:p>
    <w:p w:rsidRDefault="00197349" w:rsidP="00197349" w:rsidR="00197349" w:rsidRPr="00CC3017">
      <w:pPr>
        <w:jc w:val="both"/>
      </w:pPr>
    </w:p>
    <w:p w:rsidRDefault="00197349" w:rsidP="00197349" w:rsidR="00197349" w:rsidRPr="00CC3017">
      <w:pPr>
        <w:jc w:val="both"/>
      </w:pPr>
      <w:r>
        <w:tab/>
      </w:r>
      <w:r w:rsidRPr="00CC3017">
        <w:t xml:space="preserve">Dužnik bilančno iskazuje materijalnu imovinu u obliku postrojenja i opreme što je također vidljivo iz bilančnih bilježaka za 2011. godinu. Evidentirano povećanje materijalne imovine u 2012. i 2013. godini odnosi se na nabavu plastenika i pripadajuće opreme.  </w:t>
      </w:r>
    </w:p>
    <w:p w:rsidRDefault="00197349" w:rsidP="00197349" w:rsidR="00197349" w:rsidRPr="00CC3017">
      <w:pPr>
        <w:jc w:val="both"/>
      </w:pPr>
    </w:p>
    <w:p w:rsidRDefault="00197349" w:rsidP="00197349" w:rsidR="00197349" w:rsidRPr="00CC3017">
      <w:pPr>
        <w:jc w:val="both"/>
      </w:pPr>
      <w:r>
        <w:tab/>
      </w:r>
      <w:r w:rsidRPr="00CC3017">
        <w:t>Uz bruto bilancu za 2011. godinu priložen je Obračun amortizacije materijalne imovine iz čijeg sadržaja je vidljiv sadržaj pojedinačnih stavki imovine dužnika u tom periodu. Temeljem obračuna amortizacije kao i  podataka za 2012. i 2013. godinu te na osnovi neposrednog uvida na terenu privremeni stečajni upravitelj je sastavio popis imovine dužnika te navedeni popis dostavio na očitovanje zakonskom zastupniku.</w:t>
      </w:r>
    </w:p>
    <w:p w:rsidRDefault="00197349" w:rsidP="00197349" w:rsidR="00197349" w:rsidRPr="00CC3017">
      <w:pPr>
        <w:jc w:val="both"/>
      </w:pPr>
    </w:p>
    <w:p w:rsidRDefault="00197349" w:rsidP="00197349" w:rsidR="00197349" w:rsidRPr="00CC3017">
      <w:pPr>
        <w:jc w:val="both"/>
      </w:pPr>
    </w:p>
    <w:tbl>
      <w:tblPr>
        <w:tblW w:type="dxa" w:w="10258"/>
        <w:tblCellMar>
          <w:left w:type="dxa" w:w="57"/>
          <w:right w:type="dxa" w:w="57"/>
        </w:tblCellMar>
        <w:tblLook w:val="04A0" w:noVBand="1" w:noHBand="0" w:lastColumn="0" w:firstColumn="1" w:lastRow="0" w:firstRow="1"/>
      </w:tblPr>
      <w:tblGrid>
        <w:gridCol w:w="323"/>
        <w:gridCol w:w="867"/>
        <w:gridCol w:w="2568"/>
        <w:gridCol w:w="703"/>
        <w:gridCol w:w="647"/>
        <w:gridCol w:w="692"/>
        <w:gridCol w:w="852"/>
        <w:gridCol w:w="977"/>
        <w:gridCol w:w="1303"/>
        <w:gridCol w:w="1326"/>
      </w:tblGrid>
      <w:tr w:rsidTr="00197349" w:rsidR="00197349" w:rsidRPr="00CC3017">
        <w:trPr>
          <w:trHeight w:val="450"/>
          <w:tblHeader/>
        </w:trPr>
        <w:tc>
          <w:tcPr>
            <w:tcW w:type="auto" w:w="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R. br.</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Inventurni broj</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Naziv</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Jedinica mjere</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God. Nabave</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Količina</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Jedinična cijena</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Nabavna vrijednost</w:t>
            </w:r>
          </w:p>
        </w:tc>
        <w:tc>
          <w:tcPr>
            <w:tcW w:type="auto" w:w="0"/>
            <w:tcBorders>
              <w:top w:space="0" w:sz="4" w:color="auto" w:val="single"/>
              <w:left w:val="nil"/>
              <w:bottom w:space="0" w:sz="4" w:color="auto" w:val="single"/>
              <w:right w:space="0" w:sz="4" w:color="auto" w:val="single"/>
            </w:tcBorders>
            <w:shd w:fill="D9D9D9" w:color="auto" w:val="clear"/>
            <w:vAlign w:val="center"/>
            <w:hideMark/>
          </w:tcPr>
          <w:p w:rsidRDefault="00197349" w:rsidP="00197349" w:rsidR="00197349" w:rsidRPr="00CC3017">
            <w:pPr>
              <w:jc w:val="center"/>
              <w:rPr>
                <w:b/>
                <w:bCs/>
                <w:sz w:val="16"/>
                <w:szCs w:val="16"/>
              </w:rPr>
            </w:pPr>
            <w:r w:rsidRPr="00CC3017">
              <w:rPr>
                <w:b/>
                <w:bCs/>
                <w:sz w:val="16"/>
                <w:szCs w:val="16"/>
              </w:rPr>
              <w:t>Knjigovodstvena vrijednost</w:t>
            </w:r>
          </w:p>
        </w:tc>
        <w:tc>
          <w:tcPr>
            <w:tcW w:type="auto" w:w="0"/>
            <w:tcBorders>
              <w:top w:space="0" w:sz="4" w:color="auto" w:val="single"/>
              <w:left w:val="nil"/>
              <w:bottom w:space="0" w:sz="4" w:color="auto" w:val="single"/>
              <w:right w:space="0" w:sz="4" w:color="auto" w:val="single"/>
            </w:tcBorders>
            <w:shd w:fill="D9D9D9" w:color="auto" w:val="clear"/>
            <w:noWrap/>
            <w:vAlign w:val="center"/>
            <w:hideMark/>
          </w:tcPr>
          <w:p w:rsidRDefault="00197349" w:rsidP="00197349" w:rsidR="00197349" w:rsidRPr="00CC3017">
            <w:pPr>
              <w:jc w:val="center"/>
              <w:rPr>
                <w:b/>
                <w:bCs/>
                <w:sz w:val="16"/>
                <w:szCs w:val="16"/>
              </w:rPr>
            </w:pPr>
            <w:r w:rsidRPr="00CC3017">
              <w:rPr>
                <w:b/>
                <w:bCs/>
                <w:sz w:val="16"/>
                <w:szCs w:val="16"/>
              </w:rPr>
              <w:t>Status</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Ulaganja u računalni softver</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6.651,98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6.651,98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rashodovano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Plastenik 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480.932,85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480.932,85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Plastenik 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480.932,86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480.932,86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Upravljačka kućica</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86.734,29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86.734,29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Plinska instalacija</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35.000,00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35.000,00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Sustav za obradu vode</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135.000,00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135.000,00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7</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Sustav za plinsko grijanje</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150.000,00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150.000,00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Dozator - Pšeno - spremnik</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8.200,00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8.200,00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Motorna prskalica</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8.200,00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8.200,00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Pila motorna</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6.300,00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6.300,00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Višelisni cirkular</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8.133,33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8.133,33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7</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Stroj - dvostrana pila</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4.064,68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4.064,68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INVERTEC - aparat za zavarivanje</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2.082,50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2.082,50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Oštrilica pila</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16.000,00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Fax uređaj</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4.199,30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4.199,30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Mobitel</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4.545,21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4.545,21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 xml:space="preserve"> 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17</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Računalo AMD SEP LE 1250-260HD</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3.209,84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3.209,84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Računalo Athlon 2x2 240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7.632,32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7.632,32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 xml:space="preserve">Zadržano od strane zakupodavca na </w:t>
            </w:r>
            <w:r w:rsidRPr="00CC3017">
              <w:rPr>
                <w:sz w:val="16"/>
                <w:szCs w:val="16"/>
              </w:rPr>
              <w:lastRenderedPageBreak/>
              <w:t>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lastRenderedPageBreak/>
              <w:t>19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Računalo AMD Athlon LE 1640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7.499,20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7.499,20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Računalo AMD Athlon LE 1640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2008</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3.749,60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3.749,60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450"/>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Prijenosno računalo</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4.844,00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4.844,00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vAlign w:val="center"/>
            <w:hideMark/>
          </w:tcPr>
          <w:p w:rsidRDefault="00197349" w:rsidP="00197349" w:rsidR="00197349" w:rsidRPr="00CC3017">
            <w:pPr>
              <w:rPr>
                <w:sz w:val="16"/>
                <w:szCs w:val="16"/>
              </w:rPr>
            </w:pPr>
            <w:r w:rsidRPr="00CC3017">
              <w:rPr>
                <w:sz w:val="16"/>
                <w:szCs w:val="16"/>
              </w:rPr>
              <w:t>Zadržano od strane zakupodavca na ime neplaćene zakupnine</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Putničko vozilo - Caddy kombi</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120.888,46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120.888,46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vraćeno leasingu</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23</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Fiat Doblo 1,9 - teretni</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32.704,92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32.704,92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rashodovano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24</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Viličar - fin. Leasing</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2009</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87.194,40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87.194,40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vraćeno leasingu</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25</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Utovarivač ULT</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6.800,00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6.800,00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rashodovano</w:t>
            </w:r>
          </w:p>
        </w:tc>
      </w:tr>
      <w:tr w:rsidTr="00197349" w:rsidR="00197349" w:rsidRPr="00CC3017">
        <w:trPr>
          <w:trHeight w:val="225"/>
        </w:trPr>
        <w:tc>
          <w:tcPr>
            <w:tcW w:type="auto" w:w="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26</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 </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16"/>
                <w:szCs w:val="16"/>
              </w:rPr>
            </w:pPr>
            <w:r w:rsidRPr="00CC3017">
              <w:rPr>
                <w:color w:val="000000"/>
                <w:sz w:val="16"/>
                <w:szCs w:val="16"/>
              </w:rPr>
              <w:t>Pogonski namještaj za plastenike</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kom</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2012</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center"/>
              <w:rPr>
                <w:sz w:val="16"/>
                <w:szCs w:val="16"/>
              </w:rPr>
            </w:pPr>
            <w:r w:rsidRPr="00CC3017">
              <w:rPr>
                <w:sz w:val="16"/>
                <w:szCs w:val="16"/>
              </w:rPr>
              <w:t>1</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15.000,00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15.000,00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jc w:val="right"/>
              <w:rPr>
                <w:sz w:val="16"/>
                <w:szCs w:val="16"/>
              </w:rPr>
            </w:pPr>
            <w:r w:rsidRPr="00CC3017">
              <w:rPr>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zatečeno</w:t>
            </w:r>
          </w:p>
        </w:tc>
      </w:tr>
      <w:tr w:rsidTr="00197349" w:rsidR="00197349" w:rsidRPr="00CC3017">
        <w:trPr>
          <w:trHeight w:val="225"/>
        </w:trPr>
        <w:tc>
          <w:tcPr>
            <w:tcW w:type="auto" w:w="0"/>
            <w:gridSpan w:val="6"/>
            <w:tcBorders>
              <w:top w:space="0" w:sz="4" w:color="auto" w:val="single"/>
              <w:left w:space="0" w:sz="4" w:color="auto" w:val="single"/>
              <w:bottom w:space="0" w:sz="4" w:color="auto" w:val="single"/>
              <w:right w:space="0" w:sz="4" w:color="000000" w:val="single"/>
            </w:tcBorders>
            <w:shd w:fill="D9D9D9" w:color="auto" w:val="clear"/>
            <w:noWrap/>
            <w:vAlign w:val="center"/>
            <w:hideMark/>
          </w:tcPr>
          <w:p w:rsidRDefault="00197349" w:rsidP="00197349" w:rsidR="00197349" w:rsidRPr="00CC3017">
            <w:pPr>
              <w:rPr>
                <w:b/>
                <w:bCs/>
                <w:sz w:val="16"/>
                <w:szCs w:val="16"/>
              </w:rPr>
            </w:pPr>
            <w:r w:rsidRPr="00CC3017">
              <w:rPr>
                <w:b/>
                <w:bCs/>
                <w:sz w:val="16"/>
                <w:szCs w:val="16"/>
              </w:rPr>
              <w:t>UKUPNO:</w:t>
            </w:r>
          </w:p>
        </w:tc>
        <w:tc>
          <w:tcPr>
            <w:tcW w:type="auto" w:w="0"/>
            <w:tcBorders>
              <w:top w:val="nil"/>
              <w:left w:val="nil"/>
              <w:bottom w:space="0" w:sz="4" w:color="auto" w:val="single"/>
              <w:right w:space="0" w:sz="4" w:color="auto" w:val="single"/>
            </w:tcBorders>
            <w:shd w:fill="D9D9D9" w:color="auto" w:val="clear"/>
            <w:noWrap/>
            <w:vAlign w:val="center"/>
            <w:hideMark/>
          </w:tcPr>
          <w:p w:rsidRDefault="00197349" w:rsidP="00197349" w:rsidR="00197349" w:rsidRPr="00CC3017">
            <w:pPr>
              <w:rPr>
                <w:b/>
                <w:bCs/>
                <w:sz w:val="16"/>
                <w:szCs w:val="16"/>
              </w:rPr>
            </w:pPr>
            <w:r w:rsidRPr="00CC3017">
              <w:rPr>
                <w:b/>
                <w:bCs/>
                <w:sz w:val="16"/>
                <w:szCs w:val="16"/>
              </w:rPr>
              <w:t> </w:t>
            </w:r>
          </w:p>
        </w:tc>
        <w:tc>
          <w:tcPr>
            <w:tcW w:type="auto" w:w="0"/>
            <w:tcBorders>
              <w:top w:val="nil"/>
              <w:left w:val="nil"/>
              <w:bottom w:space="0" w:sz="4" w:color="auto" w:val="single"/>
              <w:right w:space="0" w:sz="4" w:color="auto" w:val="single"/>
            </w:tcBorders>
            <w:shd w:fill="D9D9D9" w:color="auto" w:val="clear"/>
            <w:noWrap/>
            <w:vAlign w:val="center"/>
            <w:hideMark/>
          </w:tcPr>
          <w:p w:rsidRDefault="00197349" w:rsidP="00197349" w:rsidR="00197349" w:rsidRPr="00CC3017">
            <w:pPr>
              <w:jc w:val="right"/>
              <w:rPr>
                <w:b/>
                <w:bCs/>
                <w:sz w:val="16"/>
                <w:szCs w:val="16"/>
              </w:rPr>
            </w:pPr>
            <w:r w:rsidRPr="00CC3017">
              <w:rPr>
                <w:b/>
                <w:bCs/>
                <w:sz w:val="16"/>
                <w:szCs w:val="16"/>
              </w:rPr>
              <w:t>1.726.499,74</w:t>
            </w:r>
          </w:p>
        </w:tc>
        <w:tc>
          <w:tcPr>
            <w:tcW w:type="auto" w:w="0"/>
            <w:tcBorders>
              <w:top w:val="nil"/>
              <w:left w:val="nil"/>
              <w:bottom w:space="0" w:sz="4" w:color="auto" w:val="single"/>
              <w:right w:space="0" w:sz="4" w:color="auto" w:val="single"/>
            </w:tcBorders>
            <w:shd w:fill="D9D9D9" w:color="auto" w:val="clear"/>
            <w:noWrap/>
            <w:vAlign w:val="center"/>
            <w:hideMark/>
          </w:tcPr>
          <w:p w:rsidRDefault="00197349" w:rsidP="00197349" w:rsidR="00197349" w:rsidRPr="00CC3017">
            <w:pPr>
              <w:jc w:val="right"/>
              <w:rPr>
                <w:b/>
                <w:bCs/>
                <w:sz w:val="16"/>
                <w:szCs w:val="16"/>
              </w:rPr>
            </w:pPr>
            <w:r w:rsidRPr="00CC3017">
              <w:rPr>
                <w:b/>
                <w:bCs/>
                <w:sz w:val="16"/>
                <w:szCs w:val="16"/>
              </w:rPr>
              <w:t>0,00</w:t>
            </w:r>
          </w:p>
        </w:tc>
        <w:tc>
          <w:tcPr>
            <w:tcW w:type="auto" w:w="0"/>
            <w:tcBorders>
              <w:top w:val="nil"/>
              <w:left w:val="nil"/>
              <w:bottom w:space="0" w:sz="4" w:color="auto" w:val="single"/>
              <w:right w:space="0" w:sz="4" w:color="auto" w:val="single"/>
            </w:tcBorders>
            <w:noWrap/>
            <w:vAlign w:val="center"/>
            <w:hideMark/>
          </w:tcPr>
          <w:p w:rsidRDefault="00197349" w:rsidP="00197349" w:rsidR="00197349" w:rsidRPr="00CC3017">
            <w:pPr>
              <w:rPr>
                <w:sz w:val="16"/>
                <w:szCs w:val="16"/>
              </w:rPr>
            </w:pPr>
            <w:r w:rsidRPr="00CC3017">
              <w:rPr>
                <w:sz w:val="16"/>
                <w:szCs w:val="16"/>
              </w:rPr>
              <w:t> </w:t>
            </w:r>
          </w:p>
        </w:tc>
      </w:tr>
    </w:tbl>
    <w:p w:rsidRDefault="00197349" w:rsidP="00197349" w:rsidR="00197349" w:rsidRPr="00CC3017">
      <w:pPr>
        <w:jc w:val="both"/>
        <w:rPr>
          <w:rFonts w:eastAsia="Calibri"/>
          <w:lang w:eastAsia="ar-SA"/>
        </w:rPr>
      </w:pPr>
    </w:p>
    <w:p w:rsidRDefault="00197349" w:rsidP="00197349" w:rsidR="00197349" w:rsidRPr="00CC3017">
      <w:pPr>
        <w:jc w:val="both"/>
      </w:pPr>
      <w:r>
        <w:tab/>
      </w:r>
      <w:r w:rsidRPr="00CC3017">
        <w:t>Iz priloženog popisa proizlazi kako imovinu dužnika faktički predstavljaju dva plastenika s pripadajućom opremom</w:t>
      </w:r>
      <w:r>
        <w:t>, a koji su montirani na zemljištu u vlasništvu fizičke osobe (zakonskog zastupnika dužnika)</w:t>
      </w:r>
      <w:r w:rsidRPr="00CC3017">
        <w:t xml:space="preserve">. Trenutna knjigovodstvena vrijednost navedene imovine je 0, a prema tvrdnjama zakonskog zastupnika tržišna vrijednost predmetne pokretne imovine je cca. 50.000,00 kn.   </w:t>
      </w:r>
    </w:p>
    <w:p w:rsidRDefault="00197349" w:rsidP="00197349" w:rsidR="00197349" w:rsidRPr="00CC3017">
      <w:pPr>
        <w:jc w:val="both"/>
      </w:pPr>
      <w:r w:rsidRPr="00CC3017">
        <w:t xml:space="preserve"> </w:t>
      </w:r>
    </w:p>
    <w:p w:rsidRDefault="00197349" w:rsidP="00197349" w:rsidR="00197349" w:rsidRPr="00CC3017">
      <w:pPr>
        <w:jc w:val="both"/>
      </w:pPr>
      <w:r>
        <w:tab/>
      </w:r>
      <w:r w:rsidRPr="00CC3017">
        <w:t>Dužnik nema evidentiranih zaliha jer u spomenutim bilješkama navodi da je u kolovozu 2011. obustavio proizvodnju.</w:t>
      </w:r>
    </w:p>
    <w:p w:rsidRDefault="00197349" w:rsidP="00197349" w:rsidR="00197349" w:rsidRPr="00CC3017">
      <w:pPr>
        <w:jc w:val="both"/>
      </w:pPr>
    </w:p>
    <w:p w:rsidRDefault="00197349" w:rsidP="00197349" w:rsidR="00197349" w:rsidRPr="00CC3017">
      <w:pPr>
        <w:jc w:val="both"/>
      </w:pPr>
      <w:r>
        <w:tab/>
      </w:r>
      <w:r w:rsidRPr="00CC3017">
        <w:t xml:space="preserve">Potraživanja prema kupcima iskazana su u iznosu od 4.553.500,00 kn i ista su prema navodima zakonskog zastupnika nenaplativa budući da se mahom radi o inozemnim dužnicima od kojih tražbine nisu naplaćena niti za vrijeme poslovanja ili se, pak, radilo o dužnicima u odnosu na koje je naplata bila nemoguće </w:t>
      </w:r>
      <w:r>
        <w:t>(</w:t>
      </w:r>
      <w:r w:rsidRPr="00CC3017">
        <w:t xml:space="preserve">stečaj, predstečajna nagodba, brisanje iz sudskog registra i sl.).  </w:t>
      </w:r>
    </w:p>
    <w:p w:rsidRDefault="00197349" w:rsidP="00197349" w:rsidR="00197349" w:rsidRPr="00CC3017">
      <w:pPr>
        <w:jc w:val="both"/>
      </w:pPr>
    </w:p>
    <w:p w:rsidRDefault="00197349" w:rsidP="00197349" w:rsidR="00197349" w:rsidRPr="00CC3017">
      <w:pPr>
        <w:jc w:val="both"/>
      </w:pPr>
      <w:r>
        <w:tab/>
      </w:r>
      <w:r w:rsidRPr="00CC3017">
        <w:t>Kako privremenom stečajnom upravitelju nije dostavljena analitika predmetnih potraživanja, to nije bilo moguće konkretnije se očitovati glede boniteta i veriteta samih tražbina. Međutim, uzimajući u obzir kako dužnik od 2011. godine ne posluje dade se zaključiti kako je većina tih tražbina u međuvremenu zastarjela.</w:t>
      </w:r>
    </w:p>
    <w:p w:rsidRDefault="00197349" w:rsidP="00197349" w:rsidR="00197349" w:rsidRPr="00CC3017">
      <w:pPr>
        <w:jc w:val="both"/>
      </w:pPr>
    </w:p>
    <w:p w:rsidRDefault="00197349" w:rsidP="00197349" w:rsidR="00197349" w:rsidRPr="00CC3017">
      <w:pPr>
        <w:jc w:val="both"/>
      </w:pPr>
      <w:r>
        <w:tab/>
      </w:r>
      <w:r w:rsidRPr="00CC3017">
        <w:t xml:space="preserve">Kratkotrajna financijska imovina odnosi se na dane kratkoročne zajmove, međutim iz raspoloživih podataka nije poznato kome je pozajmica dana kao što se iz priloženih isprava ne može pouzdano zaključiti na koji način je pozajmica vraćena. </w:t>
      </w:r>
    </w:p>
    <w:p w:rsidRDefault="00197349" w:rsidP="00197349" w:rsidR="00197349" w:rsidRPr="00CC3017">
      <w:pPr>
        <w:jc w:val="both"/>
      </w:pPr>
    </w:p>
    <w:p w:rsidRDefault="00197349" w:rsidP="00197349" w:rsidR="00197349" w:rsidRPr="00CC3017">
      <w:pPr>
        <w:jc w:val="both"/>
      </w:pPr>
      <w:r>
        <w:tab/>
      </w:r>
      <w:r w:rsidRPr="00CC3017">
        <w:t>Dužnik nema evidentiranih novčanih sredstava na računima i u blagajni s obzirom na dugotrajnu blokadu u kojoj se nalazi.</w:t>
      </w:r>
    </w:p>
    <w:p w:rsidRDefault="00197349" w:rsidP="00197349" w:rsidR="00197349" w:rsidRPr="00CC3017">
      <w:pPr>
        <w:rPr>
          <w:b/>
        </w:rPr>
      </w:pPr>
      <w:r>
        <w:tab/>
      </w:r>
    </w:p>
    <w:p w:rsidRDefault="00197349" w:rsidP="00197349" w:rsidR="00197349" w:rsidRPr="00CC3017">
      <w:r>
        <w:tab/>
      </w:r>
      <w:r w:rsidRPr="00CC3017">
        <w:t>Obveze dužnika su u bilanci iskazane prema sljedećim stavkama:</w:t>
      </w:r>
    </w:p>
    <w:p w:rsidRDefault="00197349" w:rsidP="00197349" w:rsidR="00197349">
      <w:pPr>
        <w:rPr>
          <w:b/>
        </w:rPr>
      </w:pPr>
    </w:p>
    <w:p w:rsidRDefault="005C5745" w:rsidP="00197349" w:rsidR="005C5745">
      <w:pPr>
        <w:rPr>
          <w:b/>
        </w:rPr>
      </w:pPr>
    </w:p>
    <w:p w:rsidRDefault="005C5745" w:rsidP="00197349" w:rsidR="005C5745" w:rsidRPr="00CC3017">
      <w:pPr>
        <w:rPr>
          <w:b/>
        </w:rPr>
      </w:pPr>
    </w:p>
    <w:tbl>
      <w:tblPr>
        <w:tblW w:type="dxa" w:w="10200"/>
        <w:tblInd w:type="dxa" w:w="113"/>
        <w:tblLook w:val="04A0" w:noVBand="1" w:noHBand="0" w:lastColumn="0" w:firstColumn="1" w:lastRow="0" w:firstRow="1"/>
      </w:tblPr>
      <w:tblGrid>
        <w:gridCol w:w="6660"/>
        <w:gridCol w:w="1180"/>
        <w:gridCol w:w="1180"/>
        <w:gridCol w:w="1180"/>
      </w:tblGrid>
      <w:tr w:rsidTr="00197349" w:rsidR="00197349" w:rsidRPr="00CC3017">
        <w:trPr>
          <w:trHeight w:val="255"/>
        </w:trPr>
        <w:tc>
          <w:tcPr>
            <w:tcW w:type="dxa" w:w="6660"/>
            <w:tcBorders>
              <w:top w:space="0" w:sz="4" w:color="auto" w:val="single"/>
              <w:left w:space="0" w:sz="4" w:color="auto" w:val="single"/>
              <w:bottom w:space="0" w:sz="4" w:color="auto" w:val="single"/>
              <w:right w:space="0" w:sz="4" w:color="auto" w:val="single"/>
            </w:tcBorders>
            <w:shd w:fill="BFBFBF" w:color="auto" w:val="clear"/>
            <w:noWrap/>
            <w:vAlign w:val="center"/>
            <w:hideMark/>
          </w:tcPr>
          <w:p w:rsidRDefault="00197349" w:rsidP="00197349" w:rsidR="00197349" w:rsidRPr="00CC3017">
            <w:pPr>
              <w:rPr>
                <w:b/>
                <w:bCs/>
                <w:color w:val="000000"/>
                <w:sz w:val="20"/>
                <w:szCs w:val="20"/>
              </w:rPr>
            </w:pPr>
            <w:r w:rsidRPr="00CC3017">
              <w:rPr>
                <w:b/>
                <w:bCs/>
                <w:color w:val="000000"/>
                <w:sz w:val="20"/>
                <w:szCs w:val="20"/>
              </w:rPr>
              <w:lastRenderedPageBreak/>
              <w:t>PASIVA</w:t>
            </w:r>
          </w:p>
        </w:tc>
        <w:tc>
          <w:tcPr>
            <w:tcW w:type="dxa" w:w="1180"/>
            <w:tcBorders>
              <w:top w:space="0" w:sz="4" w:color="auto" w:val="single"/>
              <w:left w:val="nil"/>
              <w:bottom w:space="0" w:sz="4" w:color="auto" w:val="single"/>
              <w:right w:space="0" w:sz="4" w:color="auto" w:val="single"/>
            </w:tcBorders>
            <w:shd w:fill="BFBFBF" w:color="auto" w:val="clear"/>
            <w:noWrap/>
            <w:vAlign w:val="center"/>
            <w:hideMark/>
          </w:tcPr>
          <w:p w:rsidRDefault="00197349" w:rsidP="00197349" w:rsidR="00197349" w:rsidRPr="00CC3017">
            <w:pPr>
              <w:jc w:val="center"/>
              <w:rPr>
                <w:b/>
                <w:bCs/>
                <w:color w:val="000000"/>
                <w:sz w:val="20"/>
                <w:szCs w:val="20"/>
              </w:rPr>
            </w:pPr>
            <w:r w:rsidRPr="00CC3017">
              <w:rPr>
                <w:b/>
                <w:bCs/>
                <w:color w:val="000000"/>
                <w:sz w:val="20"/>
                <w:szCs w:val="20"/>
              </w:rPr>
              <w:t>2011</w:t>
            </w:r>
          </w:p>
        </w:tc>
        <w:tc>
          <w:tcPr>
            <w:tcW w:type="dxa" w:w="1180"/>
            <w:tcBorders>
              <w:top w:space="0" w:sz="4" w:color="auto" w:val="single"/>
              <w:left w:val="nil"/>
              <w:bottom w:space="0" w:sz="4" w:color="auto" w:val="single"/>
              <w:right w:space="0" w:sz="4" w:color="auto" w:val="single"/>
            </w:tcBorders>
            <w:shd w:fill="BFBFBF" w:color="auto" w:val="clear"/>
            <w:noWrap/>
            <w:vAlign w:val="center"/>
            <w:hideMark/>
          </w:tcPr>
          <w:p w:rsidRDefault="00197349" w:rsidP="00197349" w:rsidR="00197349" w:rsidRPr="00CC3017">
            <w:pPr>
              <w:jc w:val="center"/>
              <w:rPr>
                <w:b/>
                <w:bCs/>
                <w:color w:val="000000"/>
                <w:sz w:val="20"/>
                <w:szCs w:val="20"/>
              </w:rPr>
            </w:pPr>
            <w:r w:rsidRPr="00CC3017">
              <w:rPr>
                <w:b/>
                <w:bCs/>
                <w:color w:val="000000"/>
                <w:sz w:val="20"/>
                <w:szCs w:val="20"/>
              </w:rPr>
              <w:t>2012</w:t>
            </w:r>
          </w:p>
        </w:tc>
        <w:tc>
          <w:tcPr>
            <w:tcW w:type="dxa" w:w="1180"/>
            <w:tcBorders>
              <w:top w:space="0" w:sz="4" w:color="auto" w:val="single"/>
              <w:left w:val="nil"/>
              <w:bottom w:space="0" w:sz="4" w:color="auto" w:val="single"/>
              <w:right w:space="0" w:sz="4" w:color="auto" w:val="single"/>
            </w:tcBorders>
            <w:shd w:fill="BFBFBF" w:color="auto" w:val="clear"/>
            <w:noWrap/>
            <w:vAlign w:val="center"/>
            <w:hideMark/>
          </w:tcPr>
          <w:p w:rsidRDefault="00197349" w:rsidP="00197349" w:rsidR="00197349" w:rsidRPr="00CC3017">
            <w:pPr>
              <w:jc w:val="center"/>
              <w:rPr>
                <w:b/>
                <w:bCs/>
                <w:color w:val="000000"/>
                <w:sz w:val="20"/>
                <w:szCs w:val="20"/>
              </w:rPr>
            </w:pPr>
            <w:r w:rsidRPr="00CC3017">
              <w:rPr>
                <w:b/>
                <w:bCs/>
                <w:color w:val="000000"/>
                <w:sz w:val="20"/>
                <w:szCs w:val="20"/>
              </w:rPr>
              <w:t>2013</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A) KAPITAL I REZERVE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-6.506.700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-5.682.500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-6.089.700</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I. TEMELJNI (UPISANI) KAPITAL</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20.000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20.000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20.000</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II. KAPITALNE REZERVE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III. REZERVE IZ DOBITI</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IV. REVALORIZACIJSKE REZERVE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V. ZADRŽANA DOBIT ILI PRENESENI GUBITAK</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-4.751.800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-6.526.700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-5.702.500</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VI. DOBIT ILI GUBITAK POSLOVNE GODINE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-1.775.000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824.200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color w:val="000000"/>
                <w:sz w:val="20"/>
                <w:szCs w:val="20"/>
              </w:rPr>
            </w:pPr>
            <w:r w:rsidRPr="00CC3017">
              <w:rPr>
                <w:color w:val="000000"/>
                <w:sz w:val="20"/>
                <w:szCs w:val="20"/>
              </w:rPr>
              <w:t>-407.300</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VII. MANJINSKI INTERES</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color w:val="000000"/>
                <w:sz w:val="20"/>
                <w:szCs w:val="20"/>
              </w:rPr>
            </w:pPr>
            <w:r w:rsidRPr="00CC3017">
              <w:rPr>
                <w:color w:val="000000"/>
                <w:sz w:val="20"/>
                <w:szCs w:val="20"/>
              </w:rPr>
              <w:t> </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B) REZERVIRANJA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 </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C) DUGOROČNE OBVEZE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191.300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117.000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117.000</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D) KRATKOROČNE OBVEZE</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15.127.900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11.057.700</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12.443.700</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E) ODGOĐENO PLAĆANJE TROŠKOVA I PRIHOD BUDUĆEGA RAZDOBLJA</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 </w:t>
            </w:r>
          </w:p>
        </w:tc>
        <w:tc>
          <w:tcPr>
            <w:tcW w:type="dxa" w:w="1180"/>
            <w:tcBorders>
              <w:top w:val="nil"/>
              <w:left w:val="nil"/>
              <w:bottom w:space="0" w:sz="4" w:color="auto" w:val="single"/>
              <w:right w:space="0" w:sz="4" w:color="auto" w:val="single"/>
            </w:tcBorders>
            <w:noWrap/>
            <w:vAlign w:val="center"/>
            <w:hideMark/>
          </w:tcPr>
          <w:p w:rsidRDefault="00197349" w:rsidP="00197349" w:rsidR="00197349" w:rsidRPr="00CC3017">
            <w:pPr>
              <w:rPr>
                <w:b/>
                <w:bCs/>
                <w:color w:val="000000"/>
                <w:sz w:val="20"/>
                <w:szCs w:val="20"/>
              </w:rPr>
            </w:pPr>
            <w:r w:rsidRPr="00CC3017">
              <w:rPr>
                <w:b/>
                <w:bCs/>
                <w:color w:val="000000"/>
                <w:sz w:val="20"/>
                <w:szCs w:val="20"/>
              </w:rPr>
              <w:t> </w:t>
            </w:r>
          </w:p>
        </w:tc>
      </w:tr>
      <w:tr w:rsidTr="00197349" w:rsidR="00197349" w:rsidRPr="00CC3017">
        <w:trPr>
          <w:trHeight w:val="255"/>
        </w:trPr>
        <w:tc>
          <w:tcPr>
            <w:tcW w:type="dxa" w:w="6660"/>
            <w:tcBorders>
              <w:top w:val="nil"/>
              <w:left w:space="0" w:sz="4" w:color="auto" w:val="single"/>
              <w:bottom w:space="0" w:sz="4" w:color="auto" w:val="single"/>
              <w:right w:space="0" w:sz="4" w:color="auto" w:val="single"/>
            </w:tcBorders>
            <w:shd w:fill="BFBFBF" w:color="auto" w:val="clear"/>
            <w:noWrap/>
            <w:vAlign w:val="center"/>
            <w:hideMark/>
          </w:tcPr>
          <w:p w:rsidRDefault="00197349" w:rsidP="00197349" w:rsidR="00197349" w:rsidRPr="00CC3017">
            <w:pPr>
              <w:rPr>
                <w:b/>
                <w:bCs/>
                <w:color w:val="000000"/>
                <w:sz w:val="20"/>
                <w:szCs w:val="20"/>
              </w:rPr>
            </w:pPr>
            <w:r w:rsidRPr="00CC3017">
              <w:rPr>
                <w:b/>
                <w:bCs/>
                <w:color w:val="000000"/>
                <w:sz w:val="20"/>
                <w:szCs w:val="20"/>
              </w:rPr>
              <w:t>F) UKUPNO – PASIVA</w:t>
            </w:r>
          </w:p>
        </w:tc>
        <w:tc>
          <w:tcPr>
            <w:tcW w:type="dxa" w:w="1180"/>
            <w:tcBorders>
              <w:top w:val="nil"/>
              <w:left w:val="nil"/>
              <w:bottom w:space="0" w:sz="4" w:color="auto" w:val="single"/>
              <w:right w:space="0" w:sz="4" w:color="auto" w:val="single"/>
            </w:tcBorders>
            <w:shd w:fill="BFBFBF" w:color="auto" w:val="clear"/>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8.812.500</w:t>
            </w:r>
          </w:p>
        </w:tc>
        <w:tc>
          <w:tcPr>
            <w:tcW w:type="dxa" w:w="1180"/>
            <w:tcBorders>
              <w:top w:val="nil"/>
              <w:left w:val="nil"/>
              <w:bottom w:space="0" w:sz="4" w:color="auto" w:val="single"/>
              <w:right w:space="0" w:sz="4" w:color="auto" w:val="single"/>
            </w:tcBorders>
            <w:shd w:fill="BFBFBF" w:color="auto" w:val="clear"/>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5.492.200</w:t>
            </w:r>
          </w:p>
        </w:tc>
        <w:tc>
          <w:tcPr>
            <w:tcW w:type="dxa" w:w="1180"/>
            <w:tcBorders>
              <w:top w:val="nil"/>
              <w:left w:val="nil"/>
              <w:bottom w:space="0" w:sz="4" w:color="auto" w:val="single"/>
              <w:right w:space="0" w:sz="4" w:color="auto" w:val="single"/>
            </w:tcBorders>
            <w:shd w:fill="BFBFBF" w:color="auto" w:val="clear"/>
            <w:noWrap/>
            <w:vAlign w:val="center"/>
            <w:hideMark/>
          </w:tcPr>
          <w:p w:rsidRDefault="00197349" w:rsidP="00197349" w:rsidR="00197349" w:rsidRPr="00CC3017">
            <w:pPr>
              <w:jc w:val="right"/>
              <w:rPr>
                <w:b/>
                <w:bCs/>
                <w:color w:val="000000"/>
                <w:sz w:val="20"/>
                <w:szCs w:val="20"/>
              </w:rPr>
            </w:pPr>
            <w:r w:rsidRPr="00CC3017">
              <w:rPr>
                <w:b/>
                <w:bCs/>
                <w:color w:val="000000"/>
                <w:sz w:val="20"/>
                <w:szCs w:val="20"/>
              </w:rPr>
              <w:t>6.470.900</w:t>
            </w:r>
          </w:p>
        </w:tc>
      </w:tr>
    </w:tbl>
    <w:p w:rsidRDefault="00197349" w:rsidP="00197349" w:rsidR="00197349" w:rsidRPr="00CC3017">
      <w:pPr>
        <w:jc w:val="both"/>
        <w:rPr>
          <w:rFonts w:eastAsia="Calibri"/>
          <w:color w:val="5B9BD5"/>
          <w:lang w:eastAsia="ar-SA"/>
        </w:rPr>
      </w:pPr>
    </w:p>
    <w:p w:rsidRDefault="00197349" w:rsidP="00197349" w:rsidR="00197349" w:rsidRPr="00CC3017">
      <w:pPr>
        <w:jc w:val="both"/>
        <w:rPr>
          <w:color w:val="5B9BD5"/>
        </w:rPr>
      </w:pPr>
    </w:p>
    <w:p w:rsidRDefault="00197349" w:rsidP="00197349" w:rsidR="00197349">
      <w:pPr>
        <w:jc w:val="both"/>
      </w:pPr>
      <w:r>
        <w:tab/>
      </w:r>
      <w:r w:rsidRPr="00CC3017">
        <w:t>Dugoročne obveze dužnika prema bilješkama od 2011. godine sastoje se od danih depozita za leasing i manji dio za obveze po kreditima. U bilješkama se ne navode vjerovnici po ovim obvezama. Kratkoročne obveze odnose se glavninom na obveze prema dobavljačima i državi, dok se manji dio odnosi na primljen</w:t>
      </w:r>
      <w:r>
        <w:t>e</w:t>
      </w:r>
      <w:r w:rsidRPr="00CC3017">
        <w:t xml:space="preserve"> kratkoročne zajmove. Dužnik nema značajnije iskazanih obveza prema zaposlenima. Struktura obveza u 2012. i 2013. godini nije poznata u nedostatku detaljnije razrade.</w:t>
      </w:r>
    </w:p>
    <w:p w:rsidRDefault="00197349" w:rsidP="00197349" w:rsidR="00197349">
      <w:pPr>
        <w:jc w:val="both"/>
      </w:pPr>
    </w:p>
    <w:p w:rsidRDefault="00197349" w:rsidP="00197349" w:rsidR="00197349" w:rsidRPr="00461ACB">
      <w:pPr>
        <w:jc w:val="both"/>
      </w:pPr>
      <w:r>
        <w:tab/>
      </w:r>
      <w:r w:rsidRPr="00CC3017">
        <w:t>Uvidom u dokumentaciju prijedloga za otvaranje stečajnog postupka od strane FINE na dan 1. rujna 2015. utvrđeno je kako se dužnikovi računi nalaze u neprekidnoj blokadi počevši od 15. svibnja 2011</w:t>
      </w:r>
      <w:r>
        <w:t>.</w:t>
      </w:r>
      <w:r w:rsidRPr="00CC3017">
        <w:t xml:space="preserve"> godine te da je blokada do tada iznosila 1573 dana, a iznos blokade iznosio je 8.392.195,96 kn. Prema podatcima portala Poslovna Hrvatska neprekidna blokada poslovnih računa dužnika do dana sastavljanja izvješća </w:t>
      </w:r>
      <w:r w:rsidR="000861FE">
        <w:t xml:space="preserve">privremenog stečajnog upravitelja, odnosno do dana 28.09.2016., </w:t>
      </w:r>
      <w:r w:rsidRPr="00CC3017">
        <w:t>traje 1956 dana, tako da su na strani dužnika nedvojbeno ispunjeni stečajni razlog nesposobnosti za plaćanje u smislu odredbe čl. 6. Stečajnog zakona (Narodne novine br. 71/2015).</w:t>
      </w:r>
    </w:p>
    <w:p w:rsidRDefault="00197349" w:rsidP="00197349" w:rsidR="00197349" w:rsidRPr="00CC3017">
      <w:pPr>
        <w:rPr>
          <w:b/>
        </w:rPr>
      </w:pPr>
    </w:p>
    <w:p w:rsidRDefault="00197349" w:rsidP="00197349" w:rsidR="00197349" w:rsidRPr="00CC3017">
      <w:pPr>
        <w:jc w:val="both"/>
      </w:pPr>
      <w:r>
        <w:tab/>
      </w:r>
      <w:r w:rsidRPr="00CC3017">
        <w:t>Kako na strani dužnika nedvojbeno egzistira stečajni razlog nesposobnosti za plaćanje iz čl. 6. Stečajnog zakona, a imajući u vidu kako je imovina dužnika nije dostatna za podmirenje troškova stečajnog postupka, privremeni stečajni upravitelj predl</w:t>
      </w:r>
      <w:r w:rsidR="000861FE">
        <w:t>o</w:t>
      </w:r>
      <w:r w:rsidRPr="00CC3017">
        <w:t>ž</w:t>
      </w:r>
      <w:r w:rsidR="000861FE">
        <w:t>io je</w:t>
      </w:r>
      <w:r w:rsidRPr="00CC3017">
        <w:t xml:space="preserve"> stečajnom sucu, u smislu odredbe čl. 13</w:t>
      </w:r>
      <w:r>
        <w:t xml:space="preserve">2. st. 1. SZ rješenjem pozvati </w:t>
      </w:r>
      <w:r w:rsidRPr="00CC3017">
        <w:t>osobe koje imaju pravni interes za provedbom stečajnog postupka, u roku od 15 dana, uplatiti predujam za namirenje troškova prethodnog i otvorenog stečajnog postupka u iznosu od 20.000,00 k</w:t>
      </w:r>
      <w:r>
        <w:t>n</w:t>
      </w:r>
      <w:r w:rsidRPr="00CC3017">
        <w:t>.</w:t>
      </w:r>
    </w:p>
    <w:p w:rsidRDefault="00197349" w:rsidP="00197349" w:rsidR="00197349" w:rsidRPr="00CC3017">
      <w:pPr>
        <w:jc w:val="both"/>
      </w:pPr>
    </w:p>
    <w:p w:rsidRDefault="00197349" w:rsidP="00197349" w:rsidR="00197349" w:rsidRPr="00CC3017">
      <w:pPr>
        <w:jc w:val="both"/>
      </w:pPr>
      <w:r>
        <w:tab/>
      </w:r>
      <w:r w:rsidRPr="00CC3017">
        <w:t>Predloženi iznos od 20.000,00 k</w:t>
      </w:r>
      <w:r>
        <w:t>n</w:t>
      </w:r>
      <w:r w:rsidRPr="00CC3017">
        <w:t xml:space="preserve"> bio bi dostatan za pokriće osnovnih troškova vođenja stečajnog postupka (troškovi računovodstva za jednu godinu u iznosu od 12.000,00 k</w:t>
      </w:r>
      <w:r>
        <w:t>n</w:t>
      </w:r>
      <w:r w:rsidRPr="00CC3017">
        <w:t>, troškovi procjene pokretnina u iznosu od 4.000,00 k</w:t>
      </w:r>
      <w:r>
        <w:t>n</w:t>
      </w:r>
      <w:r w:rsidRPr="00CC3017">
        <w:t xml:space="preserve">, troškovi oglašavanja i dr.). Iz iznosa ostvarenog unovčenjem pokretnina iz Tablice 3. ( rbr. 2 – rbr. 9 i rbr. 26) nadalje bi bili namireni troškovi stečajnog postupka.  </w:t>
      </w:r>
    </w:p>
    <w:p w:rsidRDefault="00197349" w:rsidP="00197349" w:rsidR="00197349" w:rsidRPr="00CC3017">
      <w:pPr>
        <w:jc w:val="both"/>
      </w:pPr>
    </w:p>
    <w:p w:rsidRDefault="00197349" w:rsidP="00197349" w:rsidR="00197349">
      <w:pPr>
        <w:jc w:val="both"/>
      </w:pPr>
      <w:r>
        <w:tab/>
      </w:r>
      <w:r w:rsidRPr="00CC3017">
        <w:t>Ukoliko nitko u određenom roku ne uplati predujam, predl</w:t>
      </w:r>
      <w:r w:rsidR="000861FE">
        <w:t>o</w:t>
      </w:r>
      <w:r w:rsidRPr="00CC3017">
        <w:t>ž</w:t>
      </w:r>
      <w:r w:rsidR="000861FE">
        <w:t>io</w:t>
      </w:r>
      <w:r w:rsidRPr="00CC3017">
        <w:t xml:space="preserve"> </w:t>
      </w:r>
      <w:r w:rsidR="00EE0C3E">
        <w:t>j</w:t>
      </w:r>
      <w:r w:rsidRPr="00CC3017">
        <w:t>e don</w:t>
      </w:r>
      <w:r w:rsidR="00EE0C3E">
        <w:t>ošenje</w:t>
      </w:r>
      <w:r w:rsidRPr="00CC3017">
        <w:t xml:space="preserve"> rješenj</w:t>
      </w:r>
      <w:r w:rsidR="00EE0C3E">
        <w:t>a</w:t>
      </w:r>
      <w:r w:rsidRPr="00CC3017">
        <w:t xml:space="preserve"> o otvaranju i zaključenju stečajnog postupka nad dužnikom te rješenjem odrediti upis stečajne mase u sudski registar, sve sukladno odredbi čl. 133. </w:t>
      </w:r>
      <w:r>
        <w:t>s</w:t>
      </w:r>
      <w:r w:rsidRPr="00CC3017">
        <w:t xml:space="preserve">t. 2. Stečajnog zakona. </w:t>
      </w:r>
    </w:p>
    <w:p w:rsidRDefault="00197349" w:rsidP="00197349" w:rsidR="00197349">
      <w:pPr>
        <w:jc w:val="both"/>
      </w:pPr>
    </w:p>
    <w:p w:rsidRDefault="00197349" w:rsidP="00197349" w:rsidR="00197349">
      <w:pPr>
        <w:jc w:val="both"/>
      </w:pPr>
      <w:r>
        <w:lastRenderedPageBreak/>
        <w:tab/>
        <w:t xml:space="preserve">Privremeni stečajni upravitelj </w:t>
      </w:r>
      <w:r w:rsidR="00EE0C3E">
        <w:t xml:space="preserve">je </w:t>
      </w:r>
      <w:r>
        <w:t>napom</w:t>
      </w:r>
      <w:r w:rsidR="00EE0C3E">
        <w:t>e</w:t>
      </w:r>
      <w:r>
        <w:t>n</w:t>
      </w:r>
      <w:r w:rsidR="00EE0C3E">
        <w:t>uo</w:t>
      </w:r>
      <w:r>
        <w:t xml:space="preserve"> da je zakonski zastupnik dužnika, a budući je isti još uvijek prijavljen kao radnik dužnika, preuzeo obvezu da će se odjaviti u HZMO Osijek u što je moguće kraćem roku.</w:t>
      </w:r>
    </w:p>
    <w:p w:rsidRDefault="00EE0C3E" w:rsidP="00197349" w:rsidR="00EE0C3E">
      <w:pPr>
        <w:jc w:val="both"/>
      </w:pPr>
    </w:p>
    <w:p w:rsidRDefault="00EE0C3E" w:rsidP="00197349" w:rsidR="00EE0C3E" w:rsidRPr="00CC3017">
      <w:pPr>
        <w:jc w:val="both"/>
      </w:pPr>
      <w:r>
        <w:tab/>
        <w:t>Sud je temeljem odredbe čl. 132. st. 1. SZ rješenjem pozvao zainteresirane za provedbu stečajnog postupka nad predmetnim dužnikom za uplatu predujma u iznosu od 20.000,00 kn za pokriće troškova kako prethodnog, tako i otvorenog stečajnog postupka.</w:t>
      </w:r>
    </w:p>
    <w:p w:rsidRDefault="002418C3" w:rsidP="00197349" w:rsidR="002418C3">
      <w:pPr>
        <w:jc w:val="both"/>
      </w:pPr>
    </w:p>
    <w:p w:rsidRDefault="002418C3" w:rsidP="007A3670" w:rsidR="002418C3">
      <w:pPr>
        <w:autoSpaceDE w:val="false"/>
        <w:autoSpaceDN w:val="false"/>
        <w:adjustRightInd w:val="false"/>
        <w:ind w:firstLine="709"/>
        <w:jc w:val="both"/>
        <w:rPr>
          <w:color w:val="000000"/>
        </w:rPr>
      </w:pPr>
      <w:r>
        <w:t xml:space="preserve">U određenom roku vjerovnik </w:t>
      </w:r>
      <w:r w:rsidR="00281994">
        <w:t>EXPORTDRVO d.d. Zagreb</w:t>
      </w:r>
      <w:r w:rsidR="00B876EE">
        <w:t xml:space="preserve"> uplatila je iznos od 2</w:t>
      </w:r>
      <w:r w:rsidR="00281994">
        <w:t>0</w:t>
      </w:r>
      <w:r w:rsidR="009B07DB">
        <w:t>.000,00 kn</w:t>
      </w:r>
      <w:r w:rsidR="0069141C">
        <w:t>.</w:t>
      </w:r>
    </w:p>
    <w:p w:rsidRDefault="004B268E" w:rsidP="007A3670" w:rsidR="004B268E">
      <w:pPr>
        <w:ind w:firstLine="708"/>
        <w:jc w:val="both"/>
      </w:pPr>
    </w:p>
    <w:p w:rsidRDefault="00F83564" w:rsidP="006C55C7" w:rsidR="006C55C7">
      <w:pPr>
        <w:ind w:firstLine="708"/>
        <w:jc w:val="both"/>
      </w:pPr>
      <w:r>
        <w:t>Sud je izvršio</w:t>
      </w:r>
      <w:r w:rsidR="00801E6B">
        <w:t xml:space="preserve"> uvid u </w:t>
      </w:r>
      <w:r w:rsidR="00BC30FD">
        <w:t>spis i</w:t>
      </w:r>
      <w:r w:rsidR="003C1326">
        <w:t xml:space="preserve"> dokumente u spisu</w:t>
      </w:r>
      <w:r w:rsidR="00801E6B">
        <w:t xml:space="preserve"> i to Izvadak iz sudskog registra, </w:t>
      </w:r>
      <w:r w:rsidR="00C15BC1">
        <w:t>Dopis HZMO od 20.06.2016. (11 stranica), Obavijest FINE od 16.06.2016.,</w:t>
      </w:r>
      <w:r w:rsidR="00C15BC1" w:rsidRPr="00C15BC1">
        <w:t xml:space="preserve"> </w:t>
      </w:r>
      <w:r w:rsidR="00C15BC1">
        <w:t xml:space="preserve">Uvjerenje MUP PU Osječko-baranjska, PP </w:t>
      </w:r>
      <w:r w:rsidR="002240D2">
        <w:t xml:space="preserve">Đakovo </w:t>
      </w:r>
      <w:r w:rsidR="00C15BC1">
        <w:t xml:space="preserve">od </w:t>
      </w:r>
      <w:r w:rsidR="002240D2">
        <w:t>13</w:t>
      </w:r>
      <w:r w:rsidR="00C15BC1">
        <w:t>.0</w:t>
      </w:r>
      <w:r w:rsidR="002240D2">
        <w:t>7</w:t>
      </w:r>
      <w:r w:rsidR="00C15BC1">
        <w:t xml:space="preserve">.2016., Potvrda Općinskog suda u Osijeku, zemljišnoknjižni odjel </w:t>
      </w:r>
      <w:r w:rsidR="002240D2">
        <w:t>Osijek</w:t>
      </w:r>
      <w:r w:rsidR="00C15BC1">
        <w:t xml:space="preserve"> od </w:t>
      </w:r>
      <w:r w:rsidR="002240D2">
        <w:t>2</w:t>
      </w:r>
      <w:r w:rsidR="00C15BC1">
        <w:t>.0</w:t>
      </w:r>
      <w:r w:rsidR="002240D2">
        <w:t>8</w:t>
      </w:r>
      <w:r w:rsidR="00C15BC1">
        <w:t>.2016.</w:t>
      </w:r>
      <w:r w:rsidR="002240D2">
        <w:t xml:space="preserve">, Izvješće privremenog stečajnog upravitelja od </w:t>
      </w:r>
      <w:r w:rsidR="00AD7576">
        <w:t>28.09.2016. (7 stranica), Dopis MUP PU Osječko-baranjska PP Đakovo od 22.09.2016.</w:t>
      </w:r>
      <w:r w:rsidR="00420F81">
        <w:t xml:space="preserve"> i Bilješke uz financijska izvješća</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572A78">
        <w:t>444</w:t>
      </w:r>
      <w:r w:rsidR="006C55C7">
        <w:t xml:space="preserve">. st. </w:t>
      </w:r>
      <w:r w:rsidR="00572A78">
        <w:t>2</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D51F0D" w:rsidP="006C55C7" w:rsidR="00D51F0D">
      <w:pPr>
        <w:ind w:firstLine="708"/>
        <w:jc w:val="both"/>
      </w:pPr>
    </w:p>
    <w:p w:rsidRDefault="00D51F0D" w:rsidP="00D51F0D" w:rsidR="00D51F0D">
      <w:pPr>
        <w:jc w:val="both"/>
      </w:pPr>
      <w:r>
        <w:tab/>
        <w:t xml:space="preserve">Na osnovu izvedenih dokaza utvrđeno je da postoje stečajni razlozi iz čl. 5. SZ-a, da je predlagatelj ovlašten za podnošenje predmetnog prijedloga za otvaranje stečajnog postupka temeljem odredbe čl. </w:t>
      </w:r>
      <w:r w:rsidR="008F7101">
        <w:t xml:space="preserve">444. st. 2. SZ, odnosno čl. </w:t>
      </w:r>
      <w:r>
        <w:t>109. SZ, te je sud pozvao temeljem odredbe čl. 132. st. 1. SZ osobe koje imaju pravni interes za provedbu stečajnog postupka na uplatu predujma troškova, te po uplati predujma odlučeno je kao u izreci temeljem odredbi čl. 129.-131. i 257. SZ-a.</w:t>
      </w:r>
    </w:p>
    <w:p w:rsidRDefault="005C6C33" w:rsidP="00D51F0D" w:rsidR="005C6C33">
      <w:pPr>
        <w:jc w:val="both"/>
      </w:pPr>
    </w:p>
    <w:p w:rsidRDefault="005C6C33" w:rsidP="00761F04" w:rsidR="00D51F0D">
      <w:pPr>
        <w:jc w:val="both"/>
      </w:pPr>
      <w:r>
        <w:tab/>
        <w:t>Temeljem odredbe čl. 84. st. 1. SZ i čl. 85. SZ, a u vezi s čl. 119. st. 6. SZ imenovan je privremeni stečajni upravitelj izabran metodom slučajnog odabira – automatskom dodjelom</w:t>
      </w:r>
      <w:r w:rsidR="00552847">
        <w:t>, te kako je privremeni stečajni upravitelj izabran metodom slučajnog odabira s liste A stečajnih upravitelja za područje ovoga suda, sud je privremenog stečajnog upravitelja imenovao stečajnim upraviteljem temeljem odredbi čl. 85. st. 2. SZ-a.</w:t>
      </w:r>
    </w:p>
    <w:p w:rsidRDefault="001D0DAD" w:rsidP="006C55C7" w:rsidR="001D0DAD">
      <w:pPr>
        <w:ind w:firstLine="708"/>
        <w:jc w:val="both"/>
      </w:pPr>
    </w:p>
    <w:p w:rsidRDefault="006C55C7" w:rsidP="006C55C7" w:rsidR="006C55C7">
      <w:pPr>
        <w:pStyle w:val="Tijeloteksta"/>
        <w:jc w:val="center"/>
      </w:pPr>
      <w:r w:rsidRPr="00CE5270">
        <w:t xml:space="preserve">U Osijeku </w:t>
      </w:r>
      <w:r w:rsidR="00380FFD">
        <w:t>2</w:t>
      </w:r>
      <w:r w:rsidR="00EE6C37">
        <w:t>8</w:t>
      </w:r>
      <w:r w:rsidRPr="00CE5270">
        <w:t xml:space="preserve">. </w:t>
      </w:r>
      <w:r w:rsidR="00DE28BC">
        <w:t>li</w:t>
      </w:r>
      <w:r w:rsidR="00EE6C37">
        <w:t>stopad</w:t>
      </w:r>
      <w:r>
        <w:t>a</w:t>
      </w:r>
      <w:r w:rsidRPr="00CE5270">
        <w:t xml:space="preserve"> 201</w:t>
      </w:r>
      <w:r>
        <w:t>6</w:t>
      </w:r>
      <w:r w:rsidRPr="00CE5270">
        <w:t xml:space="preserve">. </w:t>
      </w: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7101" w:rsidP="006C55C7" w:rsidR="008F7101">
      <w:pPr>
        <w:pStyle w:val="Tijeloteksta"/>
        <w:rPr>
          <w:bCs/>
        </w:rPr>
      </w:pPr>
    </w:p>
    <w:p w:rsidRDefault="008F7101" w:rsidP="006C55C7" w:rsidR="008F7101">
      <w:pPr>
        <w:pStyle w:val="Tijeloteksta"/>
        <w:rPr>
          <w:bCs/>
        </w:rPr>
      </w:pPr>
    </w:p>
    <w:p w:rsidRDefault="008F7101" w:rsidP="006C55C7" w:rsidR="008F7101">
      <w:pPr>
        <w:pStyle w:val="Tijeloteksta"/>
        <w:rPr>
          <w:bCs/>
        </w:rPr>
      </w:pPr>
    </w:p>
    <w:p w:rsidRDefault="008F7101" w:rsidP="006C55C7" w:rsidR="008F7101">
      <w:pPr>
        <w:pStyle w:val="Tijeloteksta"/>
        <w:rPr>
          <w:bCs/>
        </w:rPr>
      </w:pPr>
    </w:p>
    <w:p w:rsidRDefault="008F7101" w:rsidP="006C55C7" w:rsidR="008F7101">
      <w:pPr>
        <w:pStyle w:val="Tijeloteksta"/>
        <w:rPr>
          <w:bCs/>
        </w:rPr>
      </w:pPr>
    </w:p>
    <w:p w:rsidRDefault="008F7101" w:rsidP="006C55C7" w:rsidR="008F7101">
      <w:pPr>
        <w:pStyle w:val="Tijeloteksta"/>
        <w:rPr>
          <w:bCs/>
        </w:rPr>
      </w:pPr>
    </w:p>
    <w:p w:rsidRDefault="008F7101" w:rsidP="006C55C7" w:rsidR="008F7101">
      <w:pPr>
        <w:pStyle w:val="Tijeloteksta"/>
        <w:rPr>
          <w:bCs/>
        </w:rPr>
      </w:pPr>
    </w:p>
    <w:p w:rsidRDefault="008F7101" w:rsidP="006C55C7" w:rsidR="008F7101">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552847">
        <w:rPr>
          <w:bCs/>
        </w:rPr>
        <w:t>i</w:t>
      </w:r>
      <w:r w:rsidR="002A633E">
        <w:rPr>
          <w:bCs/>
        </w:rPr>
        <w:t xml:space="preserve"> </w:t>
      </w:r>
      <w:r w:rsidRPr="00FF6293">
        <w:rPr>
          <w:bCs/>
        </w:rPr>
        <w:t>upravitelj</w:t>
      </w:r>
      <w:r w:rsidR="00122EEE">
        <w:rPr>
          <w:bCs/>
        </w:rPr>
        <w:t xml:space="preserve"> </w:t>
      </w:r>
      <w:r w:rsidR="00EE6C37">
        <w:rPr>
          <w:bCs/>
        </w:rPr>
        <w:t>Tihomir Zec</w:t>
      </w:r>
    </w:p>
    <w:p w:rsidRDefault="006C55C7" w:rsidP="006C55C7" w:rsidR="006C55C7">
      <w:pPr>
        <w:numPr>
          <w:ilvl w:val="0"/>
          <w:numId w:val="29"/>
        </w:numPr>
        <w:jc w:val="both"/>
        <w:rPr>
          <w:bCs/>
        </w:rPr>
      </w:pPr>
      <w:r>
        <w:rPr>
          <w:bCs/>
        </w:rPr>
        <w:t>dužnik</w:t>
      </w:r>
    </w:p>
    <w:p w:rsidRDefault="007E6923" w:rsidP="009A1EBC" w:rsidR="001C0A48" w:rsidRPr="001C0A48">
      <w:pPr>
        <w:numPr>
          <w:ilvl w:val="0"/>
          <w:numId w:val="29"/>
        </w:numPr>
        <w:jc w:val="both"/>
        <w:rPr>
          <w:bCs/>
        </w:rPr>
      </w:pPr>
      <w:r w:rsidRPr="001C0A48">
        <w:rPr>
          <w:bCs/>
        </w:rPr>
        <w:t xml:space="preserve">zakonski zastupnik dužnika </w:t>
      </w:r>
      <w:r w:rsidR="009A1EBC" w:rsidRPr="009A1EBC">
        <w:t>Krunoslav Andrić, Budrovci, Pavleka Miškine 28</w:t>
      </w:r>
    </w:p>
    <w:p w:rsidRDefault="0019520E" w:rsidP="006C55C7" w:rsidR="0019520E">
      <w:pPr>
        <w:numPr>
          <w:ilvl w:val="0"/>
          <w:numId w:val="29"/>
        </w:numPr>
        <w:jc w:val="both"/>
        <w:rPr>
          <w:bCs/>
        </w:rPr>
      </w:pPr>
      <w:r>
        <w:rPr>
          <w:bCs/>
        </w:rPr>
        <w:t>FINA</w:t>
      </w:r>
      <w:r w:rsidR="002F1EEA">
        <w:rPr>
          <w:bCs/>
        </w:rPr>
        <w:t xml:space="preserve"> </w:t>
      </w:r>
    </w:p>
    <w:p w:rsidRDefault="002F1EEA" w:rsidP="006C55C7" w:rsidR="002F1EEA">
      <w:pPr>
        <w:numPr>
          <w:ilvl w:val="0"/>
          <w:numId w:val="29"/>
        </w:numPr>
        <w:jc w:val="both"/>
        <w:rPr>
          <w:bCs/>
        </w:rPr>
      </w:pPr>
      <w:r>
        <w:rPr>
          <w:bCs/>
        </w:rPr>
        <w:t xml:space="preserve">Porezna uprava </w:t>
      </w:r>
      <w:r w:rsidR="009A1EBC">
        <w:rPr>
          <w:bCs/>
        </w:rPr>
        <w:t>Đakovo</w:t>
      </w:r>
    </w:p>
    <w:p w:rsidRDefault="006C55C7" w:rsidP="006C55C7" w:rsidR="006C55C7">
      <w:pPr>
        <w:numPr>
          <w:ilvl w:val="0"/>
          <w:numId w:val="29"/>
        </w:numPr>
        <w:jc w:val="both"/>
        <w:rPr>
          <w:bCs/>
        </w:rPr>
      </w:pPr>
      <w:r w:rsidRPr="001C0A48">
        <w:rPr>
          <w:bCs/>
        </w:rPr>
        <w:t xml:space="preserve">ŽDO GUO </w:t>
      </w:r>
      <w:r w:rsidR="002F1EEA">
        <w:rPr>
          <w:bCs/>
        </w:rPr>
        <w:t>Osijek</w:t>
      </w:r>
    </w:p>
    <w:p w:rsidRDefault="004C513A" w:rsidP="006C55C7" w:rsidR="004C513A">
      <w:pPr>
        <w:numPr>
          <w:ilvl w:val="0"/>
          <w:numId w:val="29"/>
        </w:numPr>
        <w:jc w:val="both"/>
        <w:rPr>
          <w:bCs/>
        </w:rPr>
      </w:pPr>
      <w:r>
        <w:rPr>
          <w:bCs/>
        </w:rPr>
        <w:t>EXPORTDRVO d.d. Zagreb, Marulićev trg 18</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w:t>
      </w:r>
      <w:r w:rsidR="008909CB">
        <w:t>registar</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761F04" w:rsidP="00D9767E" w:rsidR="00E543AD" w:rsidRPr="00D9767E">
      <w:pPr>
        <w:numPr>
          <w:ilvl w:val="0"/>
          <w:numId w:val="29"/>
        </w:numPr>
        <w:jc w:val="both"/>
        <w:rPr>
          <w:bCs/>
        </w:rPr>
      </w:pPr>
      <w:r>
        <w:t>r.30.1.</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7349" w:rsidR="00197349">
      <w:r>
        <w:separator/>
      </w:r>
    </w:p>
  </w:endnote>
  <w:endnote w:id="0" w:type="continuationSeparator">
    <w:p w:rsidRDefault="00197349" w:rsidR="001973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7349" w:rsidR="00197349">
      <w:r>
        <w:separator/>
      </w:r>
    </w:p>
  </w:footnote>
  <w:footnote w:id="0" w:type="continuationSeparator">
    <w:p w:rsidRDefault="00197349" w:rsidR="001973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349" w:rsidR="001973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349" w:rsidR="001973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349" w:rsidR="001973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F63">
      <w:rPr>
        <w:rStyle w:val="Brojstranice"/>
        <w:noProof/>
      </w:rPr>
      <w:t>8</w:t>
    </w:r>
    <w:r>
      <w:rPr>
        <w:rStyle w:val="Brojstranice"/>
      </w:rPr>
      <w:fldChar w:fldCharType="end"/>
    </w:r>
  </w:p>
  <w:p w:rsidRDefault="00197349" w:rsidP="00FC2774" w:rsidR="00197349">
    <w:pPr>
      <w:pStyle w:val="Zaglavlje"/>
      <w:jc w:val="right"/>
    </w:pPr>
    <w:r w:rsidRPr="009655F9">
      <w:t>14 St-1784/16-26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349" w:rsidP="00EF311F" w:rsidR="00197349">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96145B"/>
    <w:multiLevelType w:val="hybridMultilevel"/>
    <w:tmpl w:val="327879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07E7F62"/>
    <w:multiLevelType w:val="hybridMultilevel"/>
    <w:tmpl w:val="33F23DA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4">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574B1316"/>
    <w:multiLevelType w:val="hybridMultilevel"/>
    <w:tmpl w:val="A79E079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8B55541"/>
    <w:multiLevelType w:val="hybridMultilevel"/>
    <w:tmpl w:val="ADD8E02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11"/>
  </w:num>
  <w:num w:numId="3">
    <w:abstractNumId w:val="34"/>
  </w:num>
  <w:num w:numId="4">
    <w:abstractNumId w:val="35"/>
  </w:num>
  <w:num w:numId="5">
    <w:abstractNumId w:val="14"/>
  </w:num>
  <w:num w:numId="6">
    <w:abstractNumId w:val="36"/>
  </w:num>
  <w:num w:numId="7">
    <w:abstractNumId w:val="31"/>
  </w:num>
  <w:num w:numId="8">
    <w:abstractNumId w:val="8"/>
  </w:num>
  <w:num w:numId="9">
    <w:abstractNumId w:val="19"/>
  </w:num>
  <w:num w:numId="10">
    <w:abstractNumId w:val="30"/>
  </w:num>
  <w:num w:numId="11">
    <w:abstractNumId w:val="9"/>
  </w:num>
  <w:num w:numId="12">
    <w:abstractNumId w:val="41"/>
  </w:num>
  <w:num w:numId="13">
    <w:abstractNumId w:val="10"/>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0"/>
  </w:num>
  <w:num w:numId="21">
    <w:abstractNumId w:val="6"/>
  </w:num>
  <w:num w:numId="22">
    <w:abstractNumId w:val="24"/>
  </w:num>
  <w:num w:numId="23">
    <w:abstractNumId w:val="12"/>
  </w:num>
  <w:num w:numId="24">
    <w:abstractNumId w:val="25"/>
  </w:num>
  <w:num w:numId="25">
    <w:abstractNumId w:val="18"/>
  </w:num>
  <w:num w:numId="26">
    <w:abstractNumId w:val="7"/>
  </w:num>
  <w:num w:numId="27">
    <w:abstractNumId w:val="42"/>
  </w:num>
  <w:num w:numId="28">
    <w:abstractNumId w:val="21"/>
  </w:num>
  <w:num w:numId="29">
    <w:abstractNumId w:val="17"/>
  </w:num>
  <w:num w:numId="30">
    <w:abstractNumId w:val="1"/>
  </w:num>
  <w:num w:numId="31">
    <w:abstractNumId w:val="13"/>
  </w:num>
  <w:num w:numId="32">
    <w:abstractNumId w:val="22"/>
  </w:num>
  <w:num w:numId="33">
    <w:abstractNumId w:val="0"/>
  </w:num>
  <w:num w:numId="34">
    <w:abstractNumId w:val="2"/>
  </w:num>
  <w:num w:numId="35">
    <w:abstractNumId w:val="37"/>
  </w:num>
  <w:num w:numId="36">
    <w:abstractNumId w:val="26"/>
  </w:num>
  <w:num w:numId="37">
    <w:abstractNumId w:val="4"/>
  </w:num>
  <w:num w:numId="38">
    <w:abstractNumId w:val="15"/>
  </w:num>
  <w:num w:numId="39">
    <w:abstractNumId w:val="23"/>
  </w:num>
  <w:num w:numId="40">
    <w:abstractNumId w:val="27"/>
  </w:num>
  <w:num w:numId="41">
    <w:abstractNumId w:val="28"/>
  </w:num>
  <w:num w:numId="42">
    <w:abstractNumId w:val="5"/>
  </w:num>
  <w:num w:numId="4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0CB5"/>
    <w:rsid w:val="00001615"/>
    <w:rsid w:val="000026FC"/>
    <w:rsid w:val="00002C36"/>
    <w:rsid w:val="00003016"/>
    <w:rsid w:val="00004186"/>
    <w:rsid w:val="0001459D"/>
    <w:rsid w:val="00014B93"/>
    <w:rsid w:val="00020AF7"/>
    <w:rsid w:val="00021048"/>
    <w:rsid w:val="00026EA4"/>
    <w:rsid w:val="000312BF"/>
    <w:rsid w:val="0003359C"/>
    <w:rsid w:val="000376CB"/>
    <w:rsid w:val="00040A11"/>
    <w:rsid w:val="00043D09"/>
    <w:rsid w:val="00051919"/>
    <w:rsid w:val="0005461F"/>
    <w:rsid w:val="00061BE1"/>
    <w:rsid w:val="0006344B"/>
    <w:rsid w:val="00064829"/>
    <w:rsid w:val="000779B5"/>
    <w:rsid w:val="00081AD8"/>
    <w:rsid w:val="000861FE"/>
    <w:rsid w:val="00086877"/>
    <w:rsid w:val="00090D7D"/>
    <w:rsid w:val="000919CC"/>
    <w:rsid w:val="00092079"/>
    <w:rsid w:val="00097C50"/>
    <w:rsid w:val="000A0C0C"/>
    <w:rsid w:val="000A149E"/>
    <w:rsid w:val="000A6300"/>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2EEE"/>
    <w:rsid w:val="001240B6"/>
    <w:rsid w:val="00126F44"/>
    <w:rsid w:val="0012798C"/>
    <w:rsid w:val="0013200D"/>
    <w:rsid w:val="001327DD"/>
    <w:rsid w:val="00132EB0"/>
    <w:rsid w:val="00133E78"/>
    <w:rsid w:val="00134946"/>
    <w:rsid w:val="00135843"/>
    <w:rsid w:val="00136FA7"/>
    <w:rsid w:val="00147DA9"/>
    <w:rsid w:val="001516B1"/>
    <w:rsid w:val="0015603C"/>
    <w:rsid w:val="00157025"/>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97349"/>
    <w:rsid w:val="001A01E2"/>
    <w:rsid w:val="001A18C9"/>
    <w:rsid w:val="001A32E7"/>
    <w:rsid w:val="001A598A"/>
    <w:rsid w:val="001A661E"/>
    <w:rsid w:val="001A6C80"/>
    <w:rsid w:val="001B41AB"/>
    <w:rsid w:val="001B6AF0"/>
    <w:rsid w:val="001C0A48"/>
    <w:rsid w:val="001C0EED"/>
    <w:rsid w:val="001C2708"/>
    <w:rsid w:val="001C3141"/>
    <w:rsid w:val="001C4228"/>
    <w:rsid w:val="001C6616"/>
    <w:rsid w:val="001C6FB3"/>
    <w:rsid w:val="001D0DAD"/>
    <w:rsid w:val="001D1468"/>
    <w:rsid w:val="001D6769"/>
    <w:rsid w:val="001D74C0"/>
    <w:rsid w:val="001D7826"/>
    <w:rsid w:val="001E4DEA"/>
    <w:rsid w:val="001F3746"/>
    <w:rsid w:val="002056BE"/>
    <w:rsid w:val="002060E6"/>
    <w:rsid w:val="002112BD"/>
    <w:rsid w:val="002124B5"/>
    <w:rsid w:val="00212859"/>
    <w:rsid w:val="002129E4"/>
    <w:rsid w:val="00215789"/>
    <w:rsid w:val="0021619E"/>
    <w:rsid w:val="00221980"/>
    <w:rsid w:val="0022207D"/>
    <w:rsid w:val="00223F57"/>
    <w:rsid w:val="002240D2"/>
    <w:rsid w:val="0022475D"/>
    <w:rsid w:val="002301B1"/>
    <w:rsid w:val="00231182"/>
    <w:rsid w:val="002327D8"/>
    <w:rsid w:val="00233904"/>
    <w:rsid w:val="00236255"/>
    <w:rsid w:val="00236C71"/>
    <w:rsid w:val="00240989"/>
    <w:rsid w:val="002418C3"/>
    <w:rsid w:val="00247C23"/>
    <w:rsid w:val="00250D0D"/>
    <w:rsid w:val="00251566"/>
    <w:rsid w:val="0025547E"/>
    <w:rsid w:val="0025577E"/>
    <w:rsid w:val="00255F2A"/>
    <w:rsid w:val="002578E0"/>
    <w:rsid w:val="0026080C"/>
    <w:rsid w:val="002662BA"/>
    <w:rsid w:val="002778B5"/>
    <w:rsid w:val="00281994"/>
    <w:rsid w:val="00281A89"/>
    <w:rsid w:val="002850F9"/>
    <w:rsid w:val="002917E4"/>
    <w:rsid w:val="00291F97"/>
    <w:rsid w:val="002947B1"/>
    <w:rsid w:val="0029683E"/>
    <w:rsid w:val="002A2563"/>
    <w:rsid w:val="002A3867"/>
    <w:rsid w:val="002A4249"/>
    <w:rsid w:val="002A5134"/>
    <w:rsid w:val="002A633E"/>
    <w:rsid w:val="002B27B2"/>
    <w:rsid w:val="002B2EA4"/>
    <w:rsid w:val="002C5995"/>
    <w:rsid w:val="002D074C"/>
    <w:rsid w:val="002D19AC"/>
    <w:rsid w:val="002D2F4D"/>
    <w:rsid w:val="002E38AB"/>
    <w:rsid w:val="002E602C"/>
    <w:rsid w:val="002E71F0"/>
    <w:rsid w:val="002F1EEA"/>
    <w:rsid w:val="002F2BDD"/>
    <w:rsid w:val="002F2C5A"/>
    <w:rsid w:val="002F2D04"/>
    <w:rsid w:val="002F51EA"/>
    <w:rsid w:val="0030227B"/>
    <w:rsid w:val="00302AAF"/>
    <w:rsid w:val="00304AF3"/>
    <w:rsid w:val="00316C5C"/>
    <w:rsid w:val="00330B1A"/>
    <w:rsid w:val="00331C4B"/>
    <w:rsid w:val="00340F87"/>
    <w:rsid w:val="00342126"/>
    <w:rsid w:val="0034231B"/>
    <w:rsid w:val="0034372F"/>
    <w:rsid w:val="00346CAA"/>
    <w:rsid w:val="00347FF7"/>
    <w:rsid w:val="0035233E"/>
    <w:rsid w:val="00355342"/>
    <w:rsid w:val="00370DF9"/>
    <w:rsid w:val="0037159E"/>
    <w:rsid w:val="003737D1"/>
    <w:rsid w:val="00374830"/>
    <w:rsid w:val="00377878"/>
    <w:rsid w:val="00377D50"/>
    <w:rsid w:val="0038021C"/>
    <w:rsid w:val="00380FFD"/>
    <w:rsid w:val="0038168C"/>
    <w:rsid w:val="00382145"/>
    <w:rsid w:val="00396C39"/>
    <w:rsid w:val="00397083"/>
    <w:rsid w:val="003A0BE9"/>
    <w:rsid w:val="003A4C5B"/>
    <w:rsid w:val="003A52F9"/>
    <w:rsid w:val="003A5E93"/>
    <w:rsid w:val="003A6023"/>
    <w:rsid w:val="003A70BC"/>
    <w:rsid w:val="003C1326"/>
    <w:rsid w:val="003C161F"/>
    <w:rsid w:val="003C60D7"/>
    <w:rsid w:val="003D14C1"/>
    <w:rsid w:val="003D6DE3"/>
    <w:rsid w:val="003E14CC"/>
    <w:rsid w:val="003E4EC4"/>
    <w:rsid w:val="003E5553"/>
    <w:rsid w:val="003E66F9"/>
    <w:rsid w:val="003F4E67"/>
    <w:rsid w:val="0040029D"/>
    <w:rsid w:val="00403559"/>
    <w:rsid w:val="00405F0F"/>
    <w:rsid w:val="00406A18"/>
    <w:rsid w:val="0040787B"/>
    <w:rsid w:val="00407F63"/>
    <w:rsid w:val="004109AE"/>
    <w:rsid w:val="004177DA"/>
    <w:rsid w:val="00420B1D"/>
    <w:rsid w:val="00420F81"/>
    <w:rsid w:val="00421439"/>
    <w:rsid w:val="00424471"/>
    <w:rsid w:val="004256E2"/>
    <w:rsid w:val="00426E44"/>
    <w:rsid w:val="00427642"/>
    <w:rsid w:val="00430B06"/>
    <w:rsid w:val="00433582"/>
    <w:rsid w:val="00434031"/>
    <w:rsid w:val="00434723"/>
    <w:rsid w:val="00435338"/>
    <w:rsid w:val="0043594C"/>
    <w:rsid w:val="004361FA"/>
    <w:rsid w:val="0043684E"/>
    <w:rsid w:val="00437009"/>
    <w:rsid w:val="00437941"/>
    <w:rsid w:val="00440B92"/>
    <w:rsid w:val="00441214"/>
    <w:rsid w:val="00442AB8"/>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3730"/>
    <w:rsid w:val="004C3D8B"/>
    <w:rsid w:val="004C513A"/>
    <w:rsid w:val="004C731B"/>
    <w:rsid w:val="004D0926"/>
    <w:rsid w:val="004D2DD9"/>
    <w:rsid w:val="004D2F39"/>
    <w:rsid w:val="004D3515"/>
    <w:rsid w:val="004D3838"/>
    <w:rsid w:val="004D3FE6"/>
    <w:rsid w:val="004D65E7"/>
    <w:rsid w:val="004E6AA8"/>
    <w:rsid w:val="004E6E8F"/>
    <w:rsid w:val="004F5283"/>
    <w:rsid w:val="004F64FE"/>
    <w:rsid w:val="004F74FC"/>
    <w:rsid w:val="00501F94"/>
    <w:rsid w:val="00506FE1"/>
    <w:rsid w:val="00507BA7"/>
    <w:rsid w:val="0051094F"/>
    <w:rsid w:val="00513A00"/>
    <w:rsid w:val="005141EF"/>
    <w:rsid w:val="00515693"/>
    <w:rsid w:val="005230E5"/>
    <w:rsid w:val="00523F2C"/>
    <w:rsid w:val="00530CD9"/>
    <w:rsid w:val="00532204"/>
    <w:rsid w:val="005375D3"/>
    <w:rsid w:val="00537813"/>
    <w:rsid w:val="00540ED3"/>
    <w:rsid w:val="0054748A"/>
    <w:rsid w:val="00547C33"/>
    <w:rsid w:val="00550FF4"/>
    <w:rsid w:val="00551798"/>
    <w:rsid w:val="00552516"/>
    <w:rsid w:val="00552847"/>
    <w:rsid w:val="005553C0"/>
    <w:rsid w:val="00557979"/>
    <w:rsid w:val="00560BA6"/>
    <w:rsid w:val="005616C0"/>
    <w:rsid w:val="00566567"/>
    <w:rsid w:val="005666F0"/>
    <w:rsid w:val="00566B1F"/>
    <w:rsid w:val="00571224"/>
    <w:rsid w:val="00572565"/>
    <w:rsid w:val="00572A78"/>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5745"/>
    <w:rsid w:val="005C59B6"/>
    <w:rsid w:val="005C6C33"/>
    <w:rsid w:val="005C7298"/>
    <w:rsid w:val="005D0C63"/>
    <w:rsid w:val="005D1A87"/>
    <w:rsid w:val="005D7EFD"/>
    <w:rsid w:val="005E3D32"/>
    <w:rsid w:val="005E434F"/>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A6D"/>
    <w:rsid w:val="00655210"/>
    <w:rsid w:val="00660064"/>
    <w:rsid w:val="0066026B"/>
    <w:rsid w:val="0066419B"/>
    <w:rsid w:val="006660FE"/>
    <w:rsid w:val="00670123"/>
    <w:rsid w:val="00671C21"/>
    <w:rsid w:val="006768E7"/>
    <w:rsid w:val="006805A0"/>
    <w:rsid w:val="00680628"/>
    <w:rsid w:val="006816F1"/>
    <w:rsid w:val="006861E7"/>
    <w:rsid w:val="0069141C"/>
    <w:rsid w:val="00691909"/>
    <w:rsid w:val="00693874"/>
    <w:rsid w:val="006944E2"/>
    <w:rsid w:val="0069650E"/>
    <w:rsid w:val="006A0D23"/>
    <w:rsid w:val="006A2D4B"/>
    <w:rsid w:val="006A63A7"/>
    <w:rsid w:val="006B406F"/>
    <w:rsid w:val="006B4610"/>
    <w:rsid w:val="006C041B"/>
    <w:rsid w:val="006C0C10"/>
    <w:rsid w:val="006C193A"/>
    <w:rsid w:val="006C21CA"/>
    <w:rsid w:val="006C4500"/>
    <w:rsid w:val="006C504F"/>
    <w:rsid w:val="006C55C7"/>
    <w:rsid w:val="006C6FE7"/>
    <w:rsid w:val="006D20F8"/>
    <w:rsid w:val="006E289A"/>
    <w:rsid w:val="006E401D"/>
    <w:rsid w:val="006E7DED"/>
    <w:rsid w:val="006F14A1"/>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1F04"/>
    <w:rsid w:val="007649AE"/>
    <w:rsid w:val="00764E0A"/>
    <w:rsid w:val="007653A1"/>
    <w:rsid w:val="00767B66"/>
    <w:rsid w:val="00775A97"/>
    <w:rsid w:val="00784FB2"/>
    <w:rsid w:val="007931B5"/>
    <w:rsid w:val="00794235"/>
    <w:rsid w:val="00795040"/>
    <w:rsid w:val="007955ED"/>
    <w:rsid w:val="00795699"/>
    <w:rsid w:val="00797544"/>
    <w:rsid w:val="00797989"/>
    <w:rsid w:val="007A1B3A"/>
    <w:rsid w:val="007A3670"/>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49E4"/>
    <w:rsid w:val="008260FC"/>
    <w:rsid w:val="008342C9"/>
    <w:rsid w:val="00840A14"/>
    <w:rsid w:val="00841BB9"/>
    <w:rsid w:val="008431ED"/>
    <w:rsid w:val="0084342D"/>
    <w:rsid w:val="00844057"/>
    <w:rsid w:val="00850D00"/>
    <w:rsid w:val="00850E63"/>
    <w:rsid w:val="00851DB6"/>
    <w:rsid w:val="00851F3D"/>
    <w:rsid w:val="0085749F"/>
    <w:rsid w:val="00861C98"/>
    <w:rsid w:val="00863669"/>
    <w:rsid w:val="00876A12"/>
    <w:rsid w:val="0088026B"/>
    <w:rsid w:val="00880755"/>
    <w:rsid w:val="0088521C"/>
    <w:rsid w:val="00886C32"/>
    <w:rsid w:val="008909CB"/>
    <w:rsid w:val="008914FC"/>
    <w:rsid w:val="008A2F48"/>
    <w:rsid w:val="008A46E5"/>
    <w:rsid w:val="008A7BCA"/>
    <w:rsid w:val="008B16A8"/>
    <w:rsid w:val="008C04E0"/>
    <w:rsid w:val="008C11C6"/>
    <w:rsid w:val="008C387E"/>
    <w:rsid w:val="008C4A8B"/>
    <w:rsid w:val="008D0607"/>
    <w:rsid w:val="008D1DFF"/>
    <w:rsid w:val="008D258E"/>
    <w:rsid w:val="008D260A"/>
    <w:rsid w:val="008D350D"/>
    <w:rsid w:val="008D6A92"/>
    <w:rsid w:val="008E1A5E"/>
    <w:rsid w:val="008E1AE8"/>
    <w:rsid w:val="008E25BA"/>
    <w:rsid w:val="008E3606"/>
    <w:rsid w:val="008E65CB"/>
    <w:rsid w:val="008E7BF2"/>
    <w:rsid w:val="008F0874"/>
    <w:rsid w:val="008F65EF"/>
    <w:rsid w:val="008F6C2F"/>
    <w:rsid w:val="008F7101"/>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4F0"/>
    <w:rsid w:val="0092580D"/>
    <w:rsid w:val="00925A3A"/>
    <w:rsid w:val="009310B0"/>
    <w:rsid w:val="0093304A"/>
    <w:rsid w:val="0093535F"/>
    <w:rsid w:val="00935718"/>
    <w:rsid w:val="00935F94"/>
    <w:rsid w:val="00942491"/>
    <w:rsid w:val="00944C7A"/>
    <w:rsid w:val="00952606"/>
    <w:rsid w:val="00953ABE"/>
    <w:rsid w:val="0096087F"/>
    <w:rsid w:val="009655F9"/>
    <w:rsid w:val="00967F48"/>
    <w:rsid w:val="009721F0"/>
    <w:rsid w:val="00972404"/>
    <w:rsid w:val="009738A7"/>
    <w:rsid w:val="00973A4B"/>
    <w:rsid w:val="00977881"/>
    <w:rsid w:val="00980A65"/>
    <w:rsid w:val="00986812"/>
    <w:rsid w:val="009876F2"/>
    <w:rsid w:val="00987F1A"/>
    <w:rsid w:val="00990C7E"/>
    <w:rsid w:val="009943D9"/>
    <w:rsid w:val="009A0C35"/>
    <w:rsid w:val="009A14E4"/>
    <w:rsid w:val="009A1EBC"/>
    <w:rsid w:val="009A42AC"/>
    <w:rsid w:val="009A616C"/>
    <w:rsid w:val="009B02D5"/>
    <w:rsid w:val="009B07DB"/>
    <w:rsid w:val="009B17C7"/>
    <w:rsid w:val="009B352E"/>
    <w:rsid w:val="009B588E"/>
    <w:rsid w:val="009B5D78"/>
    <w:rsid w:val="009B7725"/>
    <w:rsid w:val="009B7EEA"/>
    <w:rsid w:val="009C260B"/>
    <w:rsid w:val="009C670C"/>
    <w:rsid w:val="009D2A4D"/>
    <w:rsid w:val="009D4AEC"/>
    <w:rsid w:val="009D74C2"/>
    <w:rsid w:val="009E094B"/>
    <w:rsid w:val="009E143C"/>
    <w:rsid w:val="009E1C22"/>
    <w:rsid w:val="009E407A"/>
    <w:rsid w:val="009E5ADE"/>
    <w:rsid w:val="00A01122"/>
    <w:rsid w:val="00A13244"/>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6402"/>
    <w:rsid w:val="00A5680F"/>
    <w:rsid w:val="00A56CE0"/>
    <w:rsid w:val="00A57668"/>
    <w:rsid w:val="00A61C37"/>
    <w:rsid w:val="00A65149"/>
    <w:rsid w:val="00A76017"/>
    <w:rsid w:val="00A770D1"/>
    <w:rsid w:val="00A808CB"/>
    <w:rsid w:val="00A81889"/>
    <w:rsid w:val="00A82194"/>
    <w:rsid w:val="00A8678A"/>
    <w:rsid w:val="00A86FE6"/>
    <w:rsid w:val="00A87600"/>
    <w:rsid w:val="00A87CDA"/>
    <w:rsid w:val="00A92823"/>
    <w:rsid w:val="00AA15D3"/>
    <w:rsid w:val="00AA3E8B"/>
    <w:rsid w:val="00AA55F9"/>
    <w:rsid w:val="00AA5872"/>
    <w:rsid w:val="00AA5CB5"/>
    <w:rsid w:val="00AA5E95"/>
    <w:rsid w:val="00AA644E"/>
    <w:rsid w:val="00AA7B7B"/>
    <w:rsid w:val="00AB1E6C"/>
    <w:rsid w:val="00AB6461"/>
    <w:rsid w:val="00AB6BE7"/>
    <w:rsid w:val="00AD0003"/>
    <w:rsid w:val="00AD2ACF"/>
    <w:rsid w:val="00AD573C"/>
    <w:rsid w:val="00AD7576"/>
    <w:rsid w:val="00AE3E07"/>
    <w:rsid w:val="00AE4A19"/>
    <w:rsid w:val="00AE56F5"/>
    <w:rsid w:val="00AE586F"/>
    <w:rsid w:val="00AF0A7E"/>
    <w:rsid w:val="00AF7FAA"/>
    <w:rsid w:val="00B00A41"/>
    <w:rsid w:val="00B13693"/>
    <w:rsid w:val="00B14D5F"/>
    <w:rsid w:val="00B2073A"/>
    <w:rsid w:val="00B22E50"/>
    <w:rsid w:val="00B2352F"/>
    <w:rsid w:val="00B25DB6"/>
    <w:rsid w:val="00B273E8"/>
    <w:rsid w:val="00B31D78"/>
    <w:rsid w:val="00B32B55"/>
    <w:rsid w:val="00B32B59"/>
    <w:rsid w:val="00B33751"/>
    <w:rsid w:val="00B344C7"/>
    <w:rsid w:val="00B373DC"/>
    <w:rsid w:val="00B41E35"/>
    <w:rsid w:val="00B41E45"/>
    <w:rsid w:val="00B42CCB"/>
    <w:rsid w:val="00B44BDE"/>
    <w:rsid w:val="00B4614F"/>
    <w:rsid w:val="00B4743D"/>
    <w:rsid w:val="00B50379"/>
    <w:rsid w:val="00B51B58"/>
    <w:rsid w:val="00B529E9"/>
    <w:rsid w:val="00B540A5"/>
    <w:rsid w:val="00B57342"/>
    <w:rsid w:val="00B6364C"/>
    <w:rsid w:val="00B65B45"/>
    <w:rsid w:val="00B66849"/>
    <w:rsid w:val="00B725DE"/>
    <w:rsid w:val="00B72D7F"/>
    <w:rsid w:val="00B73F46"/>
    <w:rsid w:val="00B80FC8"/>
    <w:rsid w:val="00B87668"/>
    <w:rsid w:val="00B876EE"/>
    <w:rsid w:val="00B8780B"/>
    <w:rsid w:val="00B90ECC"/>
    <w:rsid w:val="00B9165F"/>
    <w:rsid w:val="00B934BC"/>
    <w:rsid w:val="00B96ED7"/>
    <w:rsid w:val="00BA3199"/>
    <w:rsid w:val="00BB0242"/>
    <w:rsid w:val="00BB08DC"/>
    <w:rsid w:val="00BB168E"/>
    <w:rsid w:val="00BB2219"/>
    <w:rsid w:val="00BB3A2C"/>
    <w:rsid w:val="00BB50E2"/>
    <w:rsid w:val="00BB7958"/>
    <w:rsid w:val="00BC0880"/>
    <w:rsid w:val="00BC1CBD"/>
    <w:rsid w:val="00BC22EB"/>
    <w:rsid w:val="00BC30FD"/>
    <w:rsid w:val="00BC7140"/>
    <w:rsid w:val="00BD0169"/>
    <w:rsid w:val="00BD0738"/>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15BC1"/>
    <w:rsid w:val="00C202A7"/>
    <w:rsid w:val="00C2091D"/>
    <w:rsid w:val="00C34486"/>
    <w:rsid w:val="00C36ACF"/>
    <w:rsid w:val="00C40B63"/>
    <w:rsid w:val="00C42491"/>
    <w:rsid w:val="00C433F1"/>
    <w:rsid w:val="00C43B3B"/>
    <w:rsid w:val="00C44C06"/>
    <w:rsid w:val="00C519D3"/>
    <w:rsid w:val="00C52BDE"/>
    <w:rsid w:val="00C53799"/>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285C"/>
    <w:rsid w:val="00CC45A3"/>
    <w:rsid w:val="00CC4D05"/>
    <w:rsid w:val="00CC533C"/>
    <w:rsid w:val="00CC599B"/>
    <w:rsid w:val="00CC73BF"/>
    <w:rsid w:val="00CD0673"/>
    <w:rsid w:val="00CD1752"/>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C07"/>
    <w:rsid w:val="00D51D89"/>
    <w:rsid w:val="00D51F0D"/>
    <w:rsid w:val="00D53C58"/>
    <w:rsid w:val="00D54496"/>
    <w:rsid w:val="00D5547F"/>
    <w:rsid w:val="00D5555E"/>
    <w:rsid w:val="00D5622A"/>
    <w:rsid w:val="00D57F0E"/>
    <w:rsid w:val="00D621A8"/>
    <w:rsid w:val="00D62D07"/>
    <w:rsid w:val="00D64D7B"/>
    <w:rsid w:val="00D66BBF"/>
    <w:rsid w:val="00D70A8E"/>
    <w:rsid w:val="00D70F3F"/>
    <w:rsid w:val="00D7586B"/>
    <w:rsid w:val="00D77AA8"/>
    <w:rsid w:val="00D82D9E"/>
    <w:rsid w:val="00D8567A"/>
    <w:rsid w:val="00D85C45"/>
    <w:rsid w:val="00D8646B"/>
    <w:rsid w:val="00D92450"/>
    <w:rsid w:val="00D9372E"/>
    <w:rsid w:val="00D93A40"/>
    <w:rsid w:val="00D95CF5"/>
    <w:rsid w:val="00D9767E"/>
    <w:rsid w:val="00DA2214"/>
    <w:rsid w:val="00DA2AB2"/>
    <w:rsid w:val="00DA3942"/>
    <w:rsid w:val="00DA3AC9"/>
    <w:rsid w:val="00DA47A9"/>
    <w:rsid w:val="00DA67D6"/>
    <w:rsid w:val="00DB0BD7"/>
    <w:rsid w:val="00DB2DFE"/>
    <w:rsid w:val="00DC0E4C"/>
    <w:rsid w:val="00DC1AFE"/>
    <w:rsid w:val="00DC260B"/>
    <w:rsid w:val="00DC2BAD"/>
    <w:rsid w:val="00DC35AD"/>
    <w:rsid w:val="00DD5DB5"/>
    <w:rsid w:val="00DE28BC"/>
    <w:rsid w:val="00DF0296"/>
    <w:rsid w:val="00DF51CC"/>
    <w:rsid w:val="00DF6269"/>
    <w:rsid w:val="00DF7D40"/>
    <w:rsid w:val="00E05A59"/>
    <w:rsid w:val="00E05EB9"/>
    <w:rsid w:val="00E13ED7"/>
    <w:rsid w:val="00E15B62"/>
    <w:rsid w:val="00E15B84"/>
    <w:rsid w:val="00E16925"/>
    <w:rsid w:val="00E1711C"/>
    <w:rsid w:val="00E2088D"/>
    <w:rsid w:val="00E20BF0"/>
    <w:rsid w:val="00E21F0D"/>
    <w:rsid w:val="00E23265"/>
    <w:rsid w:val="00E250F7"/>
    <w:rsid w:val="00E30962"/>
    <w:rsid w:val="00E3104D"/>
    <w:rsid w:val="00E31DE2"/>
    <w:rsid w:val="00E329D0"/>
    <w:rsid w:val="00E34885"/>
    <w:rsid w:val="00E4055B"/>
    <w:rsid w:val="00E41047"/>
    <w:rsid w:val="00E41BC8"/>
    <w:rsid w:val="00E42F51"/>
    <w:rsid w:val="00E45D8B"/>
    <w:rsid w:val="00E543AD"/>
    <w:rsid w:val="00E6461E"/>
    <w:rsid w:val="00E67613"/>
    <w:rsid w:val="00E67B00"/>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1186"/>
    <w:rsid w:val="00ED3353"/>
    <w:rsid w:val="00EE094D"/>
    <w:rsid w:val="00EE0C3E"/>
    <w:rsid w:val="00EE1369"/>
    <w:rsid w:val="00EE2B22"/>
    <w:rsid w:val="00EE3411"/>
    <w:rsid w:val="00EE6C37"/>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26FE"/>
    <w:rsid w:val="00F83077"/>
    <w:rsid w:val="00F83564"/>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2774"/>
    <w:rsid w:val="00FC7CA5"/>
    <w:rsid w:val="00FD2FD5"/>
    <w:rsid w:val="00FD3FCD"/>
    <w:rsid w:val="00FD70C4"/>
    <w:rsid w:val="00FD785A"/>
    <w:rsid w:val="00FD7DA2"/>
    <w:rsid w:val="00FE1638"/>
    <w:rsid w:val="00FE3DBC"/>
    <w:rsid w:val="00FE4165"/>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407F63"/>
    <w:rPr>
      <w:color w:val="808080"/>
      <w:bdr w:space="0" w:sz="0" w:color="auto" w:val="none"/>
      <w:shd w:fill="auto" w:color="auto" w:val="clear"/>
    </w:rPr>
  </w:style>
  <w:style w:customStyle="true" w:styleId="eSPISCCParagraphDefaultFont" w:type="character">
    <w:name w:val="eSPIS_CC_Paragraph Default Font"/>
    <w:basedOn w:val="Zadanifontodlomka"/>
    <w:rsid w:val="00407F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7F63"/>
    <w:rPr>
      <w:bdr w:space="0" w:sz="0" w:color="auto" w:val="none"/>
      <w:shd w:fill="FFFFCC" w:color="auto" w:val="clear"/>
      <w:lang w:val="hr-HR"/>
    </w:rPr>
  </w:style>
  <w:style w:customStyle="true" w:styleId="PozadinaSvijetloCrvena" w:type="character">
    <w:name w:val="Pozadina_SvijetloCrvena"/>
    <w:basedOn w:val="eSPISCCParagraphDefaultFont"/>
    <w:rsid w:val="00407F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7F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407F63"/>
    <w:rPr>
      <w:color w:val="808080"/>
      <w:bdr w:color="auto" w:space="0" w:sz="0" w:val="none"/>
      <w:shd w:color="auto" w:fill="auto" w:val="clear"/>
    </w:rPr>
  </w:style>
  <w:style w:customStyle="1" w:styleId="eSPISCCParagraphDefaultFont" w:type="character">
    <w:name w:val="eSPIS_CC_Paragraph Default Font"/>
    <w:basedOn w:val="Zadanifontodlomka"/>
    <w:rsid w:val="00407F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7F63"/>
    <w:rPr>
      <w:bdr w:color="auto" w:space="0" w:sz="0" w:val="none"/>
      <w:shd w:color="auto" w:fill="FFFFCC" w:val="clear"/>
      <w:lang w:val="hr-HR"/>
    </w:rPr>
  </w:style>
  <w:style w:customStyle="1" w:styleId="PozadinaSvijetloCrvena" w:type="character">
    <w:name w:val="Pozadina_SvijetloCrvena"/>
    <w:basedOn w:val="eSPISCCParagraphDefaultFont"/>
    <w:rsid w:val="00407F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7F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St-1784/2016</izvorni_sadrzaj>
    <derivirana_varijabla naziv="DomainObject.Predmet.OznakaBroj_1">St-1784/2016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KRUBER d.o.o. za proizvodnju, trgovinu i usluge</izvorni_sadrzaj>
    <derivirana_varijabla naziv="DomainObject.Predmet.ProtustrankaFormated_1">  KRUBER d.o.o. za proizvodnju, trgovinu i usluge</derivirana_varijabla>
  </DomainObject.Predmet.ProtustrankaFormated>
  <DomainObject.Predmet.ProtustrankaFormatedOIB>
    <izvorni_sadrzaj>  KRUBER d.o.o. za proizvodnju, trgovinu i usluge, OIB 20700661383</izvorni_sadrzaj>
    <derivirana_varijabla naziv="DomainObject.Predmet.ProtustrankaFormatedOIB_1">  KRUBER d.o.o. za proizvodnju, trgovinu i usluge, OIB 20700661383</derivirana_varijabla>
  </DomainObject.Predmet.ProtustrankaFormatedOIB>
  <DomainObject.Predmet.ProtustrankaFormatedWithAdress>
    <izvorni_sadrzaj> KRUBER d.o.o. za proizvodnju, trgovinu i usluge, Ante Starčevića 29, 31400 Đakovo</izvorni_sadrzaj>
    <derivirana_varijabla naziv="DomainObject.Predmet.ProtustrankaFormatedWithAdress_1"> KRUBER d.o.o. za proizvodnju, trgovinu i usluge, Ante Starčevića 29, 31400 Đakovo</derivirana_varijabla>
  </DomainObject.Predmet.ProtustrankaFormatedWithAdress>
  <DomainObject.Predmet.ProtustrankaFormatedWithAdressOIB>
    <izvorni_sadrzaj> KRUBER d.o.o. za proizvodnju, trgovinu i usluge, OIB 20700661383, Ante Starčevića 29, 31400 Đakovo</izvorni_sadrzaj>
    <derivirana_varijabla naziv="DomainObject.Predmet.ProtustrankaFormatedWithAdressOIB_1"> KRUBER d.o.o. za proizvodnju, trgovinu i usluge, OIB 20700661383, Ante Starčevića 29, 31400 Đakovo</derivirana_varijabla>
  </DomainObject.Predmet.ProtustrankaFormatedWithAdressOIB>
  <DomainObject.Predmet.ProtustrankaWithAdress>
    <izvorni_sadrzaj>KRUBER d.o.o. za proizvodnju, trgovinu i usluge Ante Starčevića 29, 31400 Đakovo</izvorni_sadrzaj>
    <derivirana_varijabla naziv="DomainObject.Predmet.ProtustrankaWithAdress_1">KRUBER d.o.o. za proizvodnju, trgovinu i usluge Ante Starčevića 29, 31400 Đakovo</derivirana_varijabla>
  </DomainObject.Predmet.ProtustrankaWithAdress>
  <DomainObject.Predmet.ProtustrankaWithAdressOIB>
    <izvorni_sadrzaj>KRUBER d.o.o. za proizvodnju, trgovinu i usluge, OIB 20700661383, Ante Starčevića 29, 31400 Đakovo</izvorni_sadrzaj>
    <derivirana_varijabla naziv="DomainObject.Predmet.ProtustrankaWithAdressOIB_1">KRUBER d.o.o. za proizvodnju, trgovinu i usluge, OIB 20700661383, Ante Starčevića 29, 31400 Đakovo</derivirana_varijabla>
  </DomainObject.Predmet.ProtustrankaWithAdressOIB>
  <DomainObject.Predmet.ProtustrankaNazivFormated>
    <izvorni_sadrzaj>KRUBER d.o.o. za proizvodnju, trgovinu i usluge</izvorni_sadrzaj>
    <derivirana_varijabla naziv="DomainObject.Predmet.ProtustrankaNazivFormated_1">KRUBER d.o.o. za proizvodnju, trgovinu i usluge</derivirana_varijabla>
  </DomainObject.Predmet.ProtustrankaNazivFormated>
  <DomainObject.Predmet.ProtustrankaNazivFormatedOIB>
    <izvorni_sadrzaj>KRUBER d.o.o. za proizvodnju, trgovinu i usluge, OIB 20700661383</izvorni_sadrzaj>
    <derivirana_varijabla naziv="DomainObject.Predmet.ProtustrankaNazivFormatedOIB_1">KRUBER d.o.o. za proizvodnju, trgovinu i usluge, OIB 20700661383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KRUBER d.o.o. za proizvodnju, trgovinu i usluge</item>
    </izvorni_sadrzaj>
    <derivirana_varijabla naziv="DomainObject.Predmet.ProtuStrankaListFormated_1">
      <item>KRUBER d.o.o. za proizvodnju, trgovinu i usluge</item>
    </derivirana_varijabla>
  </DomainObject.Predmet.ProtuStrankaListFormated>
  <DomainObject.Predmet.ProtuStrankaListFormatedOIB>
    <izvorni_sadrzaj>
      <item>KRUBER d.o.o. za proizvodnju, trgovinu i usluge, OIB 20700661383</item>
    </izvorni_sadrzaj>
    <derivirana_varijabla naziv="DomainObject.Predmet.ProtuStrankaListFormatedOIB_1">
      <item>KRUBER d.o.o. za proizvodnju, trgovinu i usluge, OIB 20700661383</item>
    </derivirana_varijabla>
  </DomainObject.Predmet.ProtuStrankaListFormatedOIB>
  <DomainObject.Predmet.ProtuStrankaListFormatedWithAdress>
    <izvorni_sadrzaj>
      <item>KRUBER d.o.o. za proizvodnju, trgovinu i usluge, Ante Starčevića 29, 31400 Đakovo</item>
    </izvorni_sadrzaj>
    <derivirana_varijabla naziv="DomainObject.Predmet.ProtuStrankaListFormatedWithAdress_1">
      <item>KRUBER d.o.o. za proizvodnju, trgovinu i usluge, Ante Starčevića 29, 31400 Đakovo</item>
    </derivirana_varijabla>
  </DomainObject.Predmet.ProtuStrankaListFormatedWithAdress>
  <DomainObject.Predmet.ProtuStrankaListFormatedWithAdressOIB>
    <izvorni_sadrzaj>
      <item>KRUBER d.o.o. za proizvodnju, trgovinu i usluge, OIB 20700661383, Ante Starčevića 29, 31400 Đakovo</item>
    </izvorni_sadrzaj>
    <derivirana_varijabla naziv="DomainObject.Predmet.ProtuStrankaListFormatedWithAdressOIB_1">
      <item>KRUBER d.o.o. za proizvodnju, trgovinu i usluge, OIB 20700661383, Ante Starčevića 29, 31400 Đakovo</item>
    </derivirana_varijabla>
  </DomainObject.Predmet.ProtuStrankaListFormatedWithAdressOIB>
  <DomainObject.Predmet.ProtuStrankaListNazivFormated>
    <izvorni_sadrzaj>
      <item>KRUBER d.o.o. za proizvodnju, trgovinu i usluge</item>
    </izvorni_sadrzaj>
    <derivirana_varijabla naziv="DomainObject.Predmet.ProtuStrankaListNazivFormated_1">
      <item>KRUBER d.o.o. za proizvodnju, trgovinu i usluge</item>
    </derivirana_varijabla>
  </DomainObject.Predmet.ProtuStrankaListNazivFormated>
  <DomainObject.Predmet.ProtuStrankaListNazivFormatedOIB>
    <izvorni_sadrzaj>
      <item>KRUBER d.o.o. za proizvodnju, trgovinu i usluge, OIB 20700661383</item>
    </izvorni_sadrzaj>
    <derivirana_varijabla naziv="DomainObject.Predmet.ProtuStrankaListNazivFormatedOIB_1">
      <item>KRUBER d.o.o. za proizvodnju, trgovinu i usluge, OIB 20700661383</item>
    </derivirana_varijabla>
  </DomainObject.Predmet.ProtuStrankaListNazivFormatedOIB>
  <DomainObject.Predmet.OstaliListFormated>
    <izvorni_sadrzaj>
      <item>ŽDO GUO Osijek</item>
      <item>Tihomir Zec</item>
      <item>Krunoslav Andrić</item>
    </izvorni_sadrzaj>
    <derivirana_varijabla naziv="DomainObject.Predmet.OstaliListFormated_1">
      <item>ŽDO GUO Osijek</item>
      <item>Tihomir Zec</item>
      <item>Krunoslav Andrić</item>
    </derivirana_varijabla>
  </DomainObject.Predmet.OstaliListFormated>
  <DomainObject.Predmet.OstaliListFormatedOIB>
    <izvorni_sadrzaj>
      <item>ŽDO GUO Osijek</item>
      <item>Tihomir Zec, OIB 80723087237</item>
      <item>Krunoslav Andrić, OIB 92184760759</item>
    </izvorni_sadrzaj>
    <derivirana_varijabla naziv="DomainObject.Predmet.OstaliListFormatedOIB_1">
      <item>ŽDO GUO Osijek</item>
      <item>Tihomir Zec, OIB 80723087237</item>
      <item>Krunoslav Andrić, OIB 92184760759</item>
    </derivirana_varijabla>
  </DomainObject.Predmet.OstaliListFormatedOIB>
  <DomainObject.Predmet.OstaliListFormatedWithAdress>
    <izvorni_sadrzaj>
      <item>ŽDO GUO Osijek</item>
      <item>Tihomir Zec, K. A. Stepinca 4, 31000 Osijek</item>
      <item>Krunoslav Andrić, P. Miškine 28, 31400 Budrovci</item>
    </izvorni_sadrzaj>
    <derivirana_varijabla naziv="DomainObject.Predmet.OstaliListFormatedWithAdress_1">
      <item>ŽDO GUO Osijek</item>
      <item>Tihomir Zec, K. A. Stepinca 4, 31000 Osijek</item>
      <item>Krunoslav Andrić, P. Miškine 28, 31400 Budrovci</item>
    </derivirana_varijabla>
  </DomainObject.Predmet.OstaliListFormatedWithAdress>
  <DomainObject.Predmet.OstaliListFormatedWithAdressOIB>
    <izvorni_sadrzaj>
      <item>ŽDO GUO Osijek</item>
      <item>Tihomir Zec, OIB 80723087237, K. A. Stepinca 4, 31000 Osijek</item>
      <item>Krunoslav Andrić, OIB 92184760759, P. Miškine 28, 31400 Budrovci</item>
    </izvorni_sadrzaj>
    <derivirana_varijabla naziv="DomainObject.Predmet.OstaliListFormatedWithAdressOIB_1">
      <item>ŽDO GUO Osijek</item>
      <item>Tihomir Zec, OIB 80723087237, K. A. Stepinca 4, 31000 Osijek</item>
      <item>Krunoslav Andrić, OIB 92184760759, P. Miškine 28, 31400 Budrovci</item>
    </derivirana_varijabla>
  </DomainObject.Predmet.OstaliListFormatedWithAdressOIB>
  <DomainObject.Predmet.OstaliListNazivFormated>
    <izvorni_sadrzaj>
      <item>ŽDO GUO Osijek</item>
      <item>Tihomir Zec</item>
      <item>Krunoslav Andrić</item>
    </izvorni_sadrzaj>
    <derivirana_varijabla naziv="DomainObject.Predmet.OstaliListNazivFormated_1">
      <item>ŽDO GUO Osijek</item>
      <item>Tihomir Zec</item>
      <item>Krunoslav Andrić</item>
    </derivirana_varijabla>
  </DomainObject.Predmet.OstaliListNazivFormated>
  <DomainObject.Predmet.OstaliListNazivFormatedOIB>
    <izvorni_sadrzaj>
      <item>ŽDO GUO Osijek</item>
      <item>Tihomir Zec, OIB 80723087237</item>
      <item>Krunoslav Andrić, OIB 92184760759</item>
    </izvorni_sadrzaj>
    <derivirana_varijabla naziv="DomainObject.Predmet.OstaliListNazivFormatedOIB_1">
      <item>ŽDO GUO Osijek</item>
      <item>Tihomir Zec, OIB 80723087237</item>
      <item>Krunoslav Andrić, OIB 92184760759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KRUBER d.o.o. za proizvodnju, trgovinu i usluge</izvorni_sadrzaj>
    <derivirana_varijabla naziv="DomainObject.Predmet.ProtustrankaIDrugi_1">KRUBER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KRUBER d.o.o. za proizvodnju, trgovinu i usluge, OIB 20700661383, Ante Starčevića 29, 31400 Đakovo</izvorni_sadrzaj>
    <derivirana_varijabla naziv="DomainObject.Predmet.ProtustrankaIDrugiAdressOIB_1">KRUBER d.o.o. za proizvodnju, trgovinu i usluge, OIB 20700661383, Ante Starčevića 29,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KRUBER d.o.o. za proizvodnju, trgovinu i usluge</item>
      <item>ŽDO GUO Osijek</item>
      <item>Tihomir Zec</item>
      <item>Krunoslav Andrić</item>
    </izvorni_sadrzaj>
    <derivirana_varijabla naziv="DomainObject.Predmet.SudioniciListNaziv_1">
      <item>FINA RC OSIJEK</item>
      <item>KRUBER d.o.o. za proizvodnju, trgovinu i usluge</item>
      <item>ŽDO GUO Osijek</item>
      <item>Tihomir Zec</item>
      <item>Krunoslav Andrić</item>
    </derivirana_varijabla>
  </DomainObject.Predmet.SudioniciListNaziv>
  <DomainObject.Predmet.SudioniciListAdressOIB>
    <izvorni_sadrzaj>
      <item>FINA RC OSIJEK, OIB 85821130368</item>
      <item>KRUBER d.o.o. za proizvodnju, trgovinu i usluge, OIB 20700661383, Ante Starčevića 29,31400 Đakovo</item>
      <item>ŽDO GUO Osijek</item>
      <item>Tihomir Zec, OIB 80723087237, K. A. Stepinca 4,31000 Osijek</item>
      <item>Krunoslav Andrić, OIB 92184760759, P. Miškine 28,31400 Budrovci</item>
    </izvorni_sadrzaj>
    <derivirana_varijabla naziv="DomainObject.Predmet.SudioniciListAdressOIB_1">
      <item>FINA RC OSIJEK, OIB 85821130368</item>
      <item>KRUBER d.o.o. za proizvodnju, trgovinu i usluge, OIB 20700661383, Ante Starčevića 29,31400 Đakovo</item>
      <item>ŽDO GUO Osijek</item>
      <item>Tihomir Zec, OIB 80723087237, K. A. Stepinca 4,31000 Osijek</item>
      <item>Krunoslav Andrić, OIB 92184760759, P. Miškine 28,31400 Budrovci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20700661383</item>
      <item>, OIB null</item>
      <item>, OIB 80723087237</item>
      <item>, OIB 92184760759</item>
    </izvorni_sadrzaj>
    <derivirana_varijabla naziv="DomainObject.Predmet.SudioniciListNazivOIB_1">
      <item>, OIB 85821130368</item>
      <item>, OIB 20700661383</item>
      <item>, OIB null</item>
      <item>, OIB 80723087237</item>
      <item>, OIB 92184760759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A27802-6627-4494-B478-9000C1533C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2632</properties:Words>
  <properties:Characters>14969</properties:Characters>
  <properties:Lines>721</properties:Lines>
  <properties:Paragraphs>411</properties:Paragraphs>
  <properties:TotalTime>148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2016-10-28T06:20:00Z</cp:lastPrinted>
  <dcterms:modified xmlns:xsi="http://www.w3.org/2001/XMLSchema-instance" xsi:type="dcterms:W3CDTF">2016-10-28T07:32:00Z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