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d9ec" w14:paraId="6e5d9ec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A524A2">
        <w:t>27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A524A2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F90058" w:rsidP="00C71C24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>8414, suvlasnički dio 8/1000, etažno vlasništvo E-54,</w:t>
      </w:r>
      <w:r w:rsidRPr="00D825FD">
        <w:t xml:space="preserve"> Stan, S 1B.5.2 na  5. Katu koji se sastoji od dnevnog boravka, blagavaone, dvije sobe, kuhinje, ulaza s predsobljem, kupaonice, ukupne netto korisne površine 62,61 m2, s pripatkom: </w:t>
      </w:r>
      <w:r>
        <w:t>loggiom</w:t>
      </w:r>
      <w:r w:rsidRPr="00D825FD">
        <w:t xml:space="preserve"> netto korisne površine 5,06 m2 u elaboratu etažiranja- diobe označen sivom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450339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A524A2">
        <w:rPr>
          <w:b/>
          <w:u w:val="single"/>
        </w:rPr>
        <w:t>00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A524A2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DC7E86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DC7E86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D294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524A2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22A4"/>
    <w:rsid w:val="00BC7E1F"/>
    <w:rsid w:val="00C12769"/>
    <w:rsid w:val="00C176C1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C7E86"/>
    <w:rsid w:val="00DF04FF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7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E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E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E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E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7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E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E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E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St-5/2018-127</izvorni_sadrzaj>
    <derivirana_varijabla naziv="DomainObject.Oznaka_1">St-5/2018-127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St-5/2018-127</izvorni_sadrzaj>
    <derivirana_varijabla naziv="DomainObject.PoslovniBrojDokumenta_1">St-5/2018-127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St-5/2018-126</izvorni_sadrzaj>
    <derivirana_varijabla naziv="DomainObject.PredzadnjaOdlukaIzPredmeta.Oznaka_1">St-5/2018-126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217</properties:Words>
  <properties:Characters>1044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2019-01-02T12:53:00Z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St-5/2018-127 / Odluka - Zaključak (1st-5-18-132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