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698e2" w14:paraId="61698e2" w:rsidRDefault="002937FE" w:rsidP="002937FE" w:rsidR="002937FE" w:rsidRPr="00995CC0">
      <w:pPr>
        <w15:collapsed w:val="false"/>
        <w:rPr>
          <w:bCs/>
          <w:sz w:val="24"/>
          <w:szCs w:val="24"/>
        </w:rPr>
      </w:pPr>
      <w:bookmarkStart w:name="_GoBack" w:id="0"/>
      <w:bookmarkEnd w:id="0"/>
      <w:r w:rsidRPr="00995CC0">
        <w:rPr>
          <w:bCs/>
          <w:sz w:val="24"/>
          <w:szCs w:val="24"/>
        </w:rPr>
        <w:t xml:space="preserve">     REPUBLIKA HRVATSKA</w:t>
      </w:r>
    </w:p>
    <w:p w:rsidRDefault="002937FE" w:rsidP="00A602FE" w:rsidR="002937FE" w:rsidRPr="00995CC0">
      <w:pPr>
        <w:rPr>
          <w:bCs/>
          <w:sz w:val="24"/>
          <w:szCs w:val="24"/>
        </w:rPr>
      </w:pPr>
      <w:r w:rsidRPr="00995CC0">
        <w:rPr>
          <w:bCs/>
          <w:sz w:val="24"/>
          <w:szCs w:val="24"/>
        </w:rPr>
        <w:t>TRGOVAČKI SUD U ZAGREBU</w:t>
      </w:r>
      <w:r w:rsidR="00A602FE" w:rsidRPr="00995CC0">
        <w:rPr>
          <w:bCs/>
          <w:sz w:val="24"/>
          <w:szCs w:val="24"/>
        </w:rPr>
        <w:tab/>
      </w:r>
      <w:r w:rsidR="00A602FE" w:rsidRPr="00995CC0">
        <w:rPr>
          <w:bCs/>
          <w:sz w:val="24"/>
          <w:szCs w:val="24"/>
        </w:rPr>
        <w:tab/>
      </w:r>
      <w:r w:rsidR="00A602FE" w:rsidRPr="00995CC0">
        <w:rPr>
          <w:bCs/>
          <w:sz w:val="24"/>
          <w:szCs w:val="24"/>
        </w:rPr>
        <w:tab/>
      </w:r>
      <w:r w:rsidR="00A602FE" w:rsidRPr="00995CC0">
        <w:rPr>
          <w:bCs/>
          <w:sz w:val="24"/>
          <w:szCs w:val="24"/>
        </w:rPr>
        <w:tab/>
      </w:r>
      <w:r w:rsidR="00A602FE" w:rsidRPr="00995CC0">
        <w:rPr>
          <w:bCs/>
          <w:sz w:val="24"/>
          <w:szCs w:val="24"/>
        </w:rPr>
        <w:tab/>
      </w:r>
      <w:r w:rsidR="00A602FE" w:rsidRPr="00995CC0">
        <w:rPr>
          <w:bCs/>
          <w:sz w:val="24"/>
          <w:szCs w:val="24"/>
        </w:rPr>
        <w:tab/>
      </w:r>
      <w:r w:rsidR="00D44A63" w:rsidRPr="00995CC0">
        <w:rPr>
          <w:bCs/>
          <w:sz w:val="24"/>
          <w:szCs w:val="24"/>
        </w:rPr>
        <w:t xml:space="preserve"> </w:t>
      </w:r>
      <w:r w:rsidRPr="00995CC0">
        <w:rPr>
          <w:bCs/>
          <w:sz w:val="24"/>
          <w:szCs w:val="24"/>
        </w:rPr>
        <w:t>St-</w:t>
      </w:r>
      <w:r w:rsidR="00FC1337" w:rsidRPr="00995CC0">
        <w:rPr>
          <w:bCs/>
          <w:sz w:val="24"/>
          <w:szCs w:val="24"/>
        </w:rPr>
        <w:t>1</w:t>
      </w:r>
      <w:r w:rsidR="004A7BD8" w:rsidRPr="00995CC0">
        <w:rPr>
          <w:bCs/>
          <w:sz w:val="24"/>
          <w:szCs w:val="24"/>
        </w:rPr>
        <w:t>105</w:t>
      </w:r>
      <w:r w:rsidR="00562C59" w:rsidRPr="00995CC0">
        <w:rPr>
          <w:bCs/>
          <w:sz w:val="24"/>
          <w:szCs w:val="24"/>
        </w:rPr>
        <w:t>/1</w:t>
      </w:r>
      <w:r w:rsidR="004A7BD8" w:rsidRPr="00995CC0">
        <w:rPr>
          <w:bCs/>
          <w:sz w:val="24"/>
          <w:szCs w:val="24"/>
        </w:rPr>
        <w:t>4</w:t>
      </w:r>
    </w:p>
    <w:p w:rsidRDefault="002937FE" w:rsidP="002937FE" w:rsidR="002937FE" w:rsidRPr="00995CC0">
      <w:pPr>
        <w:rPr>
          <w:bCs/>
          <w:sz w:val="24"/>
          <w:szCs w:val="24"/>
        </w:rPr>
      </w:pPr>
    </w:p>
    <w:p w:rsidRDefault="002937FE" w:rsidP="002937FE" w:rsidR="002937FE" w:rsidRPr="00995CC0">
      <w:pPr>
        <w:pStyle w:val="Naslov3"/>
        <w:rPr>
          <w:b w:val="false"/>
          <w:bCs/>
          <w:szCs w:val="24"/>
        </w:rPr>
      </w:pPr>
      <w:r w:rsidRPr="00995CC0">
        <w:rPr>
          <w:b w:val="false"/>
          <w:bCs/>
          <w:szCs w:val="24"/>
        </w:rPr>
        <w:t>Z A P I S N I K</w:t>
      </w:r>
    </w:p>
    <w:p w:rsidRDefault="002937FE" w:rsidP="002937FE" w:rsidR="002937FE" w:rsidRPr="00995CC0">
      <w:pPr>
        <w:pStyle w:val="Naslov1"/>
        <w:ind w:left="2832"/>
        <w:rPr>
          <w:b w:val="false"/>
          <w:bCs/>
          <w:szCs w:val="24"/>
        </w:rPr>
      </w:pPr>
      <w:r w:rsidRPr="00995CC0">
        <w:rPr>
          <w:b w:val="false"/>
          <w:bCs/>
          <w:szCs w:val="24"/>
        </w:rPr>
        <w:t xml:space="preserve">    S ISPITNOG ROČIŠTA</w:t>
      </w:r>
    </w:p>
    <w:p w:rsidRDefault="002937FE" w:rsidP="002937FE" w:rsidR="002937FE" w:rsidRPr="00995CC0">
      <w:pPr>
        <w:pStyle w:val="Tijeloteksta"/>
        <w:rPr>
          <w:rFonts w:hAnsi="Times New Roman" w:ascii="Times New Roman"/>
          <w:bCs/>
          <w:szCs w:val="24"/>
        </w:rPr>
      </w:pPr>
    </w:p>
    <w:p w:rsidRDefault="007A68E4" w:rsidP="00D25FEA" w:rsidR="007A68E4" w:rsidRPr="00995CC0">
      <w:pPr>
        <w:pStyle w:val="Tijeloteksta"/>
        <w:ind w:right="-7"/>
        <w:rPr>
          <w:rFonts w:hAnsi="Times New Roman" w:ascii="Times New Roman"/>
          <w:szCs w:val="24"/>
        </w:rPr>
      </w:pPr>
      <w:r w:rsidRPr="00995CC0">
        <w:rPr>
          <w:rFonts w:hAnsi="Times New Roman" w:ascii="Times New Roman"/>
          <w:szCs w:val="24"/>
        </w:rPr>
        <w:t xml:space="preserve">sastavljen pri Trgovačkom sudu u Zagrebu dana </w:t>
      </w:r>
      <w:r w:rsidR="006601DB" w:rsidRPr="00995CC0">
        <w:rPr>
          <w:rFonts w:hAnsi="Times New Roman" w:ascii="Times New Roman"/>
          <w:szCs w:val="24"/>
        </w:rPr>
        <w:t>1</w:t>
      </w:r>
      <w:r w:rsidR="004A7BD8" w:rsidRPr="00995CC0">
        <w:rPr>
          <w:rFonts w:hAnsi="Times New Roman" w:ascii="Times New Roman"/>
          <w:szCs w:val="24"/>
        </w:rPr>
        <w:t>5</w:t>
      </w:r>
      <w:r w:rsidR="00882DBB" w:rsidRPr="00995CC0">
        <w:rPr>
          <w:rFonts w:hAnsi="Times New Roman" w:ascii="Times New Roman"/>
          <w:szCs w:val="24"/>
        </w:rPr>
        <w:t xml:space="preserve">. </w:t>
      </w:r>
      <w:r w:rsidR="004A7BD8" w:rsidRPr="00995CC0">
        <w:rPr>
          <w:rFonts w:hAnsi="Times New Roman" w:ascii="Times New Roman"/>
          <w:szCs w:val="24"/>
        </w:rPr>
        <w:t>studenoga</w:t>
      </w:r>
      <w:r w:rsidR="004520B8" w:rsidRPr="00995CC0">
        <w:rPr>
          <w:rFonts w:hAnsi="Times New Roman" w:ascii="Times New Roman"/>
          <w:szCs w:val="24"/>
        </w:rPr>
        <w:t xml:space="preserve"> 2017</w:t>
      </w:r>
      <w:r w:rsidRPr="00995CC0">
        <w:rPr>
          <w:rFonts w:hAnsi="Times New Roman" w:ascii="Times New Roman"/>
          <w:szCs w:val="24"/>
        </w:rPr>
        <w:t xml:space="preserve">. u prostorijama suda soba </w:t>
      </w:r>
      <w:r w:rsidR="00A602FE" w:rsidRPr="00995CC0">
        <w:rPr>
          <w:rFonts w:hAnsi="Times New Roman" w:ascii="Times New Roman"/>
          <w:szCs w:val="24"/>
        </w:rPr>
        <w:t>88</w:t>
      </w:r>
      <w:r w:rsidRPr="00995CC0">
        <w:rPr>
          <w:rFonts w:hAnsi="Times New Roman" w:ascii="Times New Roman"/>
          <w:szCs w:val="24"/>
        </w:rPr>
        <w:t xml:space="preserve">/II ulična zgrada </w:t>
      </w:r>
      <w:r w:rsidR="00BD3D8E" w:rsidRPr="00995CC0">
        <w:rPr>
          <w:rFonts w:hAnsi="Times New Roman" w:ascii="Times New Roman"/>
          <w:szCs w:val="24"/>
        </w:rPr>
        <w:t xml:space="preserve">u stečajnom postupku nad dužnikom </w:t>
      </w:r>
      <w:r w:rsidR="004A7BD8" w:rsidRPr="00995CC0">
        <w:rPr>
          <w:rFonts w:hAnsi="Times New Roman" w:ascii="Times New Roman"/>
          <w:szCs w:val="24"/>
        </w:rPr>
        <w:t>REGATA, d.o.o.</w:t>
      </w:r>
      <w:r w:rsidR="007516C1">
        <w:rPr>
          <w:rFonts w:hAnsi="Times New Roman" w:ascii="Times New Roman"/>
          <w:szCs w:val="24"/>
        </w:rPr>
        <w:t xml:space="preserve"> u stečaju</w:t>
      </w:r>
      <w:r w:rsidR="004A7BD8" w:rsidRPr="00995CC0">
        <w:rPr>
          <w:rFonts w:hAnsi="Times New Roman" w:ascii="Times New Roman"/>
          <w:szCs w:val="24"/>
        </w:rPr>
        <w:t xml:space="preserve"> za marketing, trgovinu i usluge, Zagreb, Barutanski breg 35, MBS:080225019, OIB:79629726461</w:t>
      </w:r>
      <w:r w:rsidR="00B54B27" w:rsidRPr="00995CC0">
        <w:rPr>
          <w:rFonts w:hAnsi="Times New Roman" w:ascii="Times New Roman"/>
          <w:szCs w:val="24"/>
        </w:rPr>
        <w:t>.</w:t>
      </w:r>
    </w:p>
    <w:p w:rsidRDefault="002937FE" w:rsidP="002937FE" w:rsidR="002937FE" w:rsidRPr="00995CC0">
      <w:pPr>
        <w:rPr>
          <w:bCs/>
          <w:sz w:val="24"/>
          <w:szCs w:val="24"/>
        </w:rPr>
      </w:pPr>
    </w:p>
    <w:p w:rsidRDefault="002937FE" w:rsidP="002937FE" w:rsidR="002937FE" w:rsidRPr="00995CC0">
      <w:pPr>
        <w:rPr>
          <w:bCs/>
          <w:sz w:val="24"/>
          <w:szCs w:val="24"/>
        </w:rPr>
      </w:pPr>
      <w:r w:rsidRPr="00995CC0">
        <w:rPr>
          <w:bCs/>
          <w:sz w:val="24"/>
          <w:szCs w:val="24"/>
        </w:rPr>
        <w:t>Nazočni od suda:</w:t>
      </w:r>
    </w:p>
    <w:p w:rsidRDefault="00D44A63" w:rsidP="002937FE" w:rsidR="002937FE" w:rsidRPr="00995CC0">
      <w:pPr>
        <w:rPr>
          <w:bCs/>
          <w:sz w:val="24"/>
          <w:szCs w:val="24"/>
        </w:rPr>
      </w:pPr>
      <w:r w:rsidRPr="00995CC0">
        <w:rPr>
          <w:bCs/>
          <w:sz w:val="24"/>
          <w:szCs w:val="24"/>
        </w:rPr>
        <w:t>Mislav Kolakušić</w:t>
      </w:r>
      <w:r w:rsidR="002937FE" w:rsidRPr="00995CC0">
        <w:rPr>
          <w:bCs/>
          <w:sz w:val="24"/>
          <w:szCs w:val="24"/>
        </w:rPr>
        <w:t>, stečajni sudac</w:t>
      </w:r>
    </w:p>
    <w:p w:rsidRDefault="008B18CB" w:rsidP="002937FE" w:rsidR="002937FE" w:rsidRPr="00995CC0">
      <w:pPr>
        <w:rPr>
          <w:bCs/>
          <w:sz w:val="24"/>
          <w:szCs w:val="24"/>
        </w:rPr>
      </w:pPr>
      <w:r>
        <w:rPr>
          <w:bCs/>
          <w:sz w:val="24"/>
          <w:szCs w:val="24"/>
        </w:rPr>
        <w:t>Katica Franjić</w:t>
      </w:r>
      <w:r w:rsidR="002937FE" w:rsidRPr="00995CC0">
        <w:rPr>
          <w:bCs/>
          <w:sz w:val="24"/>
          <w:szCs w:val="24"/>
        </w:rPr>
        <w:t>, zapisničar</w:t>
      </w:r>
    </w:p>
    <w:p w:rsidRDefault="002937FE" w:rsidP="002937FE" w:rsidR="002937FE" w:rsidRPr="00995CC0">
      <w:pPr>
        <w:rPr>
          <w:bCs/>
          <w:sz w:val="24"/>
          <w:szCs w:val="24"/>
        </w:rPr>
      </w:pPr>
    </w:p>
    <w:p w:rsidRDefault="002937FE" w:rsidP="002937FE" w:rsidR="002937FE" w:rsidRPr="00995CC0">
      <w:pPr>
        <w:rPr>
          <w:sz w:val="24"/>
          <w:szCs w:val="24"/>
        </w:rPr>
      </w:pPr>
      <w:r w:rsidRPr="00995CC0">
        <w:rPr>
          <w:sz w:val="24"/>
          <w:szCs w:val="24"/>
        </w:rPr>
        <w:t xml:space="preserve">Utvrđuje se da je </w:t>
      </w:r>
      <w:r w:rsidR="002858DA" w:rsidRPr="00995CC0">
        <w:rPr>
          <w:sz w:val="24"/>
          <w:szCs w:val="24"/>
        </w:rPr>
        <w:t xml:space="preserve">pristupio stečajni upravitelj </w:t>
      </w:r>
      <w:r w:rsidR="00995CC0" w:rsidRPr="00995CC0">
        <w:rPr>
          <w:sz w:val="24"/>
          <w:szCs w:val="24"/>
        </w:rPr>
        <w:t>Davorka Huljev</w:t>
      </w:r>
      <w:r w:rsidR="00A35E12" w:rsidRPr="00995CC0">
        <w:rPr>
          <w:sz w:val="24"/>
          <w:szCs w:val="24"/>
        </w:rPr>
        <w:t>.</w:t>
      </w:r>
    </w:p>
    <w:p w:rsidRDefault="002937FE" w:rsidP="002937FE" w:rsidR="002937FE" w:rsidRPr="00995CC0">
      <w:pPr>
        <w:rPr>
          <w:bCs/>
          <w:sz w:val="24"/>
          <w:szCs w:val="24"/>
        </w:rPr>
      </w:pPr>
    </w:p>
    <w:p w:rsidRDefault="002937FE" w:rsidP="002937FE" w:rsidR="002937FE" w:rsidRPr="00995CC0">
      <w:pPr>
        <w:rPr>
          <w:bCs/>
          <w:sz w:val="24"/>
          <w:szCs w:val="24"/>
        </w:rPr>
      </w:pPr>
      <w:r w:rsidRPr="00995CC0">
        <w:rPr>
          <w:bCs/>
          <w:sz w:val="24"/>
          <w:szCs w:val="24"/>
        </w:rPr>
        <w:t xml:space="preserve">Započeto u </w:t>
      </w:r>
      <w:r w:rsidR="00803704" w:rsidRPr="00995CC0">
        <w:rPr>
          <w:bCs/>
          <w:sz w:val="24"/>
          <w:szCs w:val="24"/>
        </w:rPr>
        <w:t>1</w:t>
      </w:r>
      <w:r w:rsidR="00B151A3">
        <w:rPr>
          <w:bCs/>
          <w:sz w:val="24"/>
          <w:szCs w:val="24"/>
        </w:rPr>
        <w:t>0</w:t>
      </w:r>
      <w:r w:rsidRPr="00995CC0">
        <w:rPr>
          <w:bCs/>
          <w:sz w:val="24"/>
          <w:szCs w:val="24"/>
        </w:rPr>
        <w:t>,</w:t>
      </w:r>
      <w:r w:rsidR="000D566A" w:rsidRPr="00995CC0">
        <w:rPr>
          <w:bCs/>
          <w:sz w:val="24"/>
          <w:szCs w:val="24"/>
        </w:rPr>
        <w:t>00</w:t>
      </w:r>
      <w:r w:rsidRPr="00995CC0">
        <w:rPr>
          <w:bCs/>
          <w:sz w:val="24"/>
          <w:szCs w:val="24"/>
        </w:rPr>
        <w:t xml:space="preserve"> sati.</w:t>
      </w:r>
    </w:p>
    <w:p w:rsidRDefault="002937FE" w:rsidP="002937FE" w:rsidR="002937FE" w:rsidRPr="00995CC0">
      <w:pPr>
        <w:rPr>
          <w:bCs/>
          <w:sz w:val="24"/>
          <w:szCs w:val="24"/>
        </w:rPr>
      </w:pPr>
      <w:r w:rsidRPr="00995CC0">
        <w:rPr>
          <w:bCs/>
          <w:sz w:val="24"/>
          <w:szCs w:val="24"/>
        </w:rPr>
        <w:t>Ročište je javno.</w:t>
      </w:r>
    </w:p>
    <w:p w:rsidRDefault="002937FE" w:rsidP="002937FE" w:rsidR="002937FE" w:rsidRPr="00995CC0">
      <w:pPr>
        <w:rPr>
          <w:bCs/>
          <w:sz w:val="24"/>
          <w:szCs w:val="24"/>
        </w:rPr>
      </w:pPr>
    </w:p>
    <w:p w:rsidRDefault="002937FE" w:rsidP="002937FE" w:rsidR="002937FE">
      <w:pPr>
        <w:rPr>
          <w:bCs/>
          <w:sz w:val="24"/>
          <w:szCs w:val="24"/>
        </w:rPr>
      </w:pPr>
      <w:r w:rsidRPr="00995CC0">
        <w:rPr>
          <w:bCs/>
          <w:sz w:val="24"/>
          <w:szCs w:val="24"/>
        </w:rPr>
        <w:t xml:space="preserve">Utvrđuje se da su pristupili </w:t>
      </w:r>
      <w:r w:rsidR="00632C10" w:rsidRPr="00995CC0">
        <w:rPr>
          <w:bCs/>
          <w:sz w:val="24"/>
          <w:szCs w:val="24"/>
        </w:rPr>
        <w:t>sljedeći</w:t>
      </w:r>
      <w:r w:rsidRPr="00995CC0">
        <w:rPr>
          <w:bCs/>
          <w:sz w:val="24"/>
          <w:szCs w:val="24"/>
        </w:rPr>
        <w:t xml:space="preserve"> vjerovnici:</w:t>
      </w:r>
      <w:r w:rsidR="00A844F7" w:rsidRPr="00995CC0">
        <w:rPr>
          <w:bCs/>
          <w:sz w:val="24"/>
          <w:szCs w:val="24"/>
        </w:rPr>
        <w:t xml:space="preserve"> </w:t>
      </w:r>
    </w:p>
    <w:p w:rsidRDefault="007516C1" w:rsidP="002937FE" w:rsidR="007516C1">
      <w:pPr>
        <w:rPr>
          <w:bCs/>
          <w:sz w:val="24"/>
          <w:szCs w:val="24"/>
        </w:rPr>
      </w:pPr>
      <w:r>
        <w:rPr>
          <w:bCs/>
          <w:sz w:val="24"/>
          <w:szCs w:val="24"/>
        </w:rPr>
        <w:t>- Štedbanka d.d. Zagreb - punomoćnik Petra Drenvešek, dipl. pravnik Su-924/09</w:t>
      </w:r>
    </w:p>
    <w:p w:rsidRDefault="007516C1" w:rsidP="002937FE" w:rsidR="007516C1">
      <w:pPr>
        <w:rPr>
          <w:bCs/>
          <w:sz w:val="24"/>
          <w:szCs w:val="24"/>
        </w:rPr>
      </w:pPr>
      <w:r>
        <w:rPr>
          <w:bCs/>
          <w:sz w:val="24"/>
          <w:szCs w:val="24"/>
        </w:rPr>
        <w:t>- Oleg Gennadević Belov - punomoćnik Milica Đurđević, odvjetnica</w:t>
      </w:r>
    </w:p>
    <w:p w:rsidRDefault="008B18CB" w:rsidP="002937FE" w:rsidR="008B18CB">
      <w:pPr>
        <w:rPr>
          <w:bCs/>
          <w:sz w:val="24"/>
          <w:szCs w:val="24"/>
        </w:rPr>
      </w:pPr>
      <w:r>
        <w:rPr>
          <w:bCs/>
          <w:sz w:val="24"/>
          <w:szCs w:val="24"/>
        </w:rPr>
        <w:t xml:space="preserve">- </w:t>
      </w:r>
      <w:r w:rsidR="007516C1">
        <w:rPr>
          <w:bCs/>
          <w:sz w:val="24"/>
          <w:szCs w:val="24"/>
        </w:rPr>
        <w:t>Republika Hrvatska, Ministarstvo financija, Porezna uprava - Tanja Šušak</w:t>
      </w:r>
      <w:r w:rsidR="00D80F6B">
        <w:rPr>
          <w:bCs/>
          <w:sz w:val="24"/>
          <w:szCs w:val="24"/>
        </w:rPr>
        <w:t>, zamjenica ŽDO u Zagrebu</w:t>
      </w:r>
    </w:p>
    <w:p w:rsidRDefault="007516C1" w:rsidP="002937FE" w:rsidR="007516C1">
      <w:pPr>
        <w:rPr>
          <w:bCs/>
          <w:sz w:val="24"/>
          <w:szCs w:val="24"/>
        </w:rPr>
      </w:pPr>
      <w:r>
        <w:rPr>
          <w:bCs/>
          <w:sz w:val="24"/>
          <w:szCs w:val="24"/>
        </w:rPr>
        <w:t>- Veneto banka d.d. - Tonka Jerak Bajić, Su-138/15</w:t>
      </w:r>
    </w:p>
    <w:p w:rsidRDefault="007516C1" w:rsidP="002937FE" w:rsidR="007516C1" w:rsidRPr="00995CC0">
      <w:pPr>
        <w:rPr>
          <w:bCs/>
          <w:sz w:val="24"/>
          <w:szCs w:val="24"/>
        </w:rPr>
      </w:pPr>
      <w:r>
        <w:rPr>
          <w:bCs/>
          <w:sz w:val="24"/>
          <w:szCs w:val="24"/>
        </w:rPr>
        <w:t>- Sveučilište u Zagrebu, Agronomski fakultet - odvj. vježbenik Ante Ferara u OD Grubišić Lović Lalić</w:t>
      </w:r>
    </w:p>
    <w:p w:rsidRDefault="00F33EFA" w:rsidP="00F33EFA" w:rsidR="00F33EFA" w:rsidRPr="00995CC0">
      <w:pPr>
        <w:ind w:left="720"/>
        <w:jc w:val="both"/>
        <w:rPr>
          <w:bCs/>
          <w:sz w:val="24"/>
          <w:szCs w:val="24"/>
        </w:rPr>
      </w:pPr>
    </w:p>
    <w:p w:rsidRDefault="004A7BD8" w:rsidP="00F33EFA" w:rsidR="004A7BD8" w:rsidRPr="00995CC0">
      <w:pPr>
        <w:ind w:left="720"/>
        <w:jc w:val="both"/>
        <w:rPr>
          <w:bCs/>
          <w:sz w:val="24"/>
          <w:szCs w:val="24"/>
        </w:rPr>
      </w:pPr>
    </w:p>
    <w:p w:rsidRDefault="00B740E7" w:rsidP="00633A2F" w:rsidR="002937FE" w:rsidRPr="00995CC0">
      <w:pPr>
        <w:jc w:val="both"/>
        <w:rPr>
          <w:bCs/>
          <w:sz w:val="24"/>
          <w:szCs w:val="24"/>
        </w:rPr>
      </w:pPr>
      <w:r w:rsidRPr="00995CC0">
        <w:rPr>
          <w:bCs/>
          <w:sz w:val="24"/>
          <w:szCs w:val="24"/>
        </w:rPr>
        <w:tab/>
      </w:r>
      <w:r w:rsidR="002937FE" w:rsidRPr="00995CC0">
        <w:rPr>
          <w:bCs/>
          <w:sz w:val="24"/>
          <w:szCs w:val="24"/>
        </w:rPr>
        <w:t xml:space="preserve">Stečajni sudac otvara </w:t>
      </w:r>
      <w:r w:rsidR="00D44A63" w:rsidRPr="00995CC0">
        <w:rPr>
          <w:bCs/>
          <w:sz w:val="24"/>
          <w:szCs w:val="24"/>
        </w:rPr>
        <w:t>rasp</w:t>
      </w:r>
      <w:r w:rsidR="002937FE" w:rsidRPr="00995CC0">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995CC0">
        <w:rPr>
          <w:bCs/>
          <w:sz w:val="24"/>
          <w:szCs w:val="24"/>
        </w:rPr>
        <w:t>8</w:t>
      </w:r>
      <w:r w:rsidR="002937FE" w:rsidRPr="00995CC0">
        <w:rPr>
          <w:bCs/>
          <w:sz w:val="24"/>
          <w:szCs w:val="24"/>
        </w:rPr>
        <w:t>/II.</w:t>
      </w:r>
    </w:p>
    <w:p w:rsidRDefault="002937FE" w:rsidP="00B16170" w:rsidR="00313D9A" w:rsidRPr="00995CC0">
      <w:pPr>
        <w:numPr>
          <w:ilvl w:val="12"/>
          <w:numId w:val="0"/>
        </w:numPr>
        <w:ind w:firstLine="720"/>
        <w:jc w:val="both"/>
        <w:rPr>
          <w:sz w:val="24"/>
          <w:szCs w:val="24"/>
        </w:rPr>
      </w:pPr>
      <w:r w:rsidRPr="00995CC0">
        <w:rPr>
          <w:bCs/>
          <w:sz w:val="24"/>
          <w:szCs w:val="24"/>
        </w:rPr>
        <w:t xml:space="preserve">Uz tablice su bile izložene i prijave svih vjerovnika koje su stigle u roku objave </w:t>
      </w:r>
      <w:r w:rsidR="004A7BD8" w:rsidRPr="00995CC0">
        <w:rPr>
          <w:bCs/>
          <w:sz w:val="24"/>
          <w:szCs w:val="24"/>
        </w:rPr>
        <w:t>na e-oglasnoj ploči suda</w:t>
      </w:r>
      <w:r w:rsidR="004F2A2B" w:rsidRPr="00995CC0">
        <w:rPr>
          <w:bCs/>
          <w:sz w:val="24"/>
          <w:szCs w:val="24"/>
        </w:rPr>
        <w:t>.</w:t>
      </w:r>
    </w:p>
    <w:p w:rsidRDefault="002858DA" w:rsidP="000D566A" w:rsidR="000D566A" w:rsidRPr="00995CC0">
      <w:pPr>
        <w:jc w:val="both"/>
        <w:rPr>
          <w:sz w:val="24"/>
          <w:szCs w:val="24"/>
        </w:rPr>
      </w:pPr>
      <w:r w:rsidRPr="00995CC0">
        <w:rPr>
          <w:sz w:val="24"/>
          <w:szCs w:val="24"/>
        </w:rPr>
        <w:tab/>
      </w:r>
      <w:r w:rsidR="004A3E09" w:rsidRPr="00995CC0">
        <w:rPr>
          <w:sz w:val="24"/>
          <w:szCs w:val="24"/>
        </w:rPr>
        <w:t>Stečajni upravitelj obavještava stečajne vjerovnike da je sastavio tablicu stečajnih vjerovnika II višeg isplatnog reda:</w:t>
      </w:r>
    </w:p>
    <w:p w:rsidRDefault="00803704" w:rsidP="00803704" w:rsidR="00803704" w:rsidRPr="00995CC0">
      <w:pPr>
        <w:pStyle w:val="Bezproreda"/>
        <w:ind w:left="-426"/>
        <w:rPr>
          <w:rFonts w:hAnsi="Times New Roman" w:ascii="Times New Roman"/>
          <w:b/>
          <w:sz w:val="24"/>
          <w:szCs w:val="24"/>
        </w:rPr>
      </w:pPr>
    </w:p>
    <w:tbl>
      <w:tblPr>
        <w:tblW w:type="dxa" w:w="9237"/>
        <w:tblInd w:type="dxa" w:w="85"/>
        <w:tblLayout w:type="fixed"/>
        <w:tblLook w:val="04A0" w:noVBand="1" w:noHBand="0" w:lastColumn="0" w:firstColumn="1" w:lastRow="0" w:firstRow="1"/>
      </w:tblPr>
      <w:tblGrid>
        <w:gridCol w:w="449"/>
        <w:gridCol w:w="2965"/>
        <w:gridCol w:w="1208"/>
        <w:gridCol w:w="1309"/>
        <w:gridCol w:w="1605"/>
        <w:gridCol w:w="284"/>
        <w:gridCol w:w="1417"/>
      </w:tblGrid>
      <w:tr w:rsidTr="00995CC0" w:rsidR="004A7BD8" w:rsidRPr="00995CC0">
        <w:trPr>
          <w:trHeight w:val="555"/>
        </w:trPr>
        <w:tc>
          <w:tcPr>
            <w:tcW w:type="dxa" w:w="449"/>
            <w:vMerge w:val="restart"/>
            <w:tcBorders>
              <w:top w:space="0" w:sz="6" w:color="auto" w:val="double"/>
              <w:left w:space="0" w:sz="6" w:color="auto" w:val="double"/>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textAlignment w:val="auto"/>
              <w:rPr>
                <w:b/>
                <w:bCs/>
                <w:sz w:val="24"/>
                <w:szCs w:val="24"/>
              </w:rPr>
            </w:pPr>
          </w:p>
        </w:tc>
        <w:tc>
          <w:tcPr>
            <w:tcW w:type="dxa" w:w="2965"/>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b/>
                <w:bCs/>
                <w:sz w:val="24"/>
                <w:szCs w:val="24"/>
              </w:rPr>
            </w:pPr>
            <w:r w:rsidRPr="004A7BD8">
              <w:rPr>
                <w:b/>
                <w:bCs/>
                <w:sz w:val="24"/>
                <w:szCs w:val="24"/>
              </w:rPr>
              <w:t>IME I PREZIME</w:t>
            </w:r>
            <w:r w:rsidRPr="004A7BD8">
              <w:rPr>
                <w:b/>
                <w:bCs/>
                <w:sz w:val="24"/>
                <w:szCs w:val="24"/>
              </w:rPr>
              <w:br/>
              <w:t>/tvrtka ili naziv</w:t>
            </w:r>
            <w:r w:rsidRPr="004A7BD8">
              <w:rPr>
                <w:b/>
                <w:bCs/>
                <w:sz w:val="24"/>
                <w:szCs w:val="24"/>
              </w:rPr>
              <w:br/>
              <w:t>vjerovnika</w:t>
            </w:r>
          </w:p>
        </w:tc>
        <w:tc>
          <w:tcPr>
            <w:tcW w:type="dxa" w:w="1208"/>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b/>
                <w:bCs/>
                <w:sz w:val="24"/>
                <w:szCs w:val="24"/>
              </w:rPr>
            </w:pPr>
            <w:r w:rsidRPr="004A7BD8">
              <w:rPr>
                <w:b/>
                <w:bCs/>
                <w:sz w:val="24"/>
                <w:szCs w:val="24"/>
              </w:rPr>
              <w:t>OIB</w:t>
            </w:r>
            <w:r w:rsidRPr="004A7BD8">
              <w:rPr>
                <w:b/>
                <w:bCs/>
                <w:sz w:val="24"/>
                <w:szCs w:val="24"/>
              </w:rPr>
              <w:br/>
              <w:t>vjerovnika</w:t>
            </w:r>
          </w:p>
        </w:tc>
        <w:tc>
          <w:tcPr>
            <w:tcW w:type="dxa" w:w="1309"/>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b/>
                <w:bCs/>
                <w:sz w:val="24"/>
                <w:szCs w:val="24"/>
              </w:rPr>
            </w:pPr>
            <w:r w:rsidRPr="004A7BD8">
              <w:rPr>
                <w:b/>
                <w:bCs/>
                <w:sz w:val="24"/>
                <w:szCs w:val="24"/>
              </w:rPr>
              <w:t>Adresa/sjedište</w:t>
            </w:r>
            <w:r w:rsidRPr="004A7BD8">
              <w:rPr>
                <w:b/>
                <w:bCs/>
                <w:sz w:val="24"/>
                <w:szCs w:val="24"/>
              </w:rPr>
              <w:br/>
              <w:t>vjerovnika</w:t>
            </w:r>
          </w:p>
        </w:tc>
        <w:tc>
          <w:tcPr>
            <w:tcW w:type="dxa" w:w="1889"/>
            <w:gridSpan w:val="2"/>
            <w:tcBorders>
              <w:top w:space="0" w:sz="6" w:color="auto" w:val="double"/>
              <w:left w:val="nil"/>
              <w:bottom w:space="0" w:sz="4" w:color="auto" w:val="single"/>
              <w:right w:space="0" w:sz="4" w:color="000000" w:val="single"/>
            </w:tcBorders>
            <w:shd w:fill="auto" w:color="auto" w:val="clear"/>
            <w:vAlign w:val="center"/>
            <w:hideMark/>
          </w:tcPr>
          <w:p w:rsidRDefault="004A7BD8" w:rsidP="004A7BD8" w:rsidR="004A7BD8" w:rsidRPr="004A7BD8">
            <w:pPr>
              <w:overflowPunct/>
              <w:autoSpaceDE/>
              <w:autoSpaceDN/>
              <w:adjustRightInd/>
              <w:jc w:val="center"/>
              <w:textAlignment w:val="auto"/>
              <w:rPr>
                <w:b/>
                <w:bCs/>
                <w:sz w:val="24"/>
                <w:szCs w:val="24"/>
              </w:rPr>
            </w:pPr>
            <w:r w:rsidRPr="004A7BD8">
              <w:rPr>
                <w:b/>
                <w:bCs/>
                <w:sz w:val="24"/>
                <w:szCs w:val="24"/>
              </w:rPr>
              <w:t xml:space="preserve"> Iznos</w:t>
            </w:r>
            <w:r w:rsidRPr="004A7BD8">
              <w:rPr>
                <w:b/>
                <w:bCs/>
                <w:sz w:val="24"/>
                <w:szCs w:val="24"/>
              </w:rPr>
              <w:br/>
              <w:t xml:space="preserve">prijavljene tražbine (kn)1 </w:t>
            </w:r>
          </w:p>
        </w:tc>
        <w:tc>
          <w:tcPr>
            <w:tcW w:type="dxa" w:w="1417"/>
            <w:vMerge w:val="restart"/>
            <w:tcBorders>
              <w:top w:space="0" w:sz="6" w:color="auto" w:val="double"/>
              <w:left w:space="0" w:sz="4" w:color="auto" w:val="single"/>
              <w:bottom w:space="0" w:sz="4" w:color="000000"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b/>
                <w:bCs/>
                <w:sz w:val="24"/>
                <w:szCs w:val="24"/>
              </w:rPr>
            </w:pPr>
            <w:r w:rsidRPr="004A7BD8">
              <w:rPr>
                <w:b/>
                <w:bCs/>
                <w:sz w:val="24"/>
                <w:szCs w:val="24"/>
              </w:rPr>
              <w:t xml:space="preserve">Iznos </w:t>
            </w:r>
            <w:r w:rsidRPr="004A7BD8">
              <w:rPr>
                <w:b/>
                <w:bCs/>
                <w:sz w:val="24"/>
                <w:szCs w:val="24"/>
              </w:rPr>
              <w:br/>
              <w:t>priznate</w:t>
            </w:r>
            <w:r w:rsidRPr="004A7BD8">
              <w:rPr>
                <w:b/>
                <w:bCs/>
                <w:sz w:val="24"/>
                <w:szCs w:val="24"/>
              </w:rPr>
              <w:br/>
              <w:t>tražbine</w:t>
            </w:r>
            <w:r w:rsidRPr="004A7BD8">
              <w:rPr>
                <w:b/>
                <w:bCs/>
                <w:sz w:val="24"/>
                <w:szCs w:val="24"/>
              </w:rPr>
              <w:br/>
              <w:t>(kn)</w:t>
            </w:r>
          </w:p>
        </w:tc>
      </w:tr>
      <w:tr w:rsidTr="00995CC0" w:rsidR="004A7BD8" w:rsidRPr="00995CC0">
        <w:trPr>
          <w:trHeight w:val="377"/>
        </w:trPr>
        <w:tc>
          <w:tcPr>
            <w:tcW w:type="dxa" w:w="449"/>
            <w:vMerge/>
            <w:tcBorders>
              <w:top w:space="0" w:sz="6" w:color="auto" w:val="double"/>
              <w:left w:space="0" w:sz="6" w:color="auto" w:val="double"/>
              <w:bottom w:space="0" w:sz="4" w:color="auto" w:val="single"/>
              <w:right w:space="0" w:sz="4" w:color="auto" w:val="single"/>
            </w:tcBorders>
            <w:vAlign w:val="center"/>
            <w:hideMark/>
          </w:tcPr>
          <w:p w:rsidRDefault="004A7BD8" w:rsidP="004A7BD8" w:rsidR="004A7BD8" w:rsidRPr="004A7BD8">
            <w:pPr>
              <w:overflowPunct/>
              <w:autoSpaceDE/>
              <w:autoSpaceDN/>
              <w:adjustRightInd/>
              <w:textAlignment w:val="auto"/>
              <w:rPr>
                <w:b/>
                <w:bCs/>
                <w:sz w:val="24"/>
                <w:szCs w:val="24"/>
              </w:rPr>
            </w:pPr>
          </w:p>
        </w:tc>
        <w:tc>
          <w:tcPr>
            <w:tcW w:type="dxa" w:w="2965"/>
            <w:vMerge/>
            <w:tcBorders>
              <w:top w:space="0" w:sz="6" w:color="auto" w:val="double"/>
              <w:left w:space="0" w:sz="4" w:color="auto" w:val="single"/>
              <w:bottom w:space="0" w:sz="4" w:color="auto" w:val="single"/>
              <w:right w:space="0" w:sz="4" w:color="auto" w:val="single"/>
            </w:tcBorders>
            <w:vAlign w:val="center"/>
            <w:hideMark/>
          </w:tcPr>
          <w:p w:rsidRDefault="004A7BD8" w:rsidP="004A7BD8" w:rsidR="004A7BD8" w:rsidRPr="004A7BD8">
            <w:pPr>
              <w:overflowPunct/>
              <w:autoSpaceDE/>
              <w:autoSpaceDN/>
              <w:adjustRightInd/>
              <w:textAlignment w:val="auto"/>
              <w:rPr>
                <w:b/>
                <w:bCs/>
                <w:sz w:val="24"/>
                <w:szCs w:val="24"/>
              </w:rPr>
            </w:pPr>
          </w:p>
        </w:tc>
        <w:tc>
          <w:tcPr>
            <w:tcW w:type="dxa" w:w="1208"/>
            <w:vMerge/>
            <w:tcBorders>
              <w:top w:space="0" w:sz="6" w:color="auto" w:val="double"/>
              <w:left w:space="0" w:sz="4" w:color="auto" w:val="single"/>
              <w:bottom w:space="0" w:sz="4" w:color="auto" w:val="single"/>
              <w:right w:space="0" w:sz="4" w:color="auto" w:val="single"/>
            </w:tcBorders>
            <w:vAlign w:val="center"/>
            <w:hideMark/>
          </w:tcPr>
          <w:p w:rsidRDefault="004A7BD8" w:rsidP="004A7BD8" w:rsidR="004A7BD8" w:rsidRPr="004A7BD8">
            <w:pPr>
              <w:overflowPunct/>
              <w:autoSpaceDE/>
              <w:autoSpaceDN/>
              <w:adjustRightInd/>
              <w:textAlignment w:val="auto"/>
              <w:rPr>
                <w:b/>
                <w:bCs/>
                <w:sz w:val="24"/>
                <w:szCs w:val="24"/>
              </w:rPr>
            </w:pPr>
          </w:p>
        </w:tc>
        <w:tc>
          <w:tcPr>
            <w:tcW w:type="dxa" w:w="1309"/>
            <w:vMerge/>
            <w:tcBorders>
              <w:top w:space="0" w:sz="6" w:color="auto" w:val="double"/>
              <w:left w:space="0" w:sz="4" w:color="auto" w:val="single"/>
              <w:bottom w:space="0" w:sz="4" w:color="auto" w:val="single"/>
              <w:right w:space="0" w:sz="4" w:color="auto" w:val="single"/>
            </w:tcBorders>
            <w:vAlign w:val="center"/>
            <w:hideMark/>
          </w:tcPr>
          <w:p w:rsidRDefault="004A7BD8" w:rsidP="004A7BD8" w:rsidR="004A7BD8" w:rsidRPr="004A7BD8">
            <w:pPr>
              <w:overflowPunct/>
              <w:autoSpaceDE/>
              <w:autoSpaceDN/>
              <w:adjustRightInd/>
              <w:textAlignment w:val="auto"/>
              <w:rPr>
                <w:b/>
                <w:bCs/>
                <w:sz w:val="24"/>
                <w:szCs w:val="24"/>
              </w:rPr>
            </w:pPr>
          </w:p>
        </w:tc>
        <w:tc>
          <w:tcPr>
            <w:tcW w:type="dxa" w:w="1605"/>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b/>
                <w:bCs/>
                <w:sz w:val="24"/>
                <w:szCs w:val="24"/>
              </w:rPr>
            </w:pPr>
            <w:r w:rsidRPr="004A7BD8">
              <w:rPr>
                <w:b/>
                <w:bCs/>
                <w:sz w:val="24"/>
                <w:szCs w:val="24"/>
              </w:rPr>
              <w:t xml:space="preserve"> bruto</w:t>
            </w:r>
            <w:r w:rsidRPr="004A7BD8">
              <w:rPr>
                <w:b/>
                <w:bCs/>
                <w:sz w:val="24"/>
                <w:szCs w:val="24"/>
              </w:rPr>
              <w:br/>
            </w:r>
            <w:r w:rsidRPr="004A7BD8">
              <w:rPr>
                <w:b/>
                <w:bCs/>
                <w:sz w:val="24"/>
                <w:szCs w:val="24"/>
              </w:rPr>
              <w:br/>
              <w:t xml:space="preserve"> </w:t>
            </w:r>
          </w:p>
        </w:tc>
        <w:tc>
          <w:tcPr>
            <w:tcW w:type="dxa" w:w="284"/>
            <w:tcBorders>
              <w:top w:val="nil"/>
              <w:left w:val="nil"/>
              <w:bottom w:space="0" w:sz="4" w:color="auto" w:val="single"/>
              <w:right w:space="0" w:sz="4" w:color="auto" w:val="single"/>
            </w:tcBorders>
            <w:shd w:fill="auto" w:color="auto" w:val="clear"/>
            <w:vAlign w:val="center"/>
            <w:hideMark/>
          </w:tcPr>
          <w:p w:rsidRDefault="00995CC0" w:rsidP="004A7BD8" w:rsidR="004A7BD8" w:rsidRPr="004A7BD8">
            <w:pPr>
              <w:overflowPunct/>
              <w:autoSpaceDE/>
              <w:autoSpaceDN/>
              <w:adjustRightInd/>
              <w:jc w:val="center"/>
              <w:textAlignment w:val="auto"/>
              <w:rPr>
                <w:b/>
                <w:bCs/>
                <w:sz w:val="24"/>
                <w:szCs w:val="24"/>
              </w:rPr>
            </w:pPr>
            <w:r w:rsidRPr="00995CC0">
              <w:rPr>
                <w:b/>
                <w:bCs/>
                <w:sz w:val="24"/>
                <w:szCs w:val="24"/>
              </w:rPr>
              <w:t xml:space="preserve"> </w:t>
            </w:r>
            <w:r w:rsidR="004A7BD8" w:rsidRPr="004A7BD8">
              <w:rPr>
                <w:b/>
                <w:bCs/>
                <w:sz w:val="24"/>
                <w:szCs w:val="24"/>
              </w:rPr>
              <w:br/>
            </w:r>
            <w:r w:rsidR="004A7BD8" w:rsidRPr="004A7BD8">
              <w:rPr>
                <w:b/>
                <w:bCs/>
                <w:sz w:val="24"/>
                <w:szCs w:val="24"/>
              </w:rPr>
              <w:br/>
              <w:t xml:space="preserve"> </w:t>
            </w:r>
          </w:p>
        </w:tc>
        <w:tc>
          <w:tcPr>
            <w:tcW w:type="dxa" w:w="1417"/>
            <w:vMerge/>
            <w:tcBorders>
              <w:top w:space="0" w:sz="6" w:color="auto" w:val="double"/>
              <w:left w:space="0" w:sz="4" w:color="auto" w:val="single"/>
              <w:bottom w:space="0" w:sz="4" w:color="000000" w:val="single"/>
              <w:right w:space="0" w:sz="4" w:color="auto" w:val="single"/>
            </w:tcBorders>
            <w:vAlign w:val="center"/>
            <w:hideMark/>
          </w:tcPr>
          <w:p w:rsidRDefault="004A7BD8" w:rsidP="004A7BD8" w:rsidR="004A7BD8" w:rsidRPr="004A7BD8">
            <w:pPr>
              <w:overflowPunct/>
              <w:autoSpaceDE/>
              <w:autoSpaceDN/>
              <w:adjustRightInd/>
              <w:textAlignment w:val="auto"/>
              <w:rPr>
                <w:b/>
                <w:bCs/>
                <w:sz w:val="24"/>
                <w:szCs w:val="24"/>
              </w:rPr>
            </w:pPr>
          </w:p>
        </w:tc>
      </w:tr>
      <w:tr w:rsidTr="00995CC0" w:rsidR="004A7BD8" w:rsidRPr="00995CC0">
        <w:trPr>
          <w:trHeight w:val="255"/>
        </w:trPr>
        <w:tc>
          <w:tcPr>
            <w:tcW w:type="dxa" w:w="449"/>
            <w:tcBorders>
              <w:top w:val="nil"/>
              <w:left w:space="0" w:sz="6" w:color="auto" w:val="double"/>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b/>
                <w:bCs/>
                <w:sz w:val="24"/>
                <w:szCs w:val="24"/>
              </w:rPr>
            </w:pPr>
            <w:r w:rsidRPr="004A7BD8">
              <w:rPr>
                <w:b/>
                <w:bCs/>
                <w:sz w:val="24"/>
                <w:szCs w:val="24"/>
              </w:rPr>
              <w:t>1</w:t>
            </w:r>
          </w:p>
        </w:tc>
        <w:tc>
          <w:tcPr>
            <w:tcW w:type="dxa" w:w="2965"/>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b/>
                <w:bCs/>
                <w:sz w:val="24"/>
                <w:szCs w:val="24"/>
              </w:rPr>
            </w:pPr>
            <w:r w:rsidRPr="004A7BD8">
              <w:rPr>
                <w:b/>
                <w:bCs/>
                <w:sz w:val="24"/>
                <w:szCs w:val="24"/>
              </w:rPr>
              <w:t>2</w:t>
            </w:r>
          </w:p>
        </w:tc>
        <w:tc>
          <w:tcPr>
            <w:tcW w:type="dxa" w:w="1208"/>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b/>
                <w:bCs/>
                <w:sz w:val="24"/>
                <w:szCs w:val="24"/>
              </w:rPr>
            </w:pPr>
            <w:r w:rsidRPr="004A7BD8">
              <w:rPr>
                <w:b/>
                <w:bCs/>
                <w:sz w:val="24"/>
                <w:szCs w:val="24"/>
              </w:rPr>
              <w:t>3</w:t>
            </w:r>
          </w:p>
        </w:tc>
        <w:tc>
          <w:tcPr>
            <w:tcW w:type="dxa" w:w="1309"/>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b/>
                <w:bCs/>
                <w:sz w:val="24"/>
                <w:szCs w:val="24"/>
              </w:rPr>
            </w:pPr>
            <w:r w:rsidRPr="004A7BD8">
              <w:rPr>
                <w:b/>
                <w:bCs/>
                <w:sz w:val="24"/>
                <w:szCs w:val="24"/>
              </w:rPr>
              <w:t>4</w:t>
            </w:r>
          </w:p>
        </w:tc>
        <w:tc>
          <w:tcPr>
            <w:tcW w:type="dxa" w:w="1605"/>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b/>
                <w:bCs/>
                <w:sz w:val="24"/>
                <w:szCs w:val="24"/>
              </w:rPr>
            </w:pPr>
            <w:r w:rsidRPr="004A7BD8">
              <w:rPr>
                <w:b/>
                <w:bCs/>
                <w:sz w:val="24"/>
                <w:szCs w:val="24"/>
              </w:rPr>
              <w:t>5</w:t>
            </w:r>
          </w:p>
        </w:tc>
        <w:tc>
          <w:tcPr>
            <w:tcW w:type="dxa" w:w="284"/>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b/>
                <w:bCs/>
                <w:sz w:val="24"/>
                <w:szCs w:val="24"/>
              </w:rPr>
            </w:pPr>
            <w:r w:rsidRPr="004A7BD8">
              <w:rPr>
                <w:b/>
                <w:bCs/>
                <w:sz w:val="24"/>
                <w:szCs w:val="24"/>
              </w:rPr>
              <w:t>6</w:t>
            </w:r>
          </w:p>
        </w:tc>
        <w:tc>
          <w:tcPr>
            <w:tcW w:type="dxa" w:w="1417"/>
            <w:tcBorders>
              <w:top w:val="nil"/>
              <w:left w:val="nil"/>
              <w:bottom w:space="0" w:sz="4" w:color="auto" w:val="single"/>
              <w:right w:space="0" w:sz="4" w:color="auto" w:val="single"/>
            </w:tcBorders>
            <w:shd w:fill="auto" w:color="auto" w:val="clear"/>
            <w:noWrap/>
            <w:vAlign w:val="center"/>
            <w:hideMark/>
          </w:tcPr>
          <w:p w:rsidRDefault="004A7BD8" w:rsidP="004A7BD8" w:rsidR="004A7BD8" w:rsidRPr="004A7BD8">
            <w:pPr>
              <w:overflowPunct/>
              <w:autoSpaceDE/>
              <w:autoSpaceDN/>
              <w:adjustRightInd/>
              <w:jc w:val="center"/>
              <w:textAlignment w:val="auto"/>
              <w:rPr>
                <w:b/>
                <w:bCs/>
                <w:sz w:val="24"/>
                <w:szCs w:val="24"/>
              </w:rPr>
            </w:pPr>
            <w:r w:rsidRPr="004A7BD8">
              <w:rPr>
                <w:b/>
                <w:bCs/>
                <w:sz w:val="24"/>
                <w:szCs w:val="24"/>
              </w:rPr>
              <w:t>8</w:t>
            </w:r>
          </w:p>
        </w:tc>
      </w:tr>
      <w:tr w:rsidTr="00995CC0" w:rsidR="004A7BD8" w:rsidRPr="00995CC0">
        <w:trPr>
          <w:trHeight w:val="70"/>
        </w:trPr>
        <w:tc>
          <w:tcPr>
            <w:tcW w:type="dxa" w:w="449"/>
            <w:tcBorders>
              <w:top w:val="nil"/>
              <w:left w:space="0" w:sz="6" w:color="auto" w:val="double"/>
              <w:bottom w:space="0" w:sz="4" w:color="auto" w:val="single"/>
              <w:right w:space="0" w:sz="4" w:color="auto" w:val="single"/>
            </w:tcBorders>
            <w:shd w:fill="auto" w:color="auto" w:val="clea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1</w:t>
            </w:r>
          </w:p>
        </w:tc>
        <w:tc>
          <w:tcPr>
            <w:tcW w:type="dxa" w:w="2965"/>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sz w:val="24"/>
                <w:szCs w:val="24"/>
              </w:rPr>
            </w:pPr>
            <w:r w:rsidRPr="004A7BD8">
              <w:rPr>
                <w:b/>
                <w:bCs/>
                <w:sz w:val="24"/>
                <w:szCs w:val="24"/>
              </w:rPr>
              <w:t xml:space="preserve">SVEUČILIŠTE U </w:t>
            </w:r>
            <w:r w:rsidRPr="004A7BD8">
              <w:rPr>
                <w:b/>
                <w:bCs/>
                <w:sz w:val="24"/>
                <w:szCs w:val="24"/>
              </w:rPr>
              <w:lastRenderedPageBreak/>
              <w:t xml:space="preserve">ZAGREBU AGRONOMSKI FAKULTET </w:t>
            </w:r>
            <w:r w:rsidRPr="004A7BD8">
              <w:rPr>
                <w:sz w:val="24"/>
                <w:szCs w:val="24"/>
              </w:rPr>
              <w:br/>
              <w:t>zastupan po Odjetničkom društvu Grubešić &amp; Lovrić iz Zagreba, Preradovićeva 13</w:t>
            </w:r>
          </w:p>
        </w:tc>
        <w:tc>
          <w:tcPr>
            <w:tcW w:type="dxa" w:w="1208"/>
            <w:tcBorders>
              <w:top w:val="nil"/>
              <w:left w:val="nil"/>
              <w:bottom w:space="0" w:sz="4" w:color="auto" w:val="single"/>
              <w:right w:space="0" w:sz="4" w:color="auto" w:val="single"/>
            </w:tcBorders>
            <w:shd w:fill="auto" w:color="auto" w:val="clear"/>
            <w:noWrap/>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lastRenderedPageBreak/>
              <w:t>76023745</w:t>
            </w:r>
            <w:r w:rsidRPr="004A7BD8">
              <w:rPr>
                <w:sz w:val="24"/>
                <w:szCs w:val="24"/>
              </w:rPr>
              <w:lastRenderedPageBreak/>
              <w:t>044</w:t>
            </w:r>
          </w:p>
        </w:tc>
        <w:tc>
          <w:tcPr>
            <w:tcW w:type="dxa" w:w="1309"/>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lastRenderedPageBreak/>
              <w:t>Zagreb,</w:t>
            </w:r>
            <w:r w:rsidRPr="004A7BD8">
              <w:rPr>
                <w:sz w:val="24"/>
                <w:szCs w:val="24"/>
              </w:rPr>
              <w:br/>
            </w:r>
            <w:r w:rsidRPr="004A7BD8">
              <w:rPr>
                <w:sz w:val="24"/>
                <w:szCs w:val="24"/>
              </w:rPr>
              <w:lastRenderedPageBreak/>
              <w:t>Svetošimunska cesta 25</w:t>
            </w:r>
          </w:p>
        </w:tc>
        <w:tc>
          <w:tcPr>
            <w:tcW w:type="dxa" w:w="1605"/>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lastRenderedPageBreak/>
              <w:t>27.559,17</w:t>
            </w:r>
          </w:p>
        </w:tc>
        <w:tc>
          <w:tcPr>
            <w:tcW w:type="dxa" w:w="284"/>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textAlignment w:val="auto"/>
              <w:rPr>
                <w:sz w:val="24"/>
                <w:szCs w:val="24"/>
              </w:rPr>
            </w:pPr>
            <w:r w:rsidRPr="004A7BD8">
              <w:rPr>
                <w:sz w:val="24"/>
                <w:szCs w:val="24"/>
              </w:rPr>
              <w:t> </w:t>
            </w:r>
          </w:p>
        </w:tc>
        <w:tc>
          <w:tcPr>
            <w:tcW w:type="dxa" w:w="1417"/>
            <w:tcBorders>
              <w:top w:val="nil"/>
              <w:left w:val="nil"/>
              <w:bottom w:space="0" w:sz="4" w:color="auto" w:val="single"/>
              <w:right w:space="0" w:sz="4" w:color="auto" w:val="single"/>
            </w:tcBorders>
            <w:shd w:fill="auto" w:color="auto" w:val="clear"/>
            <w:noWrap/>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27.559,17</w:t>
            </w:r>
          </w:p>
        </w:tc>
      </w:tr>
      <w:tr w:rsidTr="00995CC0" w:rsidR="004A7BD8" w:rsidRPr="00995CC0">
        <w:trPr>
          <w:trHeight w:val="70"/>
        </w:trPr>
        <w:tc>
          <w:tcPr>
            <w:tcW w:type="dxa" w:w="449"/>
            <w:tcBorders>
              <w:top w:val="nil"/>
              <w:left w:space="0" w:sz="6" w:color="auto" w:val="double"/>
              <w:bottom w:space="0" w:sz="4" w:color="auto" w:val="single"/>
              <w:right w:space="0" w:sz="4" w:color="auto" w:val="single"/>
            </w:tcBorders>
            <w:shd w:fill="auto" w:color="auto" w:val="clear"/>
            <w:hideMark/>
          </w:tcPr>
          <w:p w:rsidRDefault="004A7BD8" w:rsidP="00995CC0" w:rsidR="004A7BD8" w:rsidRPr="004A7BD8">
            <w:pPr>
              <w:overflowPunct/>
              <w:autoSpaceDE/>
              <w:autoSpaceDN/>
              <w:adjustRightInd/>
              <w:jc w:val="center"/>
              <w:textAlignment w:val="auto"/>
              <w:rPr>
                <w:sz w:val="24"/>
                <w:szCs w:val="24"/>
              </w:rPr>
            </w:pPr>
            <w:r w:rsidRPr="004A7BD8">
              <w:rPr>
                <w:sz w:val="24"/>
                <w:szCs w:val="24"/>
              </w:rPr>
              <w:lastRenderedPageBreak/>
              <w:t>2</w:t>
            </w:r>
          </w:p>
        </w:tc>
        <w:tc>
          <w:tcPr>
            <w:tcW w:type="dxa" w:w="2965"/>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sz w:val="24"/>
                <w:szCs w:val="24"/>
              </w:rPr>
            </w:pPr>
            <w:r w:rsidRPr="004A7BD8">
              <w:rPr>
                <w:b/>
                <w:bCs/>
                <w:sz w:val="24"/>
                <w:szCs w:val="24"/>
              </w:rPr>
              <w:t>REPUBLIKA HRVATSKA, Ministarstvo financija, Porezna uprava,</w:t>
            </w:r>
            <w:r w:rsidRPr="004A7BD8">
              <w:rPr>
                <w:sz w:val="24"/>
                <w:szCs w:val="24"/>
              </w:rPr>
              <w:t xml:space="preserve"> Područni ured Zagreb, zastupana po Županijskom državnom odvjetništvu u Zagrebu</w:t>
            </w:r>
          </w:p>
        </w:tc>
        <w:tc>
          <w:tcPr>
            <w:tcW w:type="dxa" w:w="1208"/>
            <w:tcBorders>
              <w:top w:val="nil"/>
              <w:left w:val="nil"/>
              <w:bottom w:space="0" w:sz="4" w:color="auto" w:val="single"/>
              <w:right w:space="0" w:sz="4" w:color="auto" w:val="single"/>
            </w:tcBorders>
            <w:shd w:fill="auto" w:color="auto" w:val="clear"/>
            <w:noWrap/>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18683136487</w:t>
            </w:r>
          </w:p>
        </w:tc>
        <w:tc>
          <w:tcPr>
            <w:tcW w:type="dxa" w:w="1309"/>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Zagreb,</w:t>
            </w:r>
            <w:r w:rsidRPr="004A7BD8">
              <w:rPr>
                <w:sz w:val="24"/>
                <w:szCs w:val="24"/>
              </w:rPr>
              <w:br/>
              <w:t>Savska cesta 41</w:t>
            </w:r>
          </w:p>
        </w:tc>
        <w:tc>
          <w:tcPr>
            <w:tcW w:type="dxa" w:w="1605"/>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559.212,62</w:t>
            </w:r>
          </w:p>
        </w:tc>
        <w:tc>
          <w:tcPr>
            <w:tcW w:type="dxa" w:w="284"/>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textAlignment w:val="auto"/>
              <w:rPr>
                <w:sz w:val="24"/>
                <w:szCs w:val="24"/>
              </w:rPr>
            </w:pPr>
            <w:r w:rsidRPr="004A7BD8">
              <w:rPr>
                <w:sz w:val="24"/>
                <w:szCs w:val="24"/>
              </w:rPr>
              <w:t> </w:t>
            </w:r>
          </w:p>
        </w:tc>
        <w:tc>
          <w:tcPr>
            <w:tcW w:type="dxa" w:w="1417"/>
            <w:tcBorders>
              <w:top w:val="nil"/>
              <w:left w:val="nil"/>
              <w:bottom w:space="0" w:sz="4" w:color="auto" w:val="single"/>
              <w:right w:space="0" w:sz="4" w:color="auto" w:val="single"/>
            </w:tcBorders>
            <w:shd w:fill="auto" w:color="auto" w:val="clear"/>
            <w:noWrap/>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559.212,62</w:t>
            </w:r>
          </w:p>
        </w:tc>
      </w:tr>
      <w:tr w:rsidTr="00995CC0" w:rsidR="004A7BD8" w:rsidRPr="00995CC0">
        <w:trPr>
          <w:trHeight w:val="70"/>
        </w:trPr>
        <w:tc>
          <w:tcPr>
            <w:tcW w:type="dxa" w:w="449"/>
            <w:tcBorders>
              <w:top w:val="nil"/>
              <w:left w:space="0" w:sz="6" w:color="auto" w:val="double"/>
              <w:bottom w:space="0" w:sz="4" w:color="auto" w:val="single"/>
              <w:right w:space="0" w:sz="4" w:color="auto" w:val="single"/>
            </w:tcBorders>
            <w:shd w:fill="auto" w:color="auto" w:val="clea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3</w:t>
            </w:r>
          </w:p>
        </w:tc>
        <w:tc>
          <w:tcPr>
            <w:tcW w:type="dxa" w:w="2965"/>
            <w:tcBorders>
              <w:top w:val="nil"/>
              <w:left w:val="nil"/>
              <w:bottom w:space="0" w:sz="4" w:color="auto" w:val="single"/>
              <w:right w:space="0" w:sz="4" w:color="auto" w:val="single"/>
            </w:tcBorders>
            <w:shd w:fill="auto" w:color="auto" w:val="clear"/>
            <w:vAlign w:val="center"/>
            <w:hideMark/>
          </w:tcPr>
          <w:p w:rsidRDefault="004A7BD8" w:rsidP="00995CC0" w:rsidR="004A7BD8" w:rsidRPr="004A7BD8">
            <w:pPr>
              <w:overflowPunct/>
              <w:autoSpaceDE/>
              <w:autoSpaceDN/>
              <w:adjustRightInd/>
              <w:jc w:val="center"/>
              <w:textAlignment w:val="auto"/>
              <w:rPr>
                <w:b/>
                <w:bCs/>
                <w:sz w:val="24"/>
                <w:szCs w:val="24"/>
              </w:rPr>
            </w:pPr>
            <w:r w:rsidRPr="004A7BD8">
              <w:rPr>
                <w:b/>
                <w:bCs/>
                <w:sz w:val="24"/>
                <w:szCs w:val="24"/>
              </w:rPr>
              <w:t>ŠTEDBANKA d.d.</w:t>
            </w:r>
            <w:r w:rsidRPr="004A7BD8">
              <w:rPr>
                <w:b/>
                <w:bCs/>
                <w:sz w:val="24"/>
                <w:szCs w:val="24"/>
              </w:rPr>
              <w:br/>
              <w:t>IBAN:1524830051000000013</w:t>
            </w:r>
          </w:p>
        </w:tc>
        <w:tc>
          <w:tcPr>
            <w:tcW w:type="dxa" w:w="1208"/>
            <w:tcBorders>
              <w:top w:val="nil"/>
              <w:left w:val="nil"/>
              <w:bottom w:space="0" w:sz="4" w:color="auto" w:val="single"/>
              <w:right w:space="0" w:sz="4" w:color="auto" w:val="single"/>
            </w:tcBorders>
            <w:shd w:fill="auto" w:color="auto" w:val="clear"/>
            <w:noWrap/>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58063088591</w:t>
            </w:r>
          </w:p>
        </w:tc>
        <w:tc>
          <w:tcPr>
            <w:tcW w:type="dxa" w:w="1309"/>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Zagreb,</w:t>
            </w:r>
            <w:r w:rsidRPr="004A7BD8">
              <w:rPr>
                <w:sz w:val="24"/>
                <w:szCs w:val="24"/>
              </w:rPr>
              <w:br/>
              <w:t>Slavonska avenija 3</w:t>
            </w:r>
          </w:p>
        </w:tc>
        <w:tc>
          <w:tcPr>
            <w:tcW w:type="dxa" w:w="1605"/>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715.081,54</w:t>
            </w:r>
          </w:p>
        </w:tc>
        <w:tc>
          <w:tcPr>
            <w:tcW w:type="dxa" w:w="284"/>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textAlignment w:val="auto"/>
              <w:rPr>
                <w:sz w:val="24"/>
                <w:szCs w:val="24"/>
              </w:rPr>
            </w:pPr>
            <w:r w:rsidRPr="004A7BD8">
              <w:rPr>
                <w:sz w:val="24"/>
                <w:szCs w:val="24"/>
              </w:rPr>
              <w:t> </w:t>
            </w:r>
          </w:p>
        </w:tc>
        <w:tc>
          <w:tcPr>
            <w:tcW w:type="dxa" w:w="1417"/>
            <w:tcBorders>
              <w:top w:val="nil"/>
              <w:left w:val="nil"/>
              <w:bottom w:space="0" w:sz="4" w:color="auto" w:val="single"/>
              <w:right w:space="0" w:sz="4" w:color="auto" w:val="single"/>
            </w:tcBorders>
            <w:shd w:fill="auto" w:color="auto" w:val="clear"/>
            <w:noWrap/>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715.081,54</w:t>
            </w:r>
          </w:p>
        </w:tc>
      </w:tr>
      <w:tr w:rsidTr="00995CC0" w:rsidR="004A7BD8" w:rsidRPr="00995CC0">
        <w:trPr>
          <w:trHeight w:val="70"/>
        </w:trPr>
        <w:tc>
          <w:tcPr>
            <w:tcW w:type="dxa" w:w="449"/>
            <w:tcBorders>
              <w:top w:val="nil"/>
              <w:left w:space="0" w:sz="6" w:color="auto" w:val="double"/>
              <w:bottom w:space="0" w:sz="4" w:color="auto" w:val="single"/>
              <w:right w:space="0" w:sz="4" w:color="auto" w:val="single"/>
            </w:tcBorders>
            <w:shd w:fill="auto" w:color="auto" w:val="clear"/>
            <w:hideMark/>
          </w:tcPr>
          <w:p w:rsidRDefault="00995CC0" w:rsidP="004A7BD8" w:rsidR="004A7BD8" w:rsidRPr="004A7BD8">
            <w:pPr>
              <w:overflowPunct/>
              <w:autoSpaceDE/>
              <w:autoSpaceDN/>
              <w:adjustRightInd/>
              <w:jc w:val="center"/>
              <w:textAlignment w:val="auto"/>
              <w:rPr>
                <w:sz w:val="24"/>
                <w:szCs w:val="24"/>
              </w:rPr>
            </w:pPr>
            <w:r w:rsidRPr="00995CC0">
              <w:rPr>
                <w:sz w:val="24"/>
                <w:szCs w:val="24"/>
              </w:rPr>
              <w:br/>
            </w:r>
            <w:r w:rsidRPr="00995CC0">
              <w:rPr>
                <w:sz w:val="24"/>
                <w:szCs w:val="24"/>
              </w:rPr>
              <w:br/>
            </w:r>
            <w:r w:rsidR="004A7BD8" w:rsidRPr="004A7BD8">
              <w:rPr>
                <w:sz w:val="24"/>
                <w:szCs w:val="24"/>
              </w:rPr>
              <w:t>4</w:t>
            </w:r>
          </w:p>
        </w:tc>
        <w:tc>
          <w:tcPr>
            <w:tcW w:type="dxa" w:w="2965"/>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b/>
                <w:bCs/>
                <w:sz w:val="24"/>
                <w:szCs w:val="24"/>
              </w:rPr>
            </w:pPr>
            <w:r w:rsidRPr="004A7BD8">
              <w:rPr>
                <w:b/>
                <w:bCs/>
                <w:sz w:val="24"/>
                <w:szCs w:val="24"/>
              </w:rPr>
              <w:t xml:space="preserve">BKS Bank AG </w:t>
            </w:r>
            <w:r w:rsidRPr="004A7BD8">
              <w:rPr>
                <w:sz w:val="24"/>
                <w:szCs w:val="24"/>
              </w:rPr>
              <w:t>zastupan po odvjetnicima Vukić, Jelušić, Šulina, Stanković, Jurcan, Jabuka, Bezić, Odvjetničko društvo  d.o.o., N.Tesle 9-V-VI, iz Rijeke</w:t>
            </w:r>
          </w:p>
        </w:tc>
        <w:tc>
          <w:tcPr>
            <w:tcW w:type="dxa" w:w="1208"/>
            <w:tcBorders>
              <w:top w:val="nil"/>
              <w:left w:val="nil"/>
              <w:bottom w:space="0" w:sz="4" w:color="auto" w:val="single"/>
              <w:right w:space="0" w:sz="4" w:color="auto" w:val="single"/>
            </w:tcBorders>
            <w:shd w:fill="auto" w:color="auto" w:val="clear"/>
            <w:noWrap/>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95202348925</w:t>
            </w:r>
          </w:p>
        </w:tc>
        <w:tc>
          <w:tcPr>
            <w:tcW w:type="dxa" w:w="1309"/>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A-9020 Klagenfurt</w:t>
            </w:r>
            <w:r w:rsidRPr="004A7BD8">
              <w:rPr>
                <w:sz w:val="24"/>
                <w:szCs w:val="24"/>
              </w:rPr>
              <w:br/>
              <w:t>St.Veinter Ring 43,</w:t>
            </w:r>
            <w:r w:rsidRPr="004A7BD8">
              <w:rPr>
                <w:sz w:val="24"/>
                <w:szCs w:val="24"/>
              </w:rPr>
              <w:br/>
              <w:t>Austrija</w:t>
            </w:r>
          </w:p>
        </w:tc>
        <w:tc>
          <w:tcPr>
            <w:tcW w:type="dxa" w:w="1605"/>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356.136,68</w:t>
            </w:r>
          </w:p>
        </w:tc>
        <w:tc>
          <w:tcPr>
            <w:tcW w:type="dxa" w:w="284"/>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textAlignment w:val="auto"/>
              <w:rPr>
                <w:sz w:val="24"/>
                <w:szCs w:val="24"/>
              </w:rPr>
            </w:pPr>
            <w:r w:rsidRPr="004A7BD8">
              <w:rPr>
                <w:sz w:val="24"/>
                <w:szCs w:val="24"/>
              </w:rPr>
              <w:t> </w:t>
            </w:r>
          </w:p>
        </w:tc>
        <w:tc>
          <w:tcPr>
            <w:tcW w:type="dxa" w:w="1417"/>
            <w:tcBorders>
              <w:top w:val="nil"/>
              <w:left w:val="nil"/>
              <w:bottom w:space="0" w:sz="4" w:color="auto" w:val="single"/>
              <w:right w:space="0" w:sz="4" w:color="auto" w:val="single"/>
            </w:tcBorders>
            <w:shd w:fill="auto" w:color="auto" w:val="clear"/>
            <w:noWrap/>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356.136,68</w:t>
            </w:r>
          </w:p>
        </w:tc>
      </w:tr>
      <w:tr w:rsidTr="00995CC0" w:rsidR="004A7BD8" w:rsidRPr="00995CC0">
        <w:trPr>
          <w:trHeight w:val="89"/>
        </w:trPr>
        <w:tc>
          <w:tcPr>
            <w:tcW w:type="dxa" w:w="449"/>
            <w:tcBorders>
              <w:top w:val="nil"/>
              <w:left w:space="0" w:sz="6" w:color="auto" w:val="double"/>
              <w:bottom w:space="0" w:sz="4" w:color="auto" w:val="single"/>
              <w:right w:space="0" w:sz="4" w:color="auto" w:val="single"/>
            </w:tcBorders>
            <w:shd w:fill="auto" w:color="auto" w:val="clear"/>
            <w:hideMark/>
          </w:tcPr>
          <w:p w:rsidRDefault="004A7BD8" w:rsidP="00995CC0" w:rsidR="004A7BD8" w:rsidRPr="004A7BD8">
            <w:pPr>
              <w:overflowPunct/>
              <w:autoSpaceDE/>
              <w:autoSpaceDN/>
              <w:adjustRightInd/>
              <w:textAlignment w:val="auto"/>
              <w:rPr>
                <w:sz w:val="24"/>
                <w:szCs w:val="24"/>
              </w:rPr>
            </w:pPr>
            <w:r w:rsidRPr="004A7BD8">
              <w:rPr>
                <w:sz w:val="24"/>
                <w:szCs w:val="24"/>
              </w:rPr>
              <w:t>5</w:t>
            </w:r>
          </w:p>
        </w:tc>
        <w:tc>
          <w:tcPr>
            <w:tcW w:type="dxa" w:w="2965"/>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b/>
                <w:bCs/>
                <w:sz w:val="24"/>
                <w:szCs w:val="24"/>
              </w:rPr>
            </w:pPr>
            <w:r w:rsidRPr="004A7BD8">
              <w:rPr>
                <w:b/>
                <w:bCs/>
                <w:sz w:val="24"/>
                <w:szCs w:val="24"/>
              </w:rPr>
              <w:t>VENETO BANKA d.d.</w:t>
            </w:r>
          </w:p>
        </w:tc>
        <w:tc>
          <w:tcPr>
            <w:tcW w:type="dxa" w:w="1208"/>
            <w:tcBorders>
              <w:top w:val="nil"/>
              <w:left w:val="nil"/>
              <w:bottom w:space="0" w:sz="4" w:color="auto" w:val="single"/>
              <w:right w:space="0" w:sz="4" w:color="auto" w:val="single"/>
            </w:tcBorders>
            <w:shd w:fill="auto" w:color="auto" w:val="clear"/>
            <w:noWrap/>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81712716992</w:t>
            </w:r>
          </w:p>
        </w:tc>
        <w:tc>
          <w:tcPr>
            <w:tcW w:type="dxa" w:w="1309"/>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Zagreb,</w:t>
            </w:r>
            <w:r w:rsidRPr="004A7BD8">
              <w:rPr>
                <w:sz w:val="24"/>
                <w:szCs w:val="24"/>
              </w:rPr>
              <w:br/>
              <w:t>Draškovićeva 58</w:t>
            </w:r>
          </w:p>
        </w:tc>
        <w:tc>
          <w:tcPr>
            <w:tcW w:type="dxa" w:w="1605"/>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438.694,03</w:t>
            </w:r>
          </w:p>
        </w:tc>
        <w:tc>
          <w:tcPr>
            <w:tcW w:type="dxa" w:w="284"/>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textAlignment w:val="auto"/>
              <w:rPr>
                <w:sz w:val="24"/>
                <w:szCs w:val="24"/>
              </w:rPr>
            </w:pPr>
            <w:r w:rsidRPr="004A7BD8">
              <w:rPr>
                <w:sz w:val="24"/>
                <w:szCs w:val="24"/>
              </w:rPr>
              <w:t> </w:t>
            </w:r>
          </w:p>
        </w:tc>
        <w:tc>
          <w:tcPr>
            <w:tcW w:type="dxa" w:w="1417"/>
            <w:tcBorders>
              <w:top w:val="nil"/>
              <w:left w:val="nil"/>
              <w:bottom w:space="0" w:sz="4" w:color="auto" w:val="single"/>
              <w:right w:space="0" w:sz="4" w:color="auto" w:val="single"/>
            </w:tcBorders>
            <w:shd w:fill="auto" w:color="auto" w:val="clear"/>
            <w:noWrap/>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438.694,03</w:t>
            </w:r>
          </w:p>
        </w:tc>
      </w:tr>
      <w:tr w:rsidTr="00995CC0" w:rsidR="004A7BD8" w:rsidRPr="00995CC0">
        <w:trPr>
          <w:trHeight w:val="227"/>
        </w:trPr>
        <w:tc>
          <w:tcPr>
            <w:tcW w:type="dxa" w:w="449"/>
            <w:tcBorders>
              <w:top w:val="nil"/>
              <w:left w:space="0" w:sz="6" w:color="auto" w:val="double"/>
              <w:bottom w:space="0" w:sz="4" w:color="auto" w:val="single"/>
              <w:right w:space="0" w:sz="4" w:color="auto" w:val="single"/>
            </w:tcBorders>
            <w:shd w:fill="auto" w:color="auto" w:val="clear"/>
            <w:hideMark/>
          </w:tcPr>
          <w:p w:rsidRDefault="00995CC0" w:rsidP="004A7BD8" w:rsidR="004A7BD8" w:rsidRPr="004A7BD8">
            <w:pPr>
              <w:overflowPunct/>
              <w:autoSpaceDE/>
              <w:autoSpaceDN/>
              <w:adjustRightInd/>
              <w:jc w:val="center"/>
              <w:textAlignment w:val="auto"/>
              <w:rPr>
                <w:sz w:val="24"/>
                <w:szCs w:val="24"/>
              </w:rPr>
            </w:pPr>
            <w:r w:rsidRPr="00995CC0">
              <w:rPr>
                <w:sz w:val="24"/>
                <w:szCs w:val="24"/>
              </w:rPr>
              <w:br/>
            </w:r>
            <w:r w:rsidR="004A7BD8" w:rsidRPr="004A7BD8">
              <w:rPr>
                <w:sz w:val="24"/>
                <w:szCs w:val="24"/>
              </w:rPr>
              <w:t>6</w:t>
            </w:r>
          </w:p>
        </w:tc>
        <w:tc>
          <w:tcPr>
            <w:tcW w:type="dxa" w:w="2965"/>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b/>
                <w:bCs/>
                <w:sz w:val="24"/>
                <w:szCs w:val="24"/>
              </w:rPr>
            </w:pPr>
            <w:r w:rsidRPr="004A7BD8">
              <w:rPr>
                <w:b/>
                <w:bCs/>
                <w:sz w:val="24"/>
                <w:szCs w:val="24"/>
              </w:rPr>
              <w:t>OLEG GENNADEVIĆ BELOV</w:t>
            </w:r>
            <w:r w:rsidRPr="004A7BD8">
              <w:rPr>
                <w:b/>
                <w:bCs/>
                <w:sz w:val="24"/>
                <w:szCs w:val="24"/>
              </w:rPr>
              <w:br/>
              <w:t xml:space="preserve"> </w:t>
            </w:r>
            <w:r w:rsidRPr="004A7BD8">
              <w:rPr>
                <w:sz w:val="24"/>
                <w:szCs w:val="24"/>
              </w:rPr>
              <w:t>zatupan po odvjetnici Milici Đurđević iz Zagreba, Margaretska 3</w:t>
            </w:r>
          </w:p>
        </w:tc>
        <w:tc>
          <w:tcPr>
            <w:tcW w:type="dxa" w:w="1208"/>
            <w:tcBorders>
              <w:top w:val="nil"/>
              <w:left w:val="nil"/>
              <w:bottom w:space="0" w:sz="4" w:color="auto" w:val="single"/>
              <w:right w:space="0" w:sz="4" w:color="auto" w:val="single"/>
            </w:tcBorders>
            <w:shd w:fill="auto" w:color="auto" w:val="clear"/>
            <w:noWrap/>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39714870846</w:t>
            </w:r>
          </w:p>
        </w:tc>
        <w:tc>
          <w:tcPr>
            <w:tcW w:type="dxa" w:w="1309"/>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Rogoznica,</w:t>
            </w:r>
            <w:r w:rsidRPr="004A7BD8">
              <w:rPr>
                <w:sz w:val="24"/>
                <w:szCs w:val="24"/>
              </w:rPr>
              <w:br/>
              <w:t>Nova ulica B 1a</w:t>
            </w:r>
          </w:p>
        </w:tc>
        <w:tc>
          <w:tcPr>
            <w:tcW w:type="dxa" w:w="1605"/>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2.031.409,82</w:t>
            </w:r>
          </w:p>
        </w:tc>
        <w:tc>
          <w:tcPr>
            <w:tcW w:type="dxa" w:w="284"/>
            <w:tcBorders>
              <w:top w:val="nil"/>
              <w:left w:val="nil"/>
              <w:bottom w:space="0" w:sz="4" w:color="auto" w:val="single"/>
              <w:right w:space="0" w:sz="4" w:color="auto" w:val="single"/>
            </w:tcBorders>
            <w:shd w:fill="auto" w:color="auto" w:val="clear"/>
            <w:vAlign w:val="center"/>
            <w:hideMark/>
          </w:tcPr>
          <w:p w:rsidRDefault="004A7BD8" w:rsidP="004A7BD8" w:rsidR="004A7BD8" w:rsidRPr="004A7BD8">
            <w:pPr>
              <w:overflowPunct/>
              <w:autoSpaceDE/>
              <w:autoSpaceDN/>
              <w:adjustRightInd/>
              <w:textAlignment w:val="auto"/>
              <w:rPr>
                <w:sz w:val="24"/>
                <w:szCs w:val="24"/>
              </w:rPr>
            </w:pPr>
            <w:r w:rsidRPr="004A7BD8">
              <w:rPr>
                <w:sz w:val="24"/>
                <w:szCs w:val="24"/>
              </w:rPr>
              <w:t> </w:t>
            </w:r>
          </w:p>
        </w:tc>
        <w:tc>
          <w:tcPr>
            <w:tcW w:type="dxa" w:w="1417"/>
            <w:tcBorders>
              <w:top w:val="nil"/>
              <w:left w:val="nil"/>
              <w:bottom w:space="0" w:sz="4" w:color="auto" w:val="single"/>
              <w:right w:space="0" w:sz="4" w:color="auto" w:val="single"/>
            </w:tcBorders>
            <w:shd w:fill="auto" w:color="auto" w:val="clear"/>
            <w:noWrap/>
            <w:vAlign w:val="center"/>
            <w:hideMark/>
          </w:tcPr>
          <w:p w:rsidRDefault="004A7BD8" w:rsidP="004A7BD8" w:rsidR="004A7BD8" w:rsidRPr="004A7BD8">
            <w:pPr>
              <w:overflowPunct/>
              <w:autoSpaceDE/>
              <w:autoSpaceDN/>
              <w:adjustRightInd/>
              <w:jc w:val="center"/>
              <w:textAlignment w:val="auto"/>
              <w:rPr>
                <w:sz w:val="24"/>
                <w:szCs w:val="24"/>
              </w:rPr>
            </w:pPr>
            <w:r w:rsidRPr="004A7BD8">
              <w:rPr>
                <w:sz w:val="24"/>
                <w:szCs w:val="24"/>
              </w:rPr>
              <w:t>2.031.409,82</w:t>
            </w:r>
          </w:p>
        </w:tc>
      </w:tr>
      <w:tr w:rsidTr="00995CC0" w:rsidR="004A7BD8" w:rsidRPr="00995CC0">
        <w:trPr>
          <w:trHeight w:val="450"/>
        </w:trPr>
        <w:tc>
          <w:tcPr>
            <w:tcW w:type="dxa" w:w="449"/>
            <w:tcBorders>
              <w:top w:val="nil"/>
              <w:left w:space="0" w:sz="6" w:color="auto" w:val="double"/>
              <w:bottom w:space="0" w:sz="6" w:color="auto" w:val="double"/>
              <w:right w:space="0" w:sz="4" w:color="auto" w:val="single"/>
            </w:tcBorders>
            <w:shd w:fill="auto" w:color="auto" w:val="clear"/>
            <w:noWrap/>
            <w:vAlign w:val="bottom"/>
            <w:hideMark/>
          </w:tcPr>
          <w:p w:rsidRDefault="004A7BD8" w:rsidP="004A7BD8" w:rsidR="004A7BD8" w:rsidRPr="004A7BD8">
            <w:pPr>
              <w:overflowPunct/>
              <w:autoSpaceDE/>
              <w:autoSpaceDN/>
              <w:adjustRightInd/>
              <w:textAlignment w:val="auto"/>
              <w:rPr>
                <w:sz w:val="24"/>
                <w:szCs w:val="24"/>
              </w:rPr>
            </w:pPr>
            <w:r w:rsidRPr="004A7BD8">
              <w:rPr>
                <w:sz w:val="24"/>
                <w:szCs w:val="24"/>
              </w:rPr>
              <w:t> </w:t>
            </w:r>
          </w:p>
        </w:tc>
        <w:tc>
          <w:tcPr>
            <w:tcW w:type="dxa" w:w="2965"/>
            <w:tcBorders>
              <w:top w:val="nil"/>
              <w:left w:val="nil"/>
              <w:bottom w:space="0" w:sz="6" w:color="auto" w:val="double"/>
              <w:right w:space="0" w:sz="4" w:color="auto" w:val="single"/>
            </w:tcBorders>
            <w:shd w:fill="auto" w:color="auto" w:val="clear"/>
            <w:noWrap/>
            <w:vAlign w:val="bottom"/>
            <w:hideMark/>
          </w:tcPr>
          <w:p w:rsidRDefault="004A7BD8" w:rsidP="004A7BD8" w:rsidR="004A7BD8" w:rsidRPr="004A7BD8">
            <w:pPr>
              <w:overflowPunct/>
              <w:autoSpaceDE/>
              <w:autoSpaceDN/>
              <w:adjustRightInd/>
              <w:jc w:val="center"/>
              <w:textAlignment w:val="auto"/>
              <w:rPr>
                <w:b/>
                <w:bCs/>
                <w:sz w:val="24"/>
                <w:szCs w:val="24"/>
              </w:rPr>
            </w:pPr>
            <w:r w:rsidRPr="004A7BD8">
              <w:rPr>
                <w:b/>
                <w:bCs/>
                <w:sz w:val="24"/>
                <w:szCs w:val="24"/>
              </w:rPr>
              <w:t>UKUPNO</w:t>
            </w:r>
          </w:p>
        </w:tc>
        <w:tc>
          <w:tcPr>
            <w:tcW w:type="dxa" w:w="1208"/>
            <w:tcBorders>
              <w:top w:val="nil"/>
              <w:left w:val="nil"/>
              <w:bottom w:space="0" w:sz="6" w:color="auto" w:val="double"/>
              <w:right w:space="0" w:sz="4" w:color="auto" w:val="single"/>
            </w:tcBorders>
            <w:shd w:fill="auto" w:color="auto" w:val="clear"/>
            <w:noWrap/>
            <w:vAlign w:val="bottom"/>
            <w:hideMark/>
          </w:tcPr>
          <w:p w:rsidRDefault="004A7BD8" w:rsidP="004A7BD8" w:rsidR="004A7BD8" w:rsidRPr="004A7BD8">
            <w:pPr>
              <w:overflowPunct/>
              <w:autoSpaceDE/>
              <w:autoSpaceDN/>
              <w:adjustRightInd/>
              <w:textAlignment w:val="auto"/>
              <w:rPr>
                <w:b/>
                <w:bCs/>
                <w:sz w:val="24"/>
                <w:szCs w:val="24"/>
              </w:rPr>
            </w:pPr>
            <w:r w:rsidRPr="004A7BD8">
              <w:rPr>
                <w:b/>
                <w:bCs/>
                <w:sz w:val="24"/>
                <w:szCs w:val="24"/>
              </w:rPr>
              <w:t> </w:t>
            </w:r>
          </w:p>
        </w:tc>
        <w:tc>
          <w:tcPr>
            <w:tcW w:type="dxa" w:w="1309"/>
            <w:tcBorders>
              <w:top w:val="nil"/>
              <w:left w:val="nil"/>
              <w:bottom w:space="0" w:sz="6" w:color="auto" w:val="double"/>
              <w:right w:space="0" w:sz="4" w:color="auto" w:val="single"/>
            </w:tcBorders>
            <w:shd w:fill="auto" w:color="auto" w:val="clear"/>
            <w:noWrap/>
            <w:vAlign w:val="bottom"/>
            <w:hideMark/>
          </w:tcPr>
          <w:p w:rsidRDefault="004A7BD8" w:rsidP="004A7BD8" w:rsidR="004A7BD8" w:rsidRPr="004A7BD8">
            <w:pPr>
              <w:overflowPunct/>
              <w:autoSpaceDE/>
              <w:autoSpaceDN/>
              <w:adjustRightInd/>
              <w:textAlignment w:val="auto"/>
              <w:rPr>
                <w:b/>
                <w:bCs/>
                <w:sz w:val="24"/>
                <w:szCs w:val="24"/>
              </w:rPr>
            </w:pPr>
            <w:r w:rsidRPr="004A7BD8">
              <w:rPr>
                <w:b/>
                <w:bCs/>
                <w:sz w:val="24"/>
                <w:szCs w:val="24"/>
              </w:rPr>
              <w:t> </w:t>
            </w:r>
          </w:p>
        </w:tc>
        <w:tc>
          <w:tcPr>
            <w:tcW w:type="dxa" w:w="1605"/>
            <w:tcBorders>
              <w:top w:val="nil"/>
              <w:left w:val="nil"/>
              <w:bottom w:space="0" w:sz="6" w:color="auto" w:val="double"/>
              <w:right w:space="0" w:sz="4" w:color="auto" w:val="single"/>
            </w:tcBorders>
            <w:shd w:fill="auto" w:color="auto" w:val="clear"/>
            <w:noWrap/>
            <w:vAlign w:val="bottom"/>
            <w:hideMark/>
          </w:tcPr>
          <w:p w:rsidRDefault="004A7BD8" w:rsidP="004A7BD8" w:rsidR="004A7BD8" w:rsidRPr="004A7BD8">
            <w:pPr>
              <w:overflowPunct/>
              <w:autoSpaceDE/>
              <w:autoSpaceDN/>
              <w:adjustRightInd/>
              <w:jc w:val="right"/>
              <w:textAlignment w:val="auto"/>
              <w:rPr>
                <w:b/>
                <w:bCs/>
                <w:sz w:val="24"/>
                <w:szCs w:val="24"/>
              </w:rPr>
            </w:pPr>
            <w:r w:rsidRPr="004A7BD8">
              <w:rPr>
                <w:b/>
                <w:bCs/>
                <w:sz w:val="24"/>
                <w:szCs w:val="24"/>
              </w:rPr>
              <w:t>4.128.093,86</w:t>
            </w:r>
          </w:p>
        </w:tc>
        <w:tc>
          <w:tcPr>
            <w:tcW w:type="dxa" w:w="284"/>
            <w:tcBorders>
              <w:top w:val="nil"/>
              <w:left w:val="nil"/>
              <w:bottom w:space="0" w:sz="6" w:color="auto" w:val="double"/>
              <w:right w:space="0" w:sz="4" w:color="auto" w:val="single"/>
            </w:tcBorders>
            <w:shd w:fill="auto" w:color="auto" w:val="clear"/>
            <w:noWrap/>
            <w:vAlign w:val="bottom"/>
            <w:hideMark/>
          </w:tcPr>
          <w:p w:rsidRDefault="004A7BD8" w:rsidP="004A7BD8" w:rsidR="004A7BD8" w:rsidRPr="004A7BD8">
            <w:pPr>
              <w:overflowPunct/>
              <w:autoSpaceDE/>
              <w:autoSpaceDN/>
              <w:adjustRightInd/>
              <w:textAlignment w:val="auto"/>
              <w:rPr>
                <w:b/>
                <w:bCs/>
                <w:sz w:val="24"/>
                <w:szCs w:val="24"/>
              </w:rPr>
            </w:pPr>
            <w:r w:rsidRPr="004A7BD8">
              <w:rPr>
                <w:b/>
                <w:bCs/>
                <w:sz w:val="24"/>
                <w:szCs w:val="24"/>
              </w:rPr>
              <w:t> </w:t>
            </w:r>
          </w:p>
        </w:tc>
        <w:tc>
          <w:tcPr>
            <w:tcW w:type="dxa" w:w="1417"/>
            <w:tcBorders>
              <w:top w:val="nil"/>
              <w:left w:val="nil"/>
              <w:bottom w:space="0" w:sz="6" w:color="auto" w:val="double"/>
              <w:right w:space="0" w:sz="4" w:color="auto" w:val="single"/>
            </w:tcBorders>
            <w:shd w:fill="auto" w:color="auto" w:val="clear"/>
            <w:noWrap/>
            <w:vAlign w:val="bottom"/>
            <w:hideMark/>
          </w:tcPr>
          <w:p w:rsidRDefault="004A7BD8" w:rsidP="004A7BD8" w:rsidR="004A7BD8" w:rsidRPr="004A7BD8">
            <w:pPr>
              <w:overflowPunct/>
              <w:autoSpaceDE/>
              <w:autoSpaceDN/>
              <w:adjustRightInd/>
              <w:jc w:val="right"/>
              <w:textAlignment w:val="auto"/>
              <w:rPr>
                <w:b/>
                <w:bCs/>
                <w:sz w:val="24"/>
                <w:szCs w:val="24"/>
              </w:rPr>
            </w:pPr>
            <w:r w:rsidRPr="004A7BD8">
              <w:rPr>
                <w:b/>
                <w:bCs/>
                <w:sz w:val="24"/>
                <w:szCs w:val="24"/>
              </w:rPr>
              <w:t>4.128.093,86</w:t>
            </w:r>
          </w:p>
        </w:tc>
      </w:tr>
    </w:tbl>
    <w:p w:rsidRDefault="004A7BD8" w:rsidP="00313D9A" w:rsidR="004A7BD8" w:rsidRPr="00995CC0">
      <w:pPr>
        <w:jc w:val="both"/>
        <w:rPr>
          <w:bCs/>
          <w:sz w:val="24"/>
          <w:szCs w:val="24"/>
        </w:rPr>
      </w:pPr>
    </w:p>
    <w:p w:rsidRDefault="00313D9A" w:rsidP="00313D9A" w:rsidR="002937FE" w:rsidRPr="00995CC0">
      <w:pPr>
        <w:jc w:val="both"/>
        <w:rPr>
          <w:bCs/>
          <w:sz w:val="24"/>
          <w:szCs w:val="24"/>
        </w:rPr>
      </w:pPr>
      <w:r w:rsidRPr="00995CC0">
        <w:rPr>
          <w:bCs/>
          <w:sz w:val="24"/>
          <w:szCs w:val="24"/>
        </w:rPr>
        <w:tab/>
      </w:r>
      <w:r w:rsidR="002937FE" w:rsidRPr="00995CC0">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995CC0">
          <w:rPr>
            <w:bCs/>
            <w:sz w:val="24"/>
            <w:szCs w:val="24"/>
          </w:rPr>
          <w:t>178. st</w:t>
        </w:r>
      </w:smartTag>
      <w:r w:rsidR="002937FE" w:rsidRPr="00995CC0">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995CC0">
      <w:pPr>
        <w:numPr>
          <w:ilvl w:val="12"/>
          <w:numId w:val="0"/>
        </w:numPr>
        <w:ind w:firstLine="720"/>
        <w:jc w:val="both"/>
        <w:rPr>
          <w:bCs/>
          <w:sz w:val="24"/>
          <w:szCs w:val="24"/>
        </w:rPr>
      </w:pPr>
      <w:r w:rsidRPr="00995CC0">
        <w:rPr>
          <w:bCs/>
          <w:sz w:val="24"/>
          <w:szCs w:val="24"/>
        </w:rPr>
        <w:t>Prelazi se na ispitivanje svake pojedine tražbine.</w:t>
      </w:r>
    </w:p>
    <w:p w:rsidRDefault="002937FE" w:rsidP="00B16170" w:rsidR="001A6FC8" w:rsidRPr="00995CC0">
      <w:pPr>
        <w:numPr>
          <w:ilvl w:val="12"/>
          <w:numId w:val="0"/>
        </w:numPr>
        <w:ind w:firstLine="720"/>
        <w:jc w:val="both"/>
        <w:rPr>
          <w:bCs/>
          <w:sz w:val="24"/>
          <w:szCs w:val="24"/>
        </w:rPr>
      </w:pPr>
      <w:r w:rsidRPr="00995CC0">
        <w:rPr>
          <w:bCs/>
          <w:sz w:val="24"/>
          <w:szCs w:val="24"/>
        </w:rPr>
        <w:t>Stečajni upravitelj određeno se izjašnjava o svakoj prijavljenoj tražbini vjerovnika upisanoj u tab</w:t>
      </w:r>
      <w:r w:rsidR="00D50178" w:rsidRPr="00995CC0">
        <w:rPr>
          <w:bCs/>
          <w:sz w:val="24"/>
          <w:szCs w:val="24"/>
        </w:rPr>
        <w:t>lici</w:t>
      </w:r>
      <w:r w:rsidR="00B123EA" w:rsidRPr="00995CC0">
        <w:rPr>
          <w:bCs/>
          <w:sz w:val="24"/>
          <w:szCs w:val="24"/>
        </w:rPr>
        <w:t xml:space="preserve"> </w:t>
      </w:r>
      <w:r w:rsidR="00C06CD6" w:rsidRPr="00995CC0">
        <w:rPr>
          <w:bCs/>
          <w:sz w:val="24"/>
          <w:szCs w:val="24"/>
        </w:rPr>
        <w:t>I</w:t>
      </w:r>
      <w:r w:rsidR="00D50178" w:rsidRPr="00995CC0">
        <w:rPr>
          <w:bCs/>
          <w:sz w:val="24"/>
          <w:szCs w:val="24"/>
        </w:rPr>
        <w:t>I višeg isplatnog reda, suk</w:t>
      </w:r>
      <w:r w:rsidR="00FE5565" w:rsidRPr="00995CC0">
        <w:rPr>
          <w:bCs/>
          <w:sz w:val="24"/>
          <w:szCs w:val="24"/>
        </w:rPr>
        <w:t xml:space="preserve">ladno naprijed unesenoj tablici </w:t>
      </w:r>
      <w:r w:rsidR="001A6FC8" w:rsidRPr="00995CC0">
        <w:rPr>
          <w:bCs/>
          <w:sz w:val="24"/>
          <w:szCs w:val="24"/>
        </w:rPr>
        <w:t xml:space="preserve">te priznaje </w:t>
      </w:r>
      <w:r w:rsidR="00210D5B" w:rsidRPr="00995CC0">
        <w:rPr>
          <w:bCs/>
          <w:sz w:val="24"/>
          <w:szCs w:val="24"/>
        </w:rPr>
        <w:t xml:space="preserve">gore navedene </w:t>
      </w:r>
      <w:r w:rsidR="001A6FC8" w:rsidRPr="00995CC0">
        <w:rPr>
          <w:bCs/>
          <w:sz w:val="24"/>
          <w:szCs w:val="24"/>
        </w:rPr>
        <w:t>tražbine u</w:t>
      </w:r>
      <w:r w:rsidR="00803704" w:rsidRPr="00995CC0">
        <w:rPr>
          <w:bCs/>
          <w:sz w:val="24"/>
          <w:szCs w:val="24"/>
        </w:rPr>
        <w:t xml:space="preserve"> </w:t>
      </w:r>
      <w:r w:rsidR="001A6FC8" w:rsidRPr="00995CC0">
        <w:rPr>
          <w:bCs/>
          <w:sz w:val="24"/>
          <w:szCs w:val="24"/>
        </w:rPr>
        <w:t>II višem isplatnom redu.</w:t>
      </w:r>
    </w:p>
    <w:p w:rsidRDefault="001D1D51" w:rsidP="00B16170" w:rsidR="00632C10" w:rsidRPr="00995CC0">
      <w:pPr>
        <w:numPr>
          <w:ilvl w:val="12"/>
          <w:numId w:val="0"/>
        </w:numPr>
        <w:ind w:firstLine="720"/>
        <w:jc w:val="both"/>
        <w:rPr>
          <w:bCs/>
          <w:sz w:val="24"/>
          <w:szCs w:val="24"/>
        </w:rPr>
      </w:pPr>
      <w:r w:rsidRPr="00995CC0">
        <w:rPr>
          <w:bCs/>
          <w:sz w:val="24"/>
          <w:szCs w:val="24"/>
        </w:rPr>
        <w:t>Stečajni vjerovnici nisu osporili tražbine koje je priznao stečajni upravitelj te se iste smatraju utvrđenima.</w:t>
      </w:r>
      <w:r w:rsidR="00E84901" w:rsidRPr="00995CC0">
        <w:rPr>
          <w:bCs/>
          <w:sz w:val="24"/>
          <w:szCs w:val="24"/>
        </w:rPr>
        <w:tab/>
      </w:r>
    </w:p>
    <w:p w:rsidRDefault="00AD6A8F" w:rsidP="00B16170" w:rsidR="00AD6A8F">
      <w:pPr>
        <w:numPr>
          <w:ilvl w:val="12"/>
          <w:numId w:val="0"/>
        </w:numPr>
        <w:ind w:firstLine="720"/>
        <w:jc w:val="both"/>
        <w:rPr>
          <w:bCs/>
          <w:sz w:val="24"/>
          <w:szCs w:val="24"/>
        </w:rPr>
      </w:pPr>
      <w:r w:rsidRPr="00995CC0">
        <w:rPr>
          <w:bCs/>
          <w:sz w:val="24"/>
          <w:szCs w:val="24"/>
        </w:rPr>
        <w:t>Utvrđuje se da su ispitane sve prijavljene tražbine, stečajni sudac izjavljuje da će rješenje o tome u kojem iznosu i u kojem isplatnom redu su utvrđene biti obj</w:t>
      </w:r>
      <w:r w:rsidR="00995CC0" w:rsidRPr="00995CC0">
        <w:rPr>
          <w:bCs/>
          <w:sz w:val="24"/>
          <w:szCs w:val="24"/>
        </w:rPr>
        <w:t>avljeno na oglasnoj ploči suda.</w:t>
      </w:r>
    </w:p>
    <w:p w:rsidRDefault="002E4AF5" w:rsidP="00B16170" w:rsidR="002E4AF5">
      <w:pPr>
        <w:numPr>
          <w:ilvl w:val="12"/>
          <w:numId w:val="0"/>
        </w:numPr>
        <w:ind w:firstLine="720"/>
        <w:jc w:val="both"/>
        <w:rPr>
          <w:bCs/>
          <w:sz w:val="24"/>
          <w:szCs w:val="24"/>
        </w:rPr>
      </w:pPr>
      <w:r>
        <w:rPr>
          <w:bCs/>
          <w:sz w:val="24"/>
          <w:szCs w:val="24"/>
        </w:rPr>
        <w:t>Stečajna upraviteljica obaviještava prisutne o razlučnim pravima.</w:t>
      </w:r>
    </w:p>
    <w:tbl>
      <w:tblPr>
        <w:tblW w:type="dxa" w:w="9946"/>
        <w:tblInd w:type="dxa" w:w="85"/>
        <w:tblLayout w:type="fixed"/>
        <w:tblLook w:val="04A0" w:noVBand="1" w:noHBand="0" w:lastColumn="0" w:firstColumn="1" w:lastRow="0" w:firstRow="1"/>
      </w:tblPr>
      <w:tblGrid>
        <w:gridCol w:w="236"/>
        <w:gridCol w:w="1488"/>
        <w:gridCol w:w="851"/>
        <w:gridCol w:w="1134"/>
        <w:gridCol w:w="1276"/>
        <w:gridCol w:w="992"/>
        <w:gridCol w:w="1134"/>
        <w:gridCol w:w="2835"/>
      </w:tblGrid>
      <w:tr w:rsidTr="002E4AF5" w:rsidR="002E4AF5" w:rsidRPr="002E4AF5">
        <w:trPr>
          <w:trHeight w:val="1373"/>
        </w:trPr>
        <w:tc>
          <w:tcPr>
            <w:tcW w:type="dxa" w:w="236"/>
            <w:vMerge w:val="restart"/>
            <w:tcBorders>
              <w:top w:space="0" w:sz="6" w:color="auto" w:val="double"/>
              <w:left w:space="0" w:sz="6" w:color="auto" w:val="double"/>
              <w:bottom w:space="0" w:sz="4" w:color="auto" w:val="single"/>
              <w:right w:space="0" w:sz="6" w:color="auto" w:val="double"/>
            </w:tcBorders>
            <w:shd w:fill="auto" w:color="auto" w:val="clear"/>
            <w:vAlign w:val="center"/>
            <w:hideMark/>
          </w:tcPr>
          <w:p w:rsidRDefault="002E4AF5" w:rsidP="002E4AF5" w:rsidR="002E4AF5" w:rsidRPr="002E4AF5">
            <w:pPr>
              <w:overflowPunct/>
              <w:autoSpaceDE/>
              <w:autoSpaceDN/>
              <w:adjustRightInd/>
              <w:textAlignment w:val="auto"/>
              <w:rPr>
                <w:b/>
                <w:bCs/>
                <w:sz w:val="18"/>
                <w:szCs w:val="18"/>
              </w:rPr>
            </w:pPr>
          </w:p>
        </w:tc>
        <w:tc>
          <w:tcPr>
            <w:tcW w:type="dxa" w:w="1488"/>
            <w:vMerge w:val="restart"/>
            <w:tcBorders>
              <w:top w:space="0" w:sz="6" w:color="auto" w:val="double"/>
              <w:left w:val="nil"/>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rPr>
                <w:b/>
                <w:bCs/>
                <w:sz w:val="18"/>
                <w:szCs w:val="18"/>
              </w:rPr>
            </w:pPr>
            <w:r w:rsidRPr="002E4AF5">
              <w:rPr>
                <w:b/>
                <w:bCs/>
                <w:sz w:val="18"/>
                <w:szCs w:val="18"/>
              </w:rPr>
              <w:t>IME I PREZIME</w:t>
            </w:r>
            <w:r w:rsidRPr="002E4AF5">
              <w:rPr>
                <w:b/>
                <w:bCs/>
                <w:sz w:val="18"/>
                <w:szCs w:val="18"/>
              </w:rPr>
              <w:br/>
              <w:t>/tvrtka ili naziv</w:t>
            </w:r>
            <w:r w:rsidRPr="002E4AF5">
              <w:rPr>
                <w:b/>
                <w:bCs/>
                <w:sz w:val="18"/>
                <w:szCs w:val="18"/>
              </w:rPr>
              <w:br/>
              <w:t>vjerovnika</w:t>
            </w:r>
          </w:p>
        </w:tc>
        <w:tc>
          <w:tcPr>
            <w:tcW w:type="dxa" w:w="851"/>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rPr>
                <w:b/>
                <w:bCs/>
                <w:sz w:val="18"/>
                <w:szCs w:val="18"/>
              </w:rPr>
            </w:pPr>
            <w:r w:rsidRPr="002E4AF5">
              <w:rPr>
                <w:b/>
                <w:bCs/>
                <w:sz w:val="18"/>
                <w:szCs w:val="18"/>
              </w:rPr>
              <w:t>OIB</w:t>
            </w:r>
            <w:r w:rsidRPr="002E4AF5">
              <w:rPr>
                <w:b/>
                <w:bCs/>
                <w:sz w:val="18"/>
                <w:szCs w:val="18"/>
              </w:rPr>
              <w:br/>
              <w:t>vjerovnika</w:t>
            </w:r>
          </w:p>
        </w:tc>
        <w:tc>
          <w:tcPr>
            <w:tcW w:type="dxa" w:w="1134"/>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rPr>
                <w:b/>
                <w:bCs/>
                <w:sz w:val="18"/>
                <w:szCs w:val="18"/>
              </w:rPr>
            </w:pPr>
            <w:r w:rsidRPr="002E4AF5">
              <w:rPr>
                <w:b/>
                <w:bCs/>
                <w:sz w:val="18"/>
                <w:szCs w:val="18"/>
              </w:rPr>
              <w:t>Adresa/sjedište</w:t>
            </w:r>
            <w:r w:rsidRPr="002E4AF5">
              <w:rPr>
                <w:b/>
                <w:bCs/>
                <w:sz w:val="18"/>
                <w:szCs w:val="18"/>
              </w:rPr>
              <w:br/>
              <w:t>vjerovnika</w:t>
            </w:r>
          </w:p>
        </w:tc>
        <w:tc>
          <w:tcPr>
            <w:tcW w:type="dxa" w:w="1276"/>
            <w:vMerge w:val="restart"/>
            <w:tcBorders>
              <w:top w:space="0" w:sz="6" w:color="auto" w:val="double"/>
              <w:left w:space="0" w:sz="4" w:color="auto" w:val="single"/>
              <w:bottom w:val="nil"/>
              <w:right w:val="nil"/>
            </w:tcBorders>
            <w:shd w:fill="auto" w:color="auto" w:val="clear"/>
            <w:vAlign w:val="center"/>
            <w:hideMark/>
          </w:tcPr>
          <w:p w:rsidRDefault="002E4AF5" w:rsidP="002E4AF5" w:rsidR="002E4AF5" w:rsidRPr="002E4AF5">
            <w:pPr>
              <w:overflowPunct/>
              <w:autoSpaceDE/>
              <w:autoSpaceDN/>
              <w:adjustRightInd/>
              <w:jc w:val="center"/>
              <w:textAlignment w:val="auto"/>
              <w:rPr>
                <w:b/>
                <w:bCs/>
                <w:sz w:val="18"/>
                <w:szCs w:val="18"/>
              </w:rPr>
            </w:pPr>
            <w:r w:rsidRPr="002E4AF5">
              <w:rPr>
                <w:b/>
                <w:bCs/>
                <w:sz w:val="18"/>
                <w:szCs w:val="18"/>
              </w:rPr>
              <w:t xml:space="preserve"> Javna knjiga u koju je razlučno pravo upisano</w:t>
            </w:r>
            <w:r w:rsidRPr="002E4AF5">
              <w:rPr>
                <w:b/>
                <w:bCs/>
                <w:sz w:val="18"/>
                <w:szCs w:val="18"/>
              </w:rPr>
              <w:br/>
            </w:r>
            <w:r w:rsidRPr="002E4AF5">
              <w:rPr>
                <w:b/>
                <w:bCs/>
                <w:sz w:val="18"/>
                <w:szCs w:val="18"/>
              </w:rPr>
              <w:br/>
              <w:t xml:space="preserve"> </w:t>
            </w:r>
          </w:p>
        </w:tc>
        <w:tc>
          <w:tcPr>
            <w:tcW w:type="dxa" w:w="992"/>
            <w:vMerge w:val="restart"/>
            <w:tcBorders>
              <w:top w:space="0" w:sz="6" w:color="auto" w:val="double"/>
              <w:left w:space="0" w:sz="4" w:color="auto" w:val="single"/>
              <w:bottom w:val="nil"/>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rPr>
                <w:b/>
                <w:bCs/>
                <w:sz w:val="18"/>
                <w:szCs w:val="18"/>
              </w:rPr>
            </w:pPr>
            <w:r w:rsidRPr="002E4AF5">
              <w:rPr>
                <w:b/>
                <w:bCs/>
                <w:sz w:val="18"/>
                <w:szCs w:val="18"/>
              </w:rPr>
              <w:br/>
            </w:r>
            <w:r w:rsidRPr="002E4AF5">
              <w:rPr>
                <w:b/>
                <w:bCs/>
                <w:sz w:val="18"/>
                <w:szCs w:val="18"/>
              </w:rPr>
              <w:br/>
              <w:t>Iznos tražbine osigurane razlučnim pravom</w:t>
            </w:r>
          </w:p>
        </w:tc>
        <w:tc>
          <w:tcPr>
            <w:tcW w:type="dxa" w:w="1134"/>
            <w:vMerge w:val="restart"/>
            <w:tcBorders>
              <w:top w:space="0" w:sz="6" w:color="auto" w:val="double"/>
              <w:left w:space="0" w:sz="4" w:color="auto" w:val="single"/>
              <w:bottom w:val="nil"/>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rPr>
                <w:b/>
                <w:bCs/>
                <w:sz w:val="18"/>
                <w:szCs w:val="18"/>
              </w:rPr>
            </w:pPr>
            <w:r w:rsidRPr="002E4AF5">
              <w:rPr>
                <w:b/>
                <w:bCs/>
                <w:sz w:val="18"/>
                <w:szCs w:val="18"/>
              </w:rPr>
              <w:br/>
            </w:r>
            <w:r w:rsidRPr="002E4AF5">
              <w:rPr>
                <w:b/>
                <w:bCs/>
                <w:sz w:val="18"/>
                <w:szCs w:val="18"/>
              </w:rPr>
              <w:br/>
              <w:t>Pravnu osnovu tražbine osigurane razlučnim pravom</w:t>
            </w:r>
          </w:p>
        </w:tc>
        <w:tc>
          <w:tcPr>
            <w:tcW w:type="dxa" w:w="2835"/>
            <w:vMerge w:val="restart"/>
            <w:tcBorders>
              <w:top w:space="0" w:sz="6" w:color="auto" w:val="double"/>
              <w:left w:space="0" w:sz="4" w:color="auto" w:val="single"/>
              <w:bottom w:space="0" w:sz="6" w:color="000000" w:val="double"/>
              <w:right w:space="0" w:sz="6" w:color="auto" w:val="double"/>
            </w:tcBorders>
            <w:shd w:fill="auto" w:color="auto" w:val="clear"/>
            <w:vAlign w:val="center"/>
            <w:hideMark/>
          </w:tcPr>
          <w:p w:rsidRDefault="002E4AF5" w:rsidP="002E4AF5" w:rsidR="002E4AF5" w:rsidRPr="002E4AF5">
            <w:pPr>
              <w:overflowPunct/>
              <w:autoSpaceDE/>
              <w:autoSpaceDN/>
              <w:adjustRightInd/>
              <w:jc w:val="center"/>
              <w:textAlignment w:val="auto"/>
              <w:rPr>
                <w:b/>
                <w:bCs/>
                <w:sz w:val="18"/>
                <w:szCs w:val="18"/>
              </w:rPr>
            </w:pPr>
            <w:r w:rsidRPr="002E4AF5">
              <w:rPr>
                <w:b/>
                <w:bCs/>
                <w:sz w:val="18"/>
                <w:szCs w:val="18"/>
              </w:rPr>
              <w:br/>
            </w:r>
            <w:r w:rsidRPr="002E4AF5">
              <w:rPr>
                <w:b/>
                <w:bCs/>
                <w:sz w:val="18"/>
                <w:szCs w:val="18"/>
              </w:rPr>
              <w:br/>
            </w:r>
            <w:r w:rsidRPr="002E4AF5">
              <w:rPr>
                <w:b/>
                <w:bCs/>
                <w:sz w:val="18"/>
                <w:szCs w:val="18"/>
              </w:rPr>
              <w:br/>
              <w:t xml:space="preserve">Dio imovine na koji se odnosi razlučno pravo </w:t>
            </w:r>
          </w:p>
        </w:tc>
      </w:tr>
      <w:tr w:rsidTr="002E4AF5" w:rsidR="002E4AF5" w:rsidRPr="002E4AF5">
        <w:trPr>
          <w:trHeight w:val="207"/>
        </w:trPr>
        <w:tc>
          <w:tcPr>
            <w:tcW w:type="dxa" w:w="236"/>
            <w:vMerge/>
            <w:tcBorders>
              <w:top w:space="0" w:sz="6" w:color="auto" w:val="double"/>
              <w:left w:space="0" w:sz="6" w:color="auto" w:val="double"/>
              <w:bottom w:space="0" w:sz="4" w:color="auto" w:val="single"/>
              <w:right w:space="0" w:sz="6" w:color="auto" w:val="double"/>
            </w:tcBorders>
            <w:vAlign w:val="center"/>
            <w:hideMark/>
          </w:tcPr>
          <w:p w:rsidRDefault="002E4AF5" w:rsidP="002E4AF5" w:rsidR="002E4AF5" w:rsidRPr="002E4AF5">
            <w:pPr>
              <w:overflowPunct/>
              <w:autoSpaceDE/>
              <w:autoSpaceDN/>
              <w:adjustRightInd/>
              <w:textAlignment w:val="auto"/>
              <w:rPr>
                <w:b/>
                <w:bCs/>
                <w:sz w:val="18"/>
                <w:szCs w:val="18"/>
              </w:rPr>
            </w:pPr>
          </w:p>
        </w:tc>
        <w:tc>
          <w:tcPr>
            <w:tcW w:type="dxa" w:w="1488"/>
            <w:vMerge/>
            <w:tcBorders>
              <w:top w:space="0" w:sz="6" w:color="auto" w:val="double"/>
              <w:left w:val="nil"/>
              <w:bottom w:space="0" w:sz="4" w:color="auto" w:val="single"/>
              <w:right w:space="0" w:sz="4" w:color="auto" w:val="single"/>
            </w:tcBorders>
            <w:vAlign w:val="center"/>
            <w:hideMark/>
          </w:tcPr>
          <w:p w:rsidRDefault="002E4AF5" w:rsidP="002E4AF5" w:rsidR="002E4AF5" w:rsidRPr="002E4AF5">
            <w:pPr>
              <w:overflowPunct/>
              <w:autoSpaceDE/>
              <w:autoSpaceDN/>
              <w:adjustRightInd/>
              <w:textAlignment w:val="auto"/>
              <w:rPr>
                <w:b/>
                <w:bCs/>
                <w:sz w:val="18"/>
                <w:szCs w:val="18"/>
              </w:rPr>
            </w:pPr>
          </w:p>
        </w:tc>
        <w:tc>
          <w:tcPr>
            <w:tcW w:type="dxa" w:w="851"/>
            <w:vMerge/>
            <w:tcBorders>
              <w:top w:space="0" w:sz="6" w:color="auto" w:val="double"/>
              <w:left w:space="0" w:sz="4" w:color="auto" w:val="single"/>
              <w:bottom w:space="0" w:sz="4" w:color="auto" w:val="single"/>
              <w:right w:space="0" w:sz="4" w:color="auto" w:val="single"/>
            </w:tcBorders>
            <w:vAlign w:val="center"/>
            <w:hideMark/>
          </w:tcPr>
          <w:p w:rsidRDefault="002E4AF5" w:rsidP="002E4AF5" w:rsidR="002E4AF5" w:rsidRPr="002E4AF5">
            <w:pPr>
              <w:overflowPunct/>
              <w:autoSpaceDE/>
              <w:autoSpaceDN/>
              <w:adjustRightInd/>
              <w:textAlignment w:val="auto"/>
              <w:rPr>
                <w:b/>
                <w:bCs/>
                <w:sz w:val="18"/>
                <w:szCs w:val="18"/>
              </w:rPr>
            </w:pPr>
          </w:p>
        </w:tc>
        <w:tc>
          <w:tcPr>
            <w:tcW w:type="dxa" w:w="1134"/>
            <w:vMerge/>
            <w:tcBorders>
              <w:top w:space="0" w:sz="6" w:color="auto" w:val="double"/>
              <w:left w:space="0" w:sz="4" w:color="auto" w:val="single"/>
              <w:bottom w:space="0" w:sz="4" w:color="auto" w:val="single"/>
              <w:right w:space="0" w:sz="4" w:color="auto" w:val="single"/>
            </w:tcBorders>
            <w:vAlign w:val="center"/>
            <w:hideMark/>
          </w:tcPr>
          <w:p w:rsidRDefault="002E4AF5" w:rsidP="002E4AF5" w:rsidR="002E4AF5" w:rsidRPr="002E4AF5">
            <w:pPr>
              <w:overflowPunct/>
              <w:autoSpaceDE/>
              <w:autoSpaceDN/>
              <w:adjustRightInd/>
              <w:textAlignment w:val="auto"/>
              <w:rPr>
                <w:b/>
                <w:bCs/>
                <w:sz w:val="18"/>
                <w:szCs w:val="18"/>
              </w:rPr>
            </w:pPr>
          </w:p>
        </w:tc>
        <w:tc>
          <w:tcPr>
            <w:tcW w:type="dxa" w:w="1276"/>
            <w:vMerge/>
            <w:tcBorders>
              <w:top w:space="0" w:sz="6" w:color="auto" w:val="double"/>
              <w:left w:space="0" w:sz="4" w:color="auto" w:val="single"/>
              <w:bottom w:val="nil"/>
              <w:right w:val="nil"/>
            </w:tcBorders>
            <w:vAlign w:val="center"/>
            <w:hideMark/>
          </w:tcPr>
          <w:p w:rsidRDefault="002E4AF5" w:rsidP="002E4AF5" w:rsidR="002E4AF5" w:rsidRPr="002E4AF5">
            <w:pPr>
              <w:overflowPunct/>
              <w:autoSpaceDE/>
              <w:autoSpaceDN/>
              <w:adjustRightInd/>
              <w:textAlignment w:val="auto"/>
              <w:rPr>
                <w:b/>
                <w:bCs/>
                <w:sz w:val="18"/>
                <w:szCs w:val="18"/>
              </w:rPr>
            </w:pPr>
          </w:p>
        </w:tc>
        <w:tc>
          <w:tcPr>
            <w:tcW w:type="dxa" w:w="992"/>
            <w:vMerge/>
            <w:tcBorders>
              <w:top w:space="0" w:sz="6" w:color="auto" w:val="double"/>
              <w:left w:space="0" w:sz="4" w:color="auto" w:val="single"/>
              <w:bottom w:val="nil"/>
              <w:right w:space="0" w:sz="4" w:color="auto" w:val="single"/>
            </w:tcBorders>
            <w:vAlign w:val="center"/>
            <w:hideMark/>
          </w:tcPr>
          <w:p w:rsidRDefault="002E4AF5" w:rsidP="002E4AF5" w:rsidR="002E4AF5" w:rsidRPr="002E4AF5">
            <w:pPr>
              <w:overflowPunct/>
              <w:autoSpaceDE/>
              <w:autoSpaceDN/>
              <w:adjustRightInd/>
              <w:textAlignment w:val="auto"/>
              <w:rPr>
                <w:b/>
                <w:bCs/>
                <w:sz w:val="18"/>
                <w:szCs w:val="18"/>
              </w:rPr>
            </w:pPr>
          </w:p>
        </w:tc>
        <w:tc>
          <w:tcPr>
            <w:tcW w:type="dxa" w:w="1134"/>
            <w:vMerge/>
            <w:tcBorders>
              <w:top w:space="0" w:sz="6" w:color="auto" w:val="double"/>
              <w:left w:space="0" w:sz="4" w:color="auto" w:val="single"/>
              <w:bottom w:val="nil"/>
              <w:right w:space="0" w:sz="4" w:color="auto" w:val="single"/>
            </w:tcBorders>
            <w:vAlign w:val="center"/>
            <w:hideMark/>
          </w:tcPr>
          <w:p w:rsidRDefault="002E4AF5" w:rsidP="002E4AF5" w:rsidR="002E4AF5" w:rsidRPr="002E4AF5">
            <w:pPr>
              <w:overflowPunct/>
              <w:autoSpaceDE/>
              <w:autoSpaceDN/>
              <w:adjustRightInd/>
              <w:textAlignment w:val="auto"/>
              <w:rPr>
                <w:b/>
                <w:bCs/>
                <w:sz w:val="18"/>
                <w:szCs w:val="18"/>
              </w:rPr>
            </w:pPr>
          </w:p>
        </w:tc>
        <w:tc>
          <w:tcPr>
            <w:tcW w:type="dxa" w:w="2835"/>
            <w:vMerge/>
            <w:tcBorders>
              <w:top w:space="0" w:sz="6" w:color="auto" w:val="double"/>
              <w:left w:space="0" w:sz="4" w:color="auto" w:val="single"/>
              <w:bottom w:space="0" w:sz="6" w:color="000000" w:val="double"/>
              <w:right w:space="0" w:sz="6" w:color="auto" w:val="double"/>
            </w:tcBorders>
            <w:vAlign w:val="center"/>
            <w:hideMark/>
          </w:tcPr>
          <w:p w:rsidRDefault="002E4AF5" w:rsidP="002E4AF5" w:rsidR="002E4AF5" w:rsidRPr="002E4AF5">
            <w:pPr>
              <w:overflowPunct/>
              <w:autoSpaceDE/>
              <w:autoSpaceDN/>
              <w:adjustRightInd/>
              <w:textAlignment w:val="auto"/>
              <w:rPr>
                <w:b/>
                <w:bCs/>
                <w:sz w:val="18"/>
                <w:szCs w:val="18"/>
              </w:rPr>
            </w:pPr>
          </w:p>
        </w:tc>
      </w:tr>
      <w:tr w:rsidTr="002E4AF5" w:rsidR="002E4AF5" w:rsidRPr="002E4AF5">
        <w:trPr>
          <w:trHeight w:val="285"/>
        </w:trPr>
        <w:tc>
          <w:tcPr>
            <w:tcW w:type="dxa" w:w="236"/>
            <w:tcBorders>
              <w:top w:space="0" w:sz="6" w:color="auto" w:val="double"/>
              <w:left w:space="0" w:sz="6" w:color="auto" w:val="double"/>
              <w:bottom w:space="0" w:sz="6" w:color="auto" w:val="doub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rPr>
                <w:b/>
                <w:bCs/>
              </w:rPr>
            </w:pPr>
            <w:r w:rsidRPr="002E4AF5">
              <w:rPr>
                <w:b/>
                <w:bCs/>
              </w:rPr>
              <w:t>1</w:t>
            </w:r>
          </w:p>
        </w:tc>
        <w:tc>
          <w:tcPr>
            <w:tcW w:type="dxa" w:w="1488"/>
            <w:tcBorders>
              <w:top w:space="0" w:sz="6" w:color="auto" w:val="double"/>
              <w:left w:val="nil"/>
              <w:bottom w:space="0" w:sz="6" w:color="auto" w:val="doub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rPr>
                <w:b/>
                <w:bCs/>
              </w:rPr>
            </w:pPr>
            <w:r w:rsidRPr="002E4AF5">
              <w:rPr>
                <w:b/>
                <w:bCs/>
              </w:rPr>
              <w:t>2</w:t>
            </w:r>
          </w:p>
        </w:tc>
        <w:tc>
          <w:tcPr>
            <w:tcW w:type="dxa" w:w="851"/>
            <w:tcBorders>
              <w:top w:space="0" w:sz="6" w:color="auto" w:val="double"/>
              <w:left w:val="nil"/>
              <w:bottom w:space="0" w:sz="6" w:color="auto" w:val="doub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rPr>
                <w:b/>
                <w:bCs/>
              </w:rPr>
            </w:pPr>
            <w:r w:rsidRPr="002E4AF5">
              <w:rPr>
                <w:b/>
                <w:bCs/>
              </w:rPr>
              <w:t>3</w:t>
            </w:r>
          </w:p>
        </w:tc>
        <w:tc>
          <w:tcPr>
            <w:tcW w:type="dxa" w:w="1134"/>
            <w:tcBorders>
              <w:top w:space="0" w:sz="6" w:color="auto" w:val="double"/>
              <w:left w:val="nil"/>
              <w:bottom w:space="0" w:sz="6" w:color="auto" w:val="doub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rPr>
                <w:b/>
                <w:bCs/>
              </w:rPr>
            </w:pPr>
            <w:r w:rsidRPr="002E4AF5">
              <w:rPr>
                <w:b/>
                <w:bCs/>
              </w:rPr>
              <w:t>4</w:t>
            </w:r>
          </w:p>
        </w:tc>
        <w:tc>
          <w:tcPr>
            <w:tcW w:type="dxa" w:w="1276"/>
            <w:tcBorders>
              <w:top w:space="0" w:sz="6" w:color="auto" w:val="double"/>
              <w:left w:val="nil"/>
              <w:bottom w:space="0" w:sz="6" w:color="auto" w:val="doub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rPr>
                <w:b/>
                <w:bCs/>
              </w:rPr>
            </w:pPr>
            <w:r w:rsidRPr="002E4AF5">
              <w:rPr>
                <w:b/>
                <w:bCs/>
              </w:rPr>
              <w:t>5</w:t>
            </w:r>
          </w:p>
        </w:tc>
        <w:tc>
          <w:tcPr>
            <w:tcW w:type="dxa" w:w="992"/>
            <w:tcBorders>
              <w:top w:space="0" w:sz="6" w:color="auto" w:val="double"/>
              <w:left w:val="nil"/>
              <w:bottom w:space="0" w:sz="6" w:color="auto" w:val="double"/>
              <w:right w:space="0" w:sz="4" w:color="auto" w:val="single"/>
            </w:tcBorders>
            <w:shd w:fill="auto" w:color="auto" w:val="clear"/>
            <w:noWrap/>
            <w:vAlign w:val="center"/>
            <w:hideMark/>
          </w:tcPr>
          <w:p w:rsidRDefault="002E4AF5" w:rsidP="002E4AF5" w:rsidR="002E4AF5" w:rsidRPr="002E4AF5">
            <w:pPr>
              <w:overflowPunct/>
              <w:autoSpaceDE/>
              <w:autoSpaceDN/>
              <w:adjustRightInd/>
              <w:jc w:val="center"/>
              <w:textAlignment w:val="auto"/>
              <w:rPr>
                <w:b/>
                <w:bCs/>
              </w:rPr>
            </w:pPr>
            <w:r w:rsidRPr="002E4AF5">
              <w:rPr>
                <w:b/>
                <w:bCs/>
              </w:rPr>
              <w:t>6</w:t>
            </w:r>
          </w:p>
        </w:tc>
        <w:tc>
          <w:tcPr>
            <w:tcW w:type="dxa" w:w="1134"/>
            <w:tcBorders>
              <w:top w:space="0" w:sz="6" w:color="auto" w:val="double"/>
              <w:left w:val="nil"/>
              <w:bottom w:space="0" w:sz="6" w:color="auto" w:val="double"/>
              <w:right w:space="0" w:sz="4" w:color="auto" w:val="single"/>
            </w:tcBorders>
            <w:shd w:fill="auto" w:color="auto" w:val="clear"/>
            <w:noWrap/>
            <w:vAlign w:val="center"/>
            <w:hideMark/>
          </w:tcPr>
          <w:p w:rsidRDefault="002E4AF5" w:rsidP="002E4AF5" w:rsidR="002E4AF5" w:rsidRPr="002E4AF5">
            <w:pPr>
              <w:overflowPunct/>
              <w:autoSpaceDE/>
              <w:autoSpaceDN/>
              <w:adjustRightInd/>
              <w:jc w:val="center"/>
              <w:textAlignment w:val="auto"/>
              <w:rPr>
                <w:b/>
                <w:bCs/>
              </w:rPr>
            </w:pPr>
            <w:r w:rsidRPr="002E4AF5">
              <w:rPr>
                <w:b/>
                <w:bCs/>
              </w:rPr>
              <w:t>7</w:t>
            </w:r>
          </w:p>
        </w:tc>
        <w:tc>
          <w:tcPr>
            <w:tcW w:type="dxa" w:w="2835"/>
            <w:tcBorders>
              <w:top w:val="nil"/>
              <w:left w:val="nil"/>
              <w:bottom w:space="0" w:sz="6" w:color="auto" w:val="double"/>
              <w:right w:space="0" w:sz="6" w:color="auto" w:val="double"/>
            </w:tcBorders>
            <w:shd w:fill="auto" w:color="auto" w:val="clear"/>
            <w:noWrap/>
            <w:vAlign w:val="center"/>
            <w:hideMark/>
          </w:tcPr>
          <w:p w:rsidRDefault="002E4AF5" w:rsidP="002E4AF5" w:rsidR="002E4AF5" w:rsidRPr="002E4AF5">
            <w:pPr>
              <w:overflowPunct/>
              <w:autoSpaceDE/>
              <w:autoSpaceDN/>
              <w:adjustRightInd/>
              <w:jc w:val="center"/>
              <w:textAlignment w:val="auto"/>
              <w:rPr>
                <w:b/>
                <w:bCs/>
              </w:rPr>
            </w:pPr>
            <w:r w:rsidRPr="002E4AF5">
              <w:rPr>
                <w:b/>
                <w:bCs/>
              </w:rPr>
              <w:t>8</w:t>
            </w:r>
          </w:p>
        </w:tc>
      </w:tr>
      <w:tr w:rsidTr="002E4AF5" w:rsidR="002E4AF5" w:rsidRPr="002E4AF5">
        <w:trPr>
          <w:trHeight w:val="3795"/>
        </w:trPr>
        <w:tc>
          <w:tcPr>
            <w:tcW w:type="dxa" w:w="236"/>
            <w:tcBorders>
              <w:top w:space="0" w:sz="4" w:color="auto" w:val="single"/>
              <w:left w:space="0" w:sz="6" w:color="auto" w:val="double"/>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pPr>
            <w:r w:rsidRPr="002E4AF5">
              <w:t>002</w:t>
            </w:r>
          </w:p>
        </w:tc>
        <w:tc>
          <w:tcPr>
            <w:tcW w:type="dxa" w:w="1488"/>
            <w:tcBorders>
              <w:top w:space="0" w:sz="4" w:color="auto" w:val="single"/>
              <w:left w:val="nil"/>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pPr>
            <w:r w:rsidRPr="002E4AF5">
              <w:rPr>
                <w:b/>
                <w:bCs/>
              </w:rPr>
              <w:t>REPUBLIKA HRVATSKA, Ministarstvo financija, Porezna uprava,</w:t>
            </w:r>
            <w:r w:rsidRPr="002E4AF5">
              <w:t xml:space="preserve"> Područni ured Zagreb, zastupana po Županijskom državnom odvjetništvu u Zagrebu</w:t>
            </w:r>
          </w:p>
        </w:tc>
        <w:tc>
          <w:tcPr>
            <w:tcW w:type="dxa" w:w="851"/>
            <w:tcBorders>
              <w:top w:space="0" w:sz="4" w:color="auto" w:val="single"/>
              <w:left w:val="nil"/>
              <w:bottom w:space="0" w:sz="4" w:color="auto" w:val="single"/>
              <w:right w:space="0" w:sz="4" w:color="auto" w:val="single"/>
            </w:tcBorders>
            <w:shd w:fill="auto" w:color="auto" w:val="clear"/>
            <w:noWrap/>
            <w:vAlign w:val="center"/>
            <w:hideMark/>
          </w:tcPr>
          <w:p w:rsidRDefault="002E4AF5" w:rsidP="002E4AF5" w:rsidR="002E4AF5" w:rsidRPr="002E4AF5">
            <w:pPr>
              <w:overflowPunct/>
              <w:autoSpaceDE/>
              <w:autoSpaceDN/>
              <w:adjustRightInd/>
              <w:jc w:val="center"/>
              <w:textAlignment w:val="auto"/>
            </w:pPr>
            <w:r w:rsidRPr="002E4AF5">
              <w:t>18683136487</w:t>
            </w:r>
          </w:p>
        </w:tc>
        <w:tc>
          <w:tcPr>
            <w:tcW w:type="dxa" w:w="1134"/>
            <w:tcBorders>
              <w:top w:space="0" w:sz="4" w:color="auto" w:val="single"/>
              <w:left w:val="nil"/>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pPr>
            <w:r w:rsidRPr="002E4AF5">
              <w:t>Zagreb,</w:t>
            </w:r>
            <w:r w:rsidRPr="002E4AF5">
              <w:br/>
              <w:t>Savska cesta 41</w:t>
            </w:r>
          </w:p>
        </w:tc>
        <w:tc>
          <w:tcPr>
            <w:tcW w:type="dxa" w:w="1276"/>
            <w:tcBorders>
              <w:top w:val="nil"/>
              <w:left w:val="nil"/>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pPr>
            <w:r w:rsidRPr="002E4AF5">
              <w:t>Porezna rješenja</w:t>
            </w:r>
          </w:p>
        </w:tc>
        <w:tc>
          <w:tcPr>
            <w:tcW w:type="dxa" w:w="992"/>
            <w:tcBorders>
              <w:top w:val="nil"/>
              <w:left w:val="nil"/>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pPr>
            <w:r w:rsidRPr="002E4AF5">
              <w:t>415.680,02</w:t>
            </w:r>
          </w:p>
        </w:tc>
        <w:tc>
          <w:tcPr>
            <w:tcW w:type="dxa" w:w="1134"/>
            <w:tcBorders>
              <w:top w:space="0" w:sz="4" w:color="auto" w:val="single"/>
              <w:left w:val="nil"/>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pPr>
            <w:r w:rsidRPr="002E4AF5">
              <w:t>Rješenje Općinskog suda u Šibeniku Ovrv-707/14 kojim je uknjiženo založno pravo.</w:t>
            </w:r>
          </w:p>
        </w:tc>
        <w:tc>
          <w:tcPr>
            <w:tcW w:type="dxa" w:w="2835"/>
            <w:tcBorders>
              <w:top w:space="0" w:sz="4" w:color="auto" w:val="single"/>
              <w:left w:val="nil"/>
              <w:bottom w:space="0" w:sz="4" w:color="auto" w:val="single"/>
              <w:right w:space="0" w:sz="6" w:color="auto" w:val="double"/>
            </w:tcBorders>
            <w:shd w:fill="auto" w:color="auto" w:val="clear"/>
            <w:vAlign w:val="center"/>
            <w:hideMark/>
          </w:tcPr>
          <w:p w:rsidRDefault="002E4AF5" w:rsidP="002E4AF5" w:rsidR="002E4AF5" w:rsidRPr="002E4AF5">
            <w:pPr>
              <w:overflowPunct/>
              <w:autoSpaceDE/>
              <w:autoSpaceDN/>
              <w:adjustRightInd/>
              <w:jc w:val="center"/>
              <w:textAlignment w:val="auto"/>
            </w:pPr>
            <w:r w:rsidRPr="002E4AF5">
              <w:t>Općinski sud u Šibeniku</w:t>
            </w:r>
            <w:r w:rsidRPr="002E4AF5">
              <w:br/>
              <w:t>Zemljišno knjižni odjel  Šibenik</w:t>
            </w:r>
            <w:r w:rsidRPr="002E4AF5">
              <w:br/>
              <w:t>1.- 19/100 dijela nekretnine  ETAŽNO VLASNIŠTVO (E-2)  u naravi stan A2</w:t>
            </w:r>
            <w:r w:rsidRPr="002E4AF5">
              <w:br/>
              <w:t xml:space="preserve"> upisane u zk.ul. 4527 k.o. Rogoznica,  zk.č.br. 2058/20 u prizemlju, površine 62,00 m2, ulaz iz unutarnjeg stubišta desno, koji se sastoji od kuhinje s dnevnim boravkom, kupaonice, dvije spavaće sobe, predprostora i dvije terase</w:t>
            </w:r>
            <w:r w:rsidRPr="002E4AF5">
              <w:br/>
              <w:t>2. - vlasnički dio 1/1 nekretnine upisane u zk.ul. 2165, k.o. Rogoznica, kč.br. 2067/7 u naravi pašnjak , površine 52m2</w:t>
            </w:r>
            <w:r w:rsidRPr="002E4AF5">
              <w:br/>
              <w:t>3. - 109/856 dijela nekretnine  ETAŽNO VLASNIŠTVO (E-1)  u naravi stan S9</w:t>
            </w:r>
            <w:r w:rsidRPr="002E4AF5">
              <w:br/>
              <w:t xml:space="preserve"> upisane u zk.ul. 4708, k.o. Rogoznica,  zk.č.br. 2065/1 u podrumu, površine 72,31 m2,  koji se sastoji od kuhinje, blagovaonice is dnevnog boravka, sobe, hodnika, kupaonice s pripadajućom terasom netto korisne površine 12,58 m2, otvoren vanjskim stubištem netto korisne površine 16,27 m2 i parkirališnim mjestom PM9 neto korisne površine 8,30 m2</w:t>
            </w:r>
          </w:p>
        </w:tc>
      </w:tr>
      <w:tr w:rsidTr="002E4AF5" w:rsidR="002E4AF5" w:rsidRPr="002E4AF5">
        <w:trPr>
          <w:trHeight w:val="3990"/>
        </w:trPr>
        <w:tc>
          <w:tcPr>
            <w:tcW w:type="dxa" w:w="236"/>
            <w:tcBorders>
              <w:top w:val="nil"/>
              <w:left w:space="0" w:sz="6" w:color="auto" w:val="double"/>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pPr>
            <w:r w:rsidRPr="002E4AF5">
              <w:lastRenderedPageBreak/>
              <w:t>003</w:t>
            </w:r>
          </w:p>
        </w:tc>
        <w:tc>
          <w:tcPr>
            <w:tcW w:type="dxa" w:w="1488"/>
            <w:tcBorders>
              <w:top w:val="nil"/>
              <w:left w:val="nil"/>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rPr>
                <w:b/>
                <w:bCs/>
              </w:rPr>
            </w:pPr>
            <w:r w:rsidRPr="002E4AF5">
              <w:rPr>
                <w:b/>
                <w:bCs/>
              </w:rPr>
              <w:t>ŠTEDBANKA d.d.</w:t>
            </w:r>
            <w:r w:rsidRPr="002E4AF5">
              <w:rPr>
                <w:b/>
                <w:bCs/>
              </w:rPr>
              <w:br/>
            </w:r>
            <w:r w:rsidRPr="002E4AF5">
              <w:rPr>
                <w:b/>
                <w:bCs/>
              </w:rPr>
              <w:br/>
              <w:t>IBAN:1524830051000000013</w:t>
            </w:r>
          </w:p>
        </w:tc>
        <w:tc>
          <w:tcPr>
            <w:tcW w:type="dxa" w:w="851"/>
            <w:tcBorders>
              <w:top w:val="nil"/>
              <w:left w:val="nil"/>
              <w:bottom w:space="0" w:sz="4" w:color="auto" w:val="single"/>
              <w:right w:space="0" w:sz="4" w:color="auto" w:val="single"/>
            </w:tcBorders>
            <w:shd w:fill="auto" w:color="auto" w:val="clear"/>
            <w:noWrap/>
            <w:vAlign w:val="center"/>
            <w:hideMark/>
          </w:tcPr>
          <w:p w:rsidRDefault="002E4AF5" w:rsidP="002E4AF5" w:rsidR="002E4AF5" w:rsidRPr="002E4AF5">
            <w:pPr>
              <w:overflowPunct/>
              <w:autoSpaceDE/>
              <w:autoSpaceDN/>
              <w:adjustRightInd/>
              <w:jc w:val="center"/>
              <w:textAlignment w:val="auto"/>
            </w:pPr>
            <w:r w:rsidRPr="002E4AF5">
              <w:t>58063088591</w:t>
            </w:r>
          </w:p>
        </w:tc>
        <w:tc>
          <w:tcPr>
            <w:tcW w:type="dxa" w:w="1134"/>
            <w:tcBorders>
              <w:top w:val="nil"/>
              <w:left w:val="nil"/>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pPr>
            <w:r w:rsidRPr="002E4AF5">
              <w:t>Zagreb,</w:t>
            </w:r>
            <w:r w:rsidRPr="002E4AF5">
              <w:br/>
              <w:t>Slavonska avenija 3</w:t>
            </w:r>
          </w:p>
        </w:tc>
        <w:tc>
          <w:tcPr>
            <w:tcW w:type="dxa" w:w="1276"/>
            <w:tcBorders>
              <w:top w:val="nil"/>
              <w:left w:val="nil"/>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pPr>
            <w:r w:rsidRPr="002E4AF5">
              <w:t>Općisnki  sud uŠibeniku</w:t>
            </w:r>
            <w:r w:rsidRPr="002E4AF5">
              <w:br/>
              <w:t>Zemljišno knjižni odjel Šibenik</w:t>
            </w:r>
          </w:p>
        </w:tc>
        <w:tc>
          <w:tcPr>
            <w:tcW w:type="dxa" w:w="992"/>
            <w:tcBorders>
              <w:top w:val="nil"/>
              <w:left w:val="nil"/>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pPr>
            <w:r w:rsidRPr="002E4AF5">
              <w:t>714.654,28</w:t>
            </w:r>
          </w:p>
        </w:tc>
        <w:tc>
          <w:tcPr>
            <w:tcW w:type="dxa" w:w="1134"/>
            <w:tcBorders>
              <w:top w:val="nil"/>
              <w:left w:val="nil"/>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pPr>
            <w:r w:rsidRPr="002E4AF5">
              <w:t xml:space="preserve">Ugovor o kratkoročnom kreditu br. 47-40-62980-0  Dodaci 01-11. </w:t>
            </w:r>
            <w:r w:rsidRPr="002E4AF5">
              <w:br/>
              <w:t xml:space="preserve">Sporazum br. 25/2009 o založnom pravu ma nekretninama OV-9643/09 te pripadajući Anex br .I-VII </w:t>
            </w:r>
            <w:r w:rsidRPr="002E4AF5">
              <w:br/>
              <w:t>Ovršni postupak pred Općinskim sudom u Šibeniku Ovrv-65/14</w:t>
            </w:r>
          </w:p>
        </w:tc>
        <w:tc>
          <w:tcPr>
            <w:tcW w:type="dxa" w:w="2835"/>
            <w:tcBorders>
              <w:top w:val="nil"/>
              <w:left w:val="nil"/>
              <w:bottom w:space="0" w:sz="4" w:color="auto" w:val="single"/>
              <w:right w:space="0" w:sz="6" w:color="auto" w:val="double"/>
            </w:tcBorders>
            <w:shd w:fill="auto" w:color="auto" w:val="clear"/>
            <w:vAlign w:val="center"/>
            <w:hideMark/>
          </w:tcPr>
          <w:p w:rsidRDefault="002E4AF5" w:rsidP="002E4AF5" w:rsidR="002E4AF5" w:rsidRPr="002E4AF5">
            <w:pPr>
              <w:overflowPunct/>
              <w:autoSpaceDE/>
              <w:autoSpaceDN/>
              <w:adjustRightInd/>
              <w:jc w:val="center"/>
              <w:textAlignment w:val="auto"/>
            </w:pPr>
            <w:r w:rsidRPr="002E4AF5">
              <w:t>Općinski sud u Šibeniku</w:t>
            </w:r>
            <w:r w:rsidRPr="002E4AF5">
              <w:br/>
              <w:t>Zemljišno knjižni odjel  Šibenik</w:t>
            </w:r>
            <w:r w:rsidRPr="002E4AF5">
              <w:br/>
              <w:t xml:space="preserve">1. - 19/100 dijela nekretnine  ETAŽNO VLASNIŠTVO (E-2) </w:t>
            </w:r>
            <w:r w:rsidRPr="002E4AF5">
              <w:br/>
              <w:t xml:space="preserve"> u naravi stan A2 upisane u zk.ul. 4527 ,k.o. Rogoznica, </w:t>
            </w:r>
            <w:r w:rsidRPr="002E4AF5">
              <w:br/>
              <w:t xml:space="preserve"> zk.č.br. 2058/20 u prizemlju, površine 62,00 m2, ulaz iz unutarnjeg stubišta desno, </w:t>
            </w:r>
            <w:r w:rsidRPr="002E4AF5">
              <w:br/>
              <w:t>koji se sastoji od kuhinje s dnevnim boravkom, kupaonice, dvije spavaće sobe, predprostora i dvije terase</w:t>
            </w:r>
          </w:p>
        </w:tc>
      </w:tr>
      <w:tr w:rsidTr="002E4AF5" w:rsidR="002E4AF5" w:rsidRPr="002E4AF5">
        <w:trPr>
          <w:trHeight w:val="4215"/>
        </w:trPr>
        <w:tc>
          <w:tcPr>
            <w:tcW w:type="dxa" w:w="236"/>
            <w:tcBorders>
              <w:top w:val="nil"/>
              <w:left w:space="0" w:sz="6" w:color="auto" w:val="double"/>
              <w:bottom w:space="0" w:sz="4" w:color="auto" w:val="single"/>
              <w:right w:space="0" w:sz="4" w:color="auto" w:val="single"/>
            </w:tcBorders>
            <w:shd w:fill="auto" w:color="auto" w:val="clear"/>
            <w:hideMark/>
          </w:tcPr>
          <w:p w:rsidRDefault="002E4AF5" w:rsidP="002E4AF5" w:rsidR="002E4AF5" w:rsidRPr="002E4AF5">
            <w:pPr>
              <w:overflowPunct/>
              <w:autoSpaceDE/>
              <w:autoSpaceDN/>
              <w:adjustRightInd/>
              <w:jc w:val="center"/>
              <w:textAlignment w:val="auto"/>
            </w:pPr>
            <w:r w:rsidRPr="002E4AF5">
              <w:br/>
            </w:r>
            <w:r w:rsidRPr="002E4AF5">
              <w:br/>
            </w:r>
            <w:r w:rsidRPr="002E4AF5">
              <w:br/>
              <w:t>005</w:t>
            </w:r>
          </w:p>
        </w:tc>
        <w:tc>
          <w:tcPr>
            <w:tcW w:type="dxa" w:w="1488"/>
            <w:tcBorders>
              <w:top w:val="nil"/>
              <w:left w:val="nil"/>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rPr>
                <w:b/>
                <w:bCs/>
              </w:rPr>
            </w:pPr>
            <w:r w:rsidRPr="002E4AF5">
              <w:rPr>
                <w:b/>
                <w:bCs/>
              </w:rPr>
              <w:t>VENETO BANKA d.d.</w:t>
            </w:r>
          </w:p>
        </w:tc>
        <w:tc>
          <w:tcPr>
            <w:tcW w:type="dxa" w:w="851"/>
            <w:tcBorders>
              <w:top w:val="nil"/>
              <w:left w:val="nil"/>
              <w:bottom w:space="0" w:sz="4" w:color="auto" w:val="single"/>
              <w:right w:space="0" w:sz="4" w:color="auto" w:val="single"/>
            </w:tcBorders>
            <w:shd w:fill="auto" w:color="auto" w:val="clear"/>
            <w:noWrap/>
            <w:vAlign w:val="center"/>
            <w:hideMark/>
          </w:tcPr>
          <w:p w:rsidRDefault="002E4AF5" w:rsidP="002E4AF5" w:rsidR="002E4AF5" w:rsidRPr="002E4AF5">
            <w:pPr>
              <w:overflowPunct/>
              <w:autoSpaceDE/>
              <w:autoSpaceDN/>
              <w:adjustRightInd/>
              <w:jc w:val="center"/>
              <w:textAlignment w:val="auto"/>
            </w:pPr>
            <w:r w:rsidRPr="002E4AF5">
              <w:t>81712716992</w:t>
            </w:r>
          </w:p>
        </w:tc>
        <w:tc>
          <w:tcPr>
            <w:tcW w:type="dxa" w:w="1134"/>
            <w:tcBorders>
              <w:top w:val="nil"/>
              <w:left w:val="nil"/>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pPr>
            <w:r w:rsidRPr="002E4AF5">
              <w:t>Zagreb,</w:t>
            </w:r>
            <w:r w:rsidRPr="002E4AF5">
              <w:br/>
              <w:t>Draškovićeva 58</w:t>
            </w:r>
          </w:p>
        </w:tc>
        <w:tc>
          <w:tcPr>
            <w:tcW w:type="dxa" w:w="1276"/>
            <w:tcBorders>
              <w:top w:val="nil"/>
              <w:left w:val="nil"/>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pPr>
            <w:r w:rsidRPr="002E4AF5">
              <w:t>Općisnki  sud uŠibeniku</w:t>
            </w:r>
            <w:r w:rsidRPr="002E4AF5">
              <w:br/>
              <w:t>Zemljišno knjižni odjel Šibenik</w:t>
            </w:r>
          </w:p>
        </w:tc>
        <w:tc>
          <w:tcPr>
            <w:tcW w:type="dxa" w:w="992"/>
            <w:tcBorders>
              <w:top w:val="nil"/>
              <w:left w:val="nil"/>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pPr>
            <w:r w:rsidRPr="002E4AF5">
              <w:t>438.694,03</w:t>
            </w:r>
          </w:p>
        </w:tc>
        <w:tc>
          <w:tcPr>
            <w:tcW w:type="dxa" w:w="1134"/>
            <w:tcBorders>
              <w:top w:val="nil"/>
              <w:left w:val="nil"/>
              <w:bottom w:space="0" w:sz="4" w:color="auto" w:val="single"/>
              <w:right w:space="0" w:sz="4" w:color="auto" w:val="single"/>
            </w:tcBorders>
            <w:shd w:fill="auto" w:color="auto" w:val="clear"/>
            <w:vAlign w:val="center"/>
            <w:hideMark/>
          </w:tcPr>
          <w:p w:rsidRDefault="002E4AF5" w:rsidP="002E4AF5" w:rsidR="002E4AF5" w:rsidRPr="002E4AF5">
            <w:pPr>
              <w:overflowPunct/>
              <w:autoSpaceDE/>
              <w:autoSpaceDN/>
              <w:adjustRightInd/>
              <w:jc w:val="center"/>
              <w:textAlignment w:val="auto"/>
            </w:pPr>
            <w:r w:rsidRPr="002E4AF5">
              <w:t>Ugovor o dugoročnom kreditu br. KS-002/2011 od 17.01.2011g.</w:t>
            </w:r>
            <w:r w:rsidRPr="002E4AF5">
              <w:br/>
              <w:t>i Anex br 1. od 31.10.2012.g.</w:t>
            </w:r>
            <w:r w:rsidRPr="002E4AF5">
              <w:br/>
              <w:t>i Anex br. 2. od 01.02.2013.g.</w:t>
            </w:r>
            <w:r w:rsidRPr="002E4AF5">
              <w:br/>
              <w:t>solemiziran od javnog bilježnika Vladimir Marčinko iz Zagreba</w:t>
            </w:r>
            <w:r w:rsidRPr="002E4AF5">
              <w:br/>
              <w:t>i Anex br. 3. od 27.03.2013.g.</w:t>
            </w:r>
          </w:p>
        </w:tc>
        <w:tc>
          <w:tcPr>
            <w:tcW w:type="dxa" w:w="2835"/>
            <w:tcBorders>
              <w:top w:val="nil"/>
              <w:left w:val="nil"/>
              <w:bottom w:space="0" w:sz="4" w:color="auto" w:val="single"/>
              <w:right w:space="0" w:sz="6" w:color="auto" w:val="double"/>
            </w:tcBorders>
            <w:shd w:fill="auto" w:color="auto" w:val="clear"/>
            <w:vAlign w:val="center"/>
            <w:hideMark/>
          </w:tcPr>
          <w:p w:rsidRDefault="002E4AF5" w:rsidP="002E4AF5" w:rsidR="002E4AF5" w:rsidRPr="002E4AF5">
            <w:pPr>
              <w:overflowPunct/>
              <w:autoSpaceDE/>
              <w:autoSpaceDN/>
              <w:adjustRightInd/>
              <w:jc w:val="center"/>
              <w:textAlignment w:val="auto"/>
            </w:pPr>
            <w:r w:rsidRPr="002E4AF5">
              <w:t>Općinski sud u Šibeniku</w:t>
            </w:r>
            <w:r w:rsidRPr="002E4AF5">
              <w:br/>
              <w:t>Zemljišno knjižni odjel  Šibenik</w:t>
            </w:r>
            <w:r w:rsidRPr="002E4AF5">
              <w:br/>
            </w:r>
            <w:r w:rsidRPr="002E4AF5">
              <w:br/>
              <w:t xml:space="preserve">1. - 109/856 dijela nekretnine  ETAŽNO VLASNIŠTVO (E-1) </w:t>
            </w:r>
            <w:r w:rsidRPr="002E4AF5">
              <w:br/>
              <w:t xml:space="preserve"> u naravi stan S9 upisane u zk.ul. 4708, k.o. Rogoznica,  zk.č.br. 2065/1 </w:t>
            </w:r>
            <w:r w:rsidRPr="002E4AF5">
              <w:br/>
              <w:t>u podrumu, površine 72,31 m2,  koji se sastoji od kuhinje, blagovaonice is dnevnog boravka, sobe, hodnika, kupaonice s pripadajućom terasom netto korisne površine 12,58 m2, otvoren vanjskim stubištem netto korisne površine 16,27 m2 i parkirališnim mjestom PM9 neto korisne površine 8,30 m2</w:t>
            </w:r>
          </w:p>
        </w:tc>
      </w:tr>
      <w:tr w:rsidTr="002E4AF5" w:rsidR="002E4AF5" w:rsidRPr="002E4AF5">
        <w:trPr>
          <w:trHeight w:val="795"/>
        </w:trPr>
        <w:tc>
          <w:tcPr>
            <w:tcW w:type="dxa" w:w="236"/>
            <w:tcBorders>
              <w:top w:val="nil"/>
              <w:left w:space="0" w:sz="6" w:color="auto" w:val="double"/>
              <w:bottom w:space="0" w:sz="6" w:color="auto" w:val="double"/>
              <w:right w:space="0" w:sz="4" w:color="auto" w:val="single"/>
            </w:tcBorders>
            <w:shd w:fill="auto" w:color="auto" w:val="clear"/>
            <w:noWrap/>
            <w:vAlign w:val="bottom"/>
            <w:hideMark/>
          </w:tcPr>
          <w:p w:rsidRDefault="002E4AF5" w:rsidP="002E4AF5" w:rsidR="002E4AF5" w:rsidRPr="002E4AF5">
            <w:pPr>
              <w:overflowPunct/>
              <w:autoSpaceDE/>
              <w:autoSpaceDN/>
              <w:adjustRightInd/>
              <w:textAlignment w:val="auto"/>
              <w:rPr>
                <w:b/>
                <w:bCs/>
              </w:rPr>
            </w:pPr>
            <w:r w:rsidRPr="002E4AF5">
              <w:rPr>
                <w:b/>
                <w:bCs/>
              </w:rPr>
              <w:t> </w:t>
            </w:r>
          </w:p>
        </w:tc>
        <w:tc>
          <w:tcPr>
            <w:tcW w:type="dxa" w:w="1488"/>
            <w:tcBorders>
              <w:top w:val="nil"/>
              <w:left w:val="nil"/>
              <w:bottom w:space="0" w:sz="6" w:color="auto" w:val="double"/>
              <w:right w:space="0" w:sz="4" w:color="auto" w:val="single"/>
            </w:tcBorders>
            <w:shd w:fill="auto" w:color="auto" w:val="clear"/>
            <w:noWrap/>
            <w:vAlign w:val="bottom"/>
            <w:hideMark/>
          </w:tcPr>
          <w:p w:rsidRDefault="002E4AF5" w:rsidP="002E4AF5" w:rsidR="002E4AF5" w:rsidRPr="002E4AF5">
            <w:pPr>
              <w:overflowPunct/>
              <w:autoSpaceDE/>
              <w:autoSpaceDN/>
              <w:adjustRightInd/>
              <w:jc w:val="center"/>
              <w:textAlignment w:val="auto"/>
              <w:rPr>
                <w:b/>
                <w:bCs/>
              </w:rPr>
            </w:pPr>
            <w:r w:rsidRPr="002E4AF5">
              <w:rPr>
                <w:b/>
                <w:bCs/>
              </w:rPr>
              <w:t>UKUPNO</w:t>
            </w:r>
          </w:p>
        </w:tc>
        <w:tc>
          <w:tcPr>
            <w:tcW w:type="dxa" w:w="851"/>
            <w:tcBorders>
              <w:top w:val="nil"/>
              <w:left w:val="nil"/>
              <w:bottom w:space="0" w:sz="6" w:color="auto" w:val="double"/>
              <w:right w:space="0" w:sz="4" w:color="auto" w:val="single"/>
            </w:tcBorders>
            <w:shd w:fill="auto" w:color="auto" w:val="clear"/>
            <w:noWrap/>
            <w:vAlign w:val="bottom"/>
            <w:hideMark/>
          </w:tcPr>
          <w:p w:rsidRDefault="002E4AF5" w:rsidP="002E4AF5" w:rsidR="002E4AF5" w:rsidRPr="002E4AF5">
            <w:pPr>
              <w:overflowPunct/>
              <w:autoSpaceDE/>
              <w:autoSpaceDN/>
              <w:adjustRightInd/>
              <w:textAlignment w:val="auto"/>
              <w:rPr>
                <w:b/>
                <w:bCs/>
              </w:rPr>
            </w:pPr>
            <w:r w:rsidRPr="002E4AF5">
              <w:rPr>
                <w:b/>
                <w:bCs/>
              </w:rPr>
              <w:t> </w:t>
            </w:r>
          </w:p>
        </w:tc>
        <w:tc>
          <w:tcPr>
            <w:tcW w:type="dxa" w:w="1134"/>
            <w:tcBorders>
              <w:top w:val="nil"/>
              <w:left w:val="nil"/>
              <w:bottom w:space="0" w:sz="6" w:color="auto" w:val="double"/>
              <w:right w:space="0" w:sz="4" w:color="auto" w:val="single"/>
            </w:tcBorders>
            <w:shd w:fill="auto" w:color="auto" w:val="clear"/>
            <w:noWrap/>
            <w:vAlign w:val="bottom"/>
            <w:hideMark/>
          </w:tcPr>
          <w:p w:rsidRDefault="002E4AF5" w:rsidP="002E4AF5" w:rsidR="002E4AF5" w:rsidRPr="002E4AF5">
            <w:pPr>
              <w:overflowPunct/>
              <w:autoSpaceDE/>
              <w:autoSpaceDN/>
              <w:adjustRightInd/>
              <w:textAlignment w:val="auto"/>
              <w:rPr>
                <w:b/>
                <w:bCs/>
              </w:rPr>
            </w:pPr>
            <w:r w:rsidRPr="002E4AF5">
              <w:rPr>
                <w:b/>
                <w:bCs/>
              </w:rPr>
              <w:t> </w:t>
            </w:r>
          </w:p>
        </w:tc>
        <w:tc>
          <w:tcPr>
            <w:tcW w:type="dxa" w:w="1276"/>
            <w:tcBorders>
              <w:top w:val="nil"/>
              <w:left w:val="nil"/>
              <w:bottom w:space="0" w:sz="6" w:color="auto" w:val="double"/>
              <w:right w:space="0" w:sz="4" w:color="auto" w:val="single"/>
            </w:tcBorders>
            <w:shd w:fill="auto" w:color="auto" w:val="clear"/>
            <w:noWrap/>
            <w:vAlign w:val="bottom"/>
            <w:hideMark/>
          </w:tcPr>
          <w:p w:rsidRDefault="002E4AF5" w:rsidP="002E4AF5" w:rsidR="002E4AF5" w:rsidRPr="002E4AF5">
            <w:pPr>
              <w:overflowPunct/>
              <w:autoSpaceDE/>
              <w:autoSpaceDN/>
              <w:adjustRightInd/>
              <w:textAlignment w:val="auto"/>
              <w:rPr>
                <w:b/>
                <w:bCs/>
              </w:rPr>
            </w:pPr>
            <w:r w:rsidRPr="002E4AF5">
              <w:rPr>
                <w:b/>
                <w:bCs/>
              </w:rPr>
              <w:t> </w:t>
            </w:r>
          </w:p>
        </w:tc>
        <w:tc>
          <w:tcPr>
            <w:tcW w:type="dxa" w:w="992"/>
            <w:tcBorders>
              <w:top w:val="nil"/>
              <w:left w:val="nil"/>
              <w:bottom w:space="0" w:sz="6" w:color="auto" w:val="double"/>
              <w:right w:space="0" w:sz="4" w:color="auto" w:val="single"/>
            </w:tcBorders>
            <w:shd w:fill="auto" w:color="auto" w:val="clear"/>
            <w:noWrap/>
            <w:vAlign w:val="bottom"/>
            <w:hideMark/>
          </w:tcPr>
          <w:p w:rsidRDefault="002E4AF5" w:rsidP="002E4AF5" w:rsidR="002E4AF5" w:rsidRPr="002E4AF5">
            <w:pPr>
              <w:overflowPunct/>
              <w:autoSpaceDE/>
              <w:autoSpaceDN/>
              <w:adjustRightInd/>
              <w:jc w:val="right"/>
              <w:textAlignment w:val="auto"/>
              <w:rPr>
                <w:b/>
                <w:bCs/>
              </w:rPr>
            </w:pPr>
            <w:r w:rsidRPr="002E4AF5">
              <w:rPr>
                <w:b/>
                <w:bCs/>
              </w:rPr>
              <w:t>1.569.028,33</w:t>
            </w:r>
          </w:p>
        </w:tc>
        <w:tc>
          <w:tcPr>
            <w:tcW w:type="dxa" w:w="1134"/>
            <w:tcBorders>
              <w:top w:val="nil"/>
              <w:left w:val="nil"/>
              <w:bottom w:space="0" w:sz="6" w:color="auto" w:val="double"/>
              <w:right w:space="0" w:sz="4" w:color="auto" w:val="single"/>
            </w:tcBorders>
            <w:shd w:fill="auto" w:color="auto" w:val="clear"/>
            <w:noWrap/>
            <w:vAlign w:val="bottom"/>
            <w:hideMark/>
          </w:tcPr>
          <w:p w:rsidRDefault="002E4AF5" w:rsidP="002E4AF5" w:rsidR="002E4AF5" w:rsidRPr="002E4AF5">
            <w:pPr>
              <w:overflowPunct/>
              <w:autoSpaceDE/>
              <w:autoSpaceDN/>
              <w:adjustRightInd/>
              <w:textAlignment w:val="auto"/>
              <w:rPr>
                <w:b/>
                <w:bCs/>
              </w:rPr>
            </w:pPr>
            <w:r w:rsidRPr="002E4AF5">
              <w:rPr>
                <w:b/>
                <w:bCs/>
              </w:rPr>
              <w:t> </w:t>
            </w:r>
          </w:p>
        </w:tc>
        <w:tc>
          <w:tcPr>
            <w:tcW w:type="dxa" w:w="2835"/>
            <w:tcBorders>
              <w:top w:val="nil"/>
              <w:left w:val="nil"/>
              <w:bottom w:space="0" w:sz="6" w:color="auto" w:val="double"/>
              <w:right w:space="0" w:sz="6" w:color="auto" w:val="double"/>
            </w:tcBorders>
            <w:shd w:fill="auto" w:color="auto" w:val="clear"/>
            <w:vAlign w:val="bottom"/>
            <w:hideMark/>
          </w:tcPr>
          <w:p w:rsidRDefault="002E4AF5" w:rsidP="002E4AF5" w:rsidR="002E4AF5" w:rsidRPr="002E4AF5">
            <w:pPr>
              <w:overflowPunct/>
              <w:autoSpaceDE/>
              <w:autoSpaceDN/>
              <w:adjustRightInd/>
              <w:jc w:val="both"/>
              <w:textAlignment w:val="auto"/>
              <w:rPr>
                <w:rFonts w:cs="Arial" w:hAnsi="Bookman Old Style" w:ascii="Bookman Old Style"/>
                <w:b/>
                <w:bCs/>
                <w:sz w:val="16"/>
                <w:szCs w:val="16"/>
              </w:rPr>
            </w:pPr>
            <w:r w:rsidRPr="002E4AF5">
              <w:rPr>
                <w:rFonts w:cs="Arial" w:hAnsi="Bookman Old Style" w:ascii="Bookman Old Style"/>
                <w:b/>
                <w:bCs/>
                <w:sz w:val="16"/>
                <w:szCs w:val="16"/>
              </w:rPr>
              <w:t> </w:t>
            </w:r>
          </w:p>
        </w:tc>
      </w:tr>
    </w:tbl>
    <w:p w:rsidRDefault="002E4AF5" w:rsidP="00B16170" w:rsidR="002E4AF5" w:rsidRPr="00995CC0">
      <w:pPr>
        <w:numPr>
          <w:ilvl w:val="12"/>
          <w:numId w:val="0"/>
        </w:numPr>
        <w:ind w:firstLine="720"/>
        <w:jc w:val="both"/>
        <w:rPr>
          <w:bCs/>
          <w:sz w:val="24"/>
          <w:szCs w:val="24"/>
        </w:rPr>
      </w:pPr>
    </w:p>
    <w:p w:rsidRDefault="008533B4" w:rsidP="001B3FBA" w:rsidR="008533B4" w:rsidRPr="00995CC0">
      <w:pPr>
        <w:numPr>
          <w:ilvl w:val="12"/>
          <w:numId w:val="0"/>
        </w:numPr>
        <w:jc w:val="center"/>
        <w:rPr>
          <w:bCs/>
          <w:sz w:val="24"/>
          <w:szCs w:val="24"/>
        </w:rPr>
      </w:pPr>
    </w:p>
    <w:p w:rsidRDefault="00942FFB" w:rsidP="001B3FBA" w:rsidR="002937FE" w:rsidRPr="00995CC0">
      <w:pPr>
        <w:numPr>
          <w:ilvl w:val="12"/>
          <w:numId w:val="0"/>
        </w:numPr>
        <w:jc w:val="center"/>
        <w:rPr>
          <w:bCs/>
          <w:sz w:val="24"/>
          <w:szCs w:val="24"/>
        </w:rPr>
      </w:pPr>
      <w:r w:rsidRPr="00995CC0">
        <w:rPr>
          <w:bCs/>
          <w:sz w:val="24"/>
          <w:szCs w:val="24"/>
        </w:rPr>
        <w:t>Dovršeno u</w:t>
      </w:r>
      <w:r w:rsidR="002937FE" w:rsidRPr="00995CC0">
        <w:rPr>
          <w:bCs/>
          <w:sz w:val="24"/>
          <w:szCs w:val="24"/>
        </w:rPr>
        <w:t xml:space="preserve"> </w:t>
      </w:r>
      <w:r w:rsidR="00F33EFA" w:rsidRPr="00995CC0">
        <w:rPr>
          <w:bCs/>
          <w:sz w:val="24"/>
          <w:szCs w:val="24"/>
        </w:rPr>
        <w:t>1</w:t>
      </w:r>
      <w:r w:rsidR="00B151A3">
        <w:rPr>
          <w:bCs/>
          <w:sz w:val="24"/>
          <w:szCs w:val="24"/>
        </w:rPr>
        <w:t>0</w:t>
      </w:r>
      <w:r w:rsidR="00F33EFA" w:rsidRPr="00995CC0">
        <w:rPr>
          <w:bCs/>
          <w:sz w:val="24"/>
          <w:szCs w:val="24"/>
        </w:rPr>
        <w:t>,</w:t>
      </w:r>
      <w:r w:rsidR="00B151A3">
        <w:rPr>
          <w:bCs/>
          <w:sz w:val="24"/>
          <w:szCs w:val="24"/>
        </w:rPr>
        <w:t>1</w:t>
      </w:r>
      <w:r w:rsidR="00F33EFA" w:rsidRPr="00995CC0">
        <w:rPr>
          <w:bCs/>
          <w:sz w:val="24"/>
          <w:szCs w:val="24"/>
        </w:rPr>
        <w:t>5</w:t>
      </w:r>
      <w:r w:rsidR="00632C10" w:rsidRPr="00995CC0">
        <w:rPr>
          <w:bCs/>
          <w:sz w:val="24"/>
          <w:szCs w:val="24"/>
        </w:rPr>
        <w:t xml:space="preserve"> </w:t>
      </w:r>
      <w:r w:rsidR="002937FE" w:rsidRPr="00995CC0">
        <w:rPr>
          <w:bCs/>
          <w:sz w:val="24"/>
          <w:szCs w:val="24"/>
        </w:rPr>
        <w:t>sati.</w:t>
      </w:r>
    </w:p>
    <w:p w:rsidRDefault="00854E27" w:rsidP="001B3FBA" w:rsidR="00854E27" w:rsidRPr="00995CC0">
      <w:pPr>
        <w:numPr>
          <w:ilvl w:val="12"/>
          <w:numId w:val="0"/>
        </w:numPr>
        <w:jc w:val="center"/>
        <w:rPr>
          <w:bCs/>
          <w:sz w:val="24"/>
          <w:szCs w:val="24"/>
        </w:rPr>
      </w:pPr>
    </w:p>
    <w:p w:rsidRDefault="002937FE" w:rsidP="00A5058B" w:rsidR="002937FE" w:rsidRPr="00995CC0">
      <w:pPr>
        <w:numPr>
          <w:ilvl w:val="12"/>
          <w:numId w:val="0"/>
        </w:numPr>
        <w:jc w:val="both"/>
        <w:rPr>
          <w:bCs/>
          <w:sz w:val="24"/>
          <w:szCs w:val="24"/>
        </w:rPr>
      </w:pPr>
      <w:r w:rsidRPr="00995CC0">
        <w:rPr>
          <w:bCs/>
          <w:sz w:val="24"/>
          <w:szCs w:val="24"/>
        </w:rPr>
        <w:tab/>
        <w:t xml:space="preserve">Temeljem čl. </w:t>
      </w:r>
      <w:smartTag w:element="metricconverter" w:uri="urn:schemas-microsoft-com:office:smarttags">
        <w:smartTagPr>
          <w:attr w:val="55. st" w:name="ProductID"/>
        </w:smartTagPr>
        <w:r w:rsidRPr="00995CC0">
          <w:rPr>
            <w:bCs/>
            <w:sz w:val="24"/>
            <w:szCs w:val="24"/>
          </w:rPr>
          <w:t>55. st</w:t>
        </w:r>
      </w:smartTag>
      <w:r w:rsidRPr="00995CC0">
        <w:rPr>
          <w:bCs/>
          <w:sz w:val="24"/>
          <w:szCs w:val="24"/>
        </w:rPr>
        <w:t>. 2. Stečajnog zakona, spajaju se ispitno i izvještajno ročište te se prelazi na:</w:t>
      </w:r>
    </w:p>
    <w:p w:rsidRDefault="002937FE" w:rsidP="002937FE" w:rsidR="002937FE" w:rsidRPr="00995CC0">
      <w:pPr>
        <w:numPr>
          <w:ilvl w:val="12"/>
          <w:numId w:val="0"/>
        </w:numPr>
        <w:rPr>
          <w:bCs/>
          <w:sz w:val="24"/>
          <w:szCs w:val="24"/>
        </w:rPr>
      </w:pPr>
    </w:p>
    <w:p w:rsidRDefault="002937FE" w:rsidP="002937FE" w:rsidR="002937FE" w:rsidRPr="00995CC0">
      <w:pPr>
        <w:numPr>
          <w:ilvl w:val="12"/>
          <w:numId w:val="0"/>
        </w:numPr>
        <w:jc w:val="center"/>
        <w:rPr>
          <w:bCs/>
          <w:sz w:val="24"/>
          <w:szCs w:val="24"/>
        </w:rPr>
      </w:pPr>
      <w:r w:rsidRPr="00995CC0">
        <w:rPr>
          <w:bCs/>
          <w:sz w:val="24"/>
          <w:szCs w:val="24"/>
        </w:rPr>
        <w:t>SKUPŠTINU VJEROVNIKA S</w:t>
      </w:r>
    </w:p>
    <w:p w:rsidRDefault="002937FE" w:rsidP="002937FE" w:rsidR="002937FE" w:rsidRPr="00995CC0">
      <w:pPr>
        <w:numPr>
          <w:ilvl w:val="12"/>
          <w:numId w:val="0"/>
        </w:numPr>
        <w:jc w:val="center"/>
        <w:rPr>
          <w:bCs/>
          <w:sz w:val="24"/>
          <w:szCs w:val="24"/>
        </w:rPr>
      </w:pPr>
      <w:r w:rsidRPr="00995CC0">
        <w:rPr>
          <w:bCs/>
          <w:sz w:val="24"/>
          <w:szCs w:val="24"/>
        </w:rPr>
        <w:t xml:space="preserve">IZVJEŠTAJOG ROČIŠTA </w:t>
      </w:r>
    </w:p>
    <w:p w:rsidRDefault="002937FE" w:rsidP="002937FE" w:rsidR="002937FE" w:rsidRPr="00995CC0">
      <w:pPr>
        <w:numPr>
          <w:ilvl w:val="12"/>
          <w:numId w:val="0"/>
        </w:numPr>
        <w:rPr>
          <w:bCs/>
          <w:sz w:val="24"/>
          <w:szCs w:val="24"/>
        </w:rPr>
      </w:pPr>
    </w:p>
    <w:p w:rsidRDefault="002937FE" w:rsidP="00B16170" w:rsidR="002937FE" w:rsidRPr="00995CC0">
      <w:pPr>
        <w:numPr>
          <w:ilvl w:val="12"/>
          <w:numId w:val="0"/>
        </w:numPr>
        <w:ind w:firstLine="720"/>
        <w:jc w:val="both"/>
        <w:rPr>
          <w:bCs/>
          <w:sz w:val="24"/>
          <w:szCs w:val="24"/>
        </w:rPr>
      </w:pPr>
      <w:r w:rsidRPr="00995CC0">
        <w:rPr>
          <w:bCs/>
          <w:sz w:val="24"/>
          <w:szCs w:val="24"/>
        </w:rPr>
        <w:t>Utvrđuje se da su na izvještajnom ročištu nazočni vjerovnici koji su b</w:t>
      </w:r>
      <w:r w:rsidR="009F1D27" w:rsidRPr="00995CC0">
        <w:rPr>
          <w:bCs/>
          <w:sz w:val="24"/>
          <w:szCs w:val="24"/>
        </w:rPr>
        <w:t>ili nazočni na is</w:t>
      </w:r>
      <w:r w:rsidR="00B77001" w:rsidRPr="00995CC0">
        <w:rPr>
          <w:bCs/>
          <w:sz w:val="24"/>
          <w:szCs w:val="24"/>
        </w:rPr>
        <w:t>pitnom r</w:t>
      </w:r>
      <w:r w:rsidR="00B16170" w:rsidRPr="00995CC0">
        <w:rPr>
          <w:bCs/>
          <w:sz w:val="24"/>
          <w:szCs w:val="24"/>
        </w:rPr>
        <w:t>očištu:</w:t>
      </w:r>
    </w:p>
    <w:p w:rsidRDefault="007516C1" w:rsidP="007516C1" w:rsidR="007516C1">
      <w:pPr>
        <w:rPr>
          <w:bCs/>
          <w:sz w:val="24"/>
          <w:szCs w:val="24"/>
        </w:rPr>
      </w:pPr>
      <w:r>
        <w:rPr>
          <w:bCs/>
          <w:sz w:val="24"/>
          <w:szCs w:val="24"/>
        </w:rPr>
        <w:t>- Štedbanka d.d. Zagreb - punomoćnik Petra Drenvešek, dipl. pravnik Su-924/09</w:t>
      </w:r>
    </w:p>
    <w:p w:rsidRDefault="007516C1" w:rsidP="007516C1" w:rsidR="007516C1">
      <w:pPr>
        <w:rPr>
          <w:bCs/>
          <w:sz w:val="24"/>
          <w:szCs w:val="24"/>
        </w:rPr>
      </w:pPr>
      <w:r>
        <w:rPr>
          <w:bCs/>
          <w:sz w:val="24"/>
          <w:szCs w:val="24"/>
        </w:rPr>
        <w:t>- Oleg Gennadević Belov - punomoćnik Milica Đurđević, odvjetnica</w:t>
      </w:r>
    </w:p>
    <w:p w:rsidRDefault="007516C1" w:rsidP="007516C1" w:rsidR="007516C1">
      <w:pPr>
        <w:rPr>
          <w:bCs/>
          <w:sz w:val="24"/>
          <w:szCs w:val="24"/>
        </w:rPr>
      </w:pPr>
      <w:r>
        <w:rPr>
          <w:bCs/>
          <w:sz w:val="24"/>
          <w:szCs w:val="24"/>
        </w:rPr>
        <w:t>- Republika Hrvatska, Ministarstvo financija, Porezna uprava - zamjenica ŽDO u Zagrebu Tanja Šušak,</w:t>
      </w:r>
    </w:p>
    <w:p w:rsidRDefault="007516C1" w:rsidP="007516C1" w:rsidR="007516C1">
      <w:pPr>
        <w:rPr>
          <w:bCs/>
          <w:sz w:val="24"/>
          <w:szCs w:val="24"/>
        </w:rPr>
      </w:pPr>
      <w:r>
        <w:rPr>
          <w:bCs/>
          <w:sz w:val="24"/>
          <w:szCs w:val="24"/>
        </w:rPr>
        <w:t>- Veneto banka d.d. - Tonka Jerak Bajić, Su-138/15</w:t>
      </w:r>
    </w:p>
    <w:p w:rsidRDefault="007516C1" w:rsidP="007516C1" w:rsidR="007516C1" w:rsidRPr="00995CC0">
      <w:pPr>
        <w:rPr>
          <w:bCs/>
          <w:sz w:val="24"/>
          <w:szCs w:val="24"/>
        </w:rPr>
      </w:pPr>
      <w:r>
        <w:rPr>
          <w:bCs/>
          <w:sz w:val="24"/>
          <w:szCs w:val="24"/>
        </w:rPr>
        <w:t>- Sveučilište u Zagrebu, Agronomski fakultet - odvj. vježbenik Ante Ferara u OD Grubišić Lović Lalić</w:t>
      </w:r>
    </w:p>
    <w:p w:rsidRDefault="00F33EFA" w:rsidP="00B16170" w:rsidR="00F33EFA" w:rsidRPr="00995CC0">
      <w:pPr>
        <w:numPr>
          <w:ilvl w:val="12"/>
          <w:numId w:val="0"/>
        </w:numPr>
        <w:ind w:firstLine="720"/>
        <w:jc w:val="both"/>
        <w:rPr>
          <w:bCs/>
          <w:sz w:val="24"/>
          <w:szCs w:val="24"/>
        </w:rPr>
      </w:pPr>
    </w:p>
    <w:p w:rsidRDefault="00F33EFA" w:rsidP="00B16170" w:rsidR="00C24D1F" w:rsidRPr="00995CC0">
      <w:pPr>
        <w:numPr>
          <w:ilvl w:val="12"/>
          <w:numId w:val="0"/>
        </w:numPr>
        <w:ind w:firstLine="720"/>
        <w:jc w:val="both"/>
        <w:rPr>
          <w:bCs/>
          <w:sz w:val="24"/>
          <w:szCs w:val="24"/>
        </w:rPr>
      </w:pPr>
      <w:r w:rsidRPr="00995CC0">
        <w:rPr>
          <w:bCs/>
          <w:sz w:val="24"/>
          <w:szCs w:val="24"/>
        </w:rPr>
        <w:t xml:space="preserve"> </w:t>
      </w:r>
    </w:p>
    <w:p w:rsidRDefault="002937FE" w:rsidP="00B16170" w:rsidR="002937FE" w:rsidRPr="00995CC0">
      <w:pPr>
        <w:numPr>
          <w:ilvl w:val="12"/>
          <w:numId w:val="0"/>
        </w:numPr>
        <w:ind w:firstLine="720"/>
        <w:jc w:val="both"/>
        <w:rPr>
          <w:bCs/>
          <w:sz w:val="24"/>
          <w:szCs w:val="24"/>
        </w:rPr>
      </w:pPr>
      <w:r w:rsidRPr="00995CC0">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995CC0">
      <w:pPr>
        <w:numPr>
          <w:ilvl w:val="12"/>
          <w:numId w:val="0"/>
        </w:numPr>
        <w:ind w:firstLine="720"/>
        <w:jc w:val="both"/>
        <w:rPr>
          <w:sz w:val="24"/>
          <w:szCs w:val="24"/>
        </w:rPr>
      </w:pPr>
      <w:r w:rsidRPr="00995CC0">
        <w:rPr>
          <w:bCs/>
          <w:sz w:val="24"/>
          <w:szCs w:val="24"/>
        </w:rPr>
        <w:t>Poziv za skupštinu vjerovnika obja</w:t>
      </w:r>
      <w:r w:rsidR="00942FFB" w:rsidRPr="00995CC0">
        <w:rPr>
          <w:bCs/>
          <w:sz w:val="24"/>
          <w:szCs w:val="24"/>
        </w:rPr>
        <w:t xml:space="preserve">vljen je </w:t>
      </w:r>
      <w:r w:rsidR="00B21E56" w:rsidRPr="00995CC0">
        <w:rPr>
          <w:bCs/>
          <w:sz w:val="24"/>
          <w:szCs w:val="24"/>
        </w:rPr>
        <w:t>na e-oglasnoj ploči suda</w:t>
      </w:r>
      <w:r w:rsidR="006B317D" w:rsidRPr="00995CC0">
        <w:rPr>
          <w:bCs/>
          <w:sz w:val="24"/>
          <w:szCs w:val="24"/>
        </w:rPr>
        <w:t>.</w:t>
      </w:r>
    </w:p>
    <w:p w:rsidRDefault="002937FE" w:rsidP="00CA5D6A" w:rsidR="002937FE" w:rsidRPr="00995CC0">
      <w:pPr>
        <w:numPr>
          <w:ilvl w:val="12"/>
          <w:numId w:val="0"/>
        </w:numPr>
        <w:ind w:firstLine="720"/>
        <w:jc w:val="both"/>
        <w:rPr>
          <w:bCs/>
          <w:sz w:val="24"/>
          <w:szCs w:val="24"/>
        </w:rPr>
      </w:pPr>
      <w:r w:rsidRPr="00995CC0">
        <w:rPr>
          <w:bCs/>
          <w:sz w:val="24"/>
          <w:szCs w:val="24"/>
        </w:rPr>
        <w:t>Ročište je javno.</w:t>
      </w:r>
    </w:p>
    <w:p w:rsidRDefault="002937FE" w:rsidP="00B16170" w:rsidR="002937FE" w:rsidRPr="00995CC0">
      <w:pPr>
        <w:numPr>
          <w:ilvl w:val="12"/>
          <w:numId w:val="0"/>
        </w:numPr>
        <w:ind w:firstLine="720"/>
        <w:jc w:val="both"/>
        <w:rPr>
          <w:bCs/>
          <w:sz w:val="24"/>
          <w:szCs w:val="24"/>
        </w:rPr>
      </w:pPr>
      <w:r w:rsidRPr="00995CC0">
        <w:rPr>
          <w:bCs/>
          <w:sz w:val="24"/>
          <w:szCs w:val="24"/>
        </w:rPr>
        <w:t xml:space="preserve">Radi održavanja reda na ovom ročištu </w:t>
      </w:r>
      <w:r w:rsidR="003635C6" w:rsidRPr="00995CC0">
        <w:rPr>
          <w:bCs/>
          <w:sz w:val="24"/>
          <w:szCs w:val="24"/>
        </w:rPr>
        <w:t xml:space="preserve">sud </w:t>
      </w:r>
      <w:r w:rsidRPr="00995CC0">
        <w:rPr>
          <w:bCs/>
          <w:sz w:val="24"/>
          <w:szCs w:val="24"/>
        </w:rPr>
        <w:t>može izricati kazne predviđene čl. 318. ZPP</w:t>
      </w:r>
      <w:r w:rsidR="00065174" w:rsidRPr="00995CC0">
        <w:rPr>
          <w:bCs/>
          <w:sz w:val="24"/>
          <w:szCs w:val="24"/>
        </w:rPr>
        <w:t>-</w:t>
      </w:r>
      <w:r w:rsidRPr="00995CC0">
        <w:rPr>
          <w:bCs/>
          <w:sz w:val="24"/>
          <w:szCs w:val="24"/>
        </w:rPr>
        <w:t>a.</w:t>
      </w:r>
    </w:p>
    <w:p w:rsidRDefault="002937FE" w:rsidP="00A5058B" w:rsidR="002937FE" w:rsidRPr="00995CC0">
      <w:pPr>
        <w:pStyle w:val="Tijeloteksta"/>
        <w:numPr>
          <w:ilvl w:val="12"/>
          <w:numId w:val="0"/>
        </w:numPr>
        <w:ind w:firstLine="720"/>
        <w:rPr>
          <w:rFonts w:hAnsi="Times New Roman" w:ascii="Times New Roman"/>
          <w:bCs/>
          <w:szCs w:val="24"/>
        </w:rPr>
      </w:pPr>
      <w:r w:rsidRPr="00995CC0">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995CC0">
      <w:pPr>
        <w:numPr>
          <w:ilvl w:val="12"/>
          <w:numId w:val="0"/>
        </w:numPr>
        <w:ind w:firstLine="720"/>
        <w:jc w:val="both"/>
        <w:rPr>
          <w:bCs/>
          <w:sz w:val="24"/>
          <w:szCs w:val="24"/>
        </w:rPr>
      </w:pPr>
      <w:r w:rsidRPr="00995CC0">
        <w:rPr>
          <w:bCs/>
          <w:sz w:val="24"/>
          <w:szCs w:val="24"/>
        </w:rPr>
        <w:t>Poziva se stečajni upravitelj podnijeti izvješće o gospodarskom položaju stečajnog dužnika i uzrocima tog položaja te izgledu i nastavku poslovanja.</w:t>
      </w:r>
    </w:p>
    <w:p w:rsidRDefault="00995CC0" w:rsidP="00B151A3" w:rsidR="00995CC0" w:rsidRPr="00B151A3">
      <w:pPr>
        <w:jc w:val="both"/>
        <w:rPr>
          <w:rFonts w:eastAsia="Calibri"/>
          <w:sz w:val="24"/>
          <w:szCs w:val="24"/>
        </w:rPr>
      </w:pPr>
      <w:r w:rsidRPr="00B151A3">
        <w:rPr>
          <w:rFonts w:eastAsia="Calibri"/>
          <w:sz w:val="24"/>
          <w:szCs w:val="24"/>
        </w:rPr>
        <w:t xml:space="preserve">Prijedlog za otvaranje stečajnog postupka podnio je 19. prosinca 2014. godine, predlagatelj KRISTIJAN PREVOLŠEK, V. Novak 11, Rijeka, OIB:26549446959. </w:t>
      </w:r>
    </w:p>
    <w:p w:rsidRDefault="00995CC0" w:rsidP="00B151A3" w:rsidR="00995CC0" w:rsidRPr="00B151A3">
      <w:pPr>
        <w:jc w:val="both"/>
        <w:rPr>
          <w:rFonts w:eastAsia="Calibri"/>
          <w:sz w:val="24"/>
          <w:szCs w:val="24"/>
        </w:rPr>
      </w:pPr>
      <w:r w:rsidRPr="00B151A3">
        <w:rPr>
          <w:rFonts w:eastAsia="Calibri"/>
          <w:sz w:val="24"/>
          <w:szCs w:val="24"/>
        </w:rPr>
        <w:t xml:space="preserve">Prije tog prijedloga, podnesen je prijedlog za pokretanjem stečajnog postupka nad istim dužnikom pod brojem St-1098/14, te su nakon njegovog pravomoćnog okončanja stvoreni uvjeti za nastavak ovog postupka. </w:t>
      </w:r>
    </w:p>
    <w:p w:rsidRDefault="00995CC0" w:rsidP="00B151A3" w:rsidR="00995CC0" w:rsidRPr="00B151A3">
      <w:pPr>
        <w:jc w:val="both"/>
        <w:rPr>
          <w:rFonts w:eastAsia="Calibri"/>
          <w:sz w:val="24"/>
          <w:szCs w:val="24"/>
        </w:rPr>
      </w:pPr>
      <w:r w:rsidRPr="00B151A3">
        <w:rPr>
          <w:rFonts w:eastAsia="Calibri"/>
          <w:sz w:val="24"/>
          <w:szCs w:val="24"/>
        </w:rPr>
        <w:t>Rješenjem od St-1105/14 od 06. srpnja 2016. godine pokrenut je prethodni postupak radi utvrđivanja uvjeta za otvaranje stečajnog postupka nad dužnikom, te je određeno ročište radi izjašnjenja o prijedlogu za otvaranje stečajnog postupka.</w:t>
      </w:r>
    </w:p>
    <w:p w:rsidRDefault="00995CC0" w:rsidP="00B151A3" w:rsidR="00995CC0" w:rsidRPr="00B151A3">
      <w:pPr>
        <w:jc w:val="both"/>
        <w:rPr>
          <w:rFonts w:eastAsia="Calibri"/>
          <w:sz w:val="24"/>
          <w:szCs w:val="24"/>
        </w:rPr>
      </w:pPr>
      <w:r w:rsidRPr="00B151A3">
        <w:rPr>
          <w:rFonts w:eastAsia="Calibri"/>
          <w:sz w:val="24"/>
          <w:szCs w:val="24"/>
        </w:rPr>
        <w:t>Na ročištu radi rasprave o uvjetima za otvaranje stečajnog postupka nad dužnikom, zastupnik po zakonu izvijestio je sud da se ne protivi otvaranju stečajnog postupka nad dužnikom, te je podneskom izvijestio sud o imovini dužnika.</w:t>
      </w:r>
    </w:p>
    <w:p w:rsidRDefault="00995CC0" w:rsidP="00B151A3" w:rsidR="00995CC0" w:rsidRPr="00B151A3">
      <w:pPr>
        <w:jc w:val="both"/>
        <w:rPr>
          <w:rFonts w:eastAsia="Calibri"/>
          <w:sz w:val="24"/>
          <w:szCs w:val="24"/>
        </w:rPr>
      </w:pPr>
      <w:r w:rsidRPr="00B151A3">
        <w:rPr>
          <w:rFonts w:eastAsia="Calibri"/>
          <w:sz w:val="24"/>
          <w:szCs w:val="24"/>
        </w:rPr>
        <w:t>Iz podneska FINA-e utvrđeno je da je dužnik imao neizvršene osnove za plaćanje, evidentirane u Očevidniku redoslijeda osnova za plaćanje u neprekinutom razdoblju od 1147 dana u iznosu od 1.491.277,12kn.</w:t>
      </w:r>
    </w:p>
    <w:p w:rsidRDefault="00995CC0" w:rsidP="00B151A3" w:rsidR="00995CC0" w:rsidRPr="00B151A3">
      <w:pPr>
        <w:jc w:val="both"/>
        <w:rPr>
          <w:rFonts w:eastAsia="Calibri"/>
          <w:sz w:val="24"/>
          <w:szCs w:val="24"/>
        </w:rPr>
      </w:pPr>
      <w:r w:rsidRPr="00B151A3">
        <w:rPr>
          <w:rFonts w:eastAsia="Calibri"/>
          <w:sz w:val="24"/>
          <w:szCs w:val="24"/>
        </w:rPr>
        <w:lastRenderedPageBreak/>
        <w:t>Temeljem svega navedenog, utvrđeno je da su se kod dužnika stekli uvjeti za otvaranjem stečajnog postupka iz razloga nesposobnosti za plaćanje, sukladno čl. 53. st. 4. Stečajnog zakona.</w:t>
      </w:r>
    </w:p>
    <w:p w:rsidRDefault="00995CC0" w:rsidP="00B151A3" w:rsidR="00995CC0" w:rsidRPr="00995CC0">
      <w:pPr>
        <w:pStyle w:val="Tijeloteksta"/>
        <w:overflowPunct/>
        <w:autoSpaceDE/>
        <w:autoSpaceDN/>
        <w:adjustRightInd/>
        <w:textAlignment w:val="auto"/>
        <w:rPr>
          <w:rFonts w:hAnsi="Times New Roman" w:ascii="Times New Roman"/>
          <w:b/>
          <w:szCs w:val="24"/>
        </w:rPr>
      </w:pPr>
      <w:r w:rsidRPr="00995CC0">
        <w:rPr>
          <w:rFonts w:hAnsi="Times New Roman" w:ascii="Times New Roman"/>
          <w:b/>
          <w:szCs w:val="24"/>
        </w:rPr>
        <w:t>OSNOVNI PODACI O STEČAJNOM DUŽNIKU</w:t>
      </w:r>
    </w:p>
    <w:p w:rsidRDefault="00995CC0" w:rsidP="00B151A3" w:rsidR="00995CC0" w:rsidRPr="00B151A3">
      <w:pPr>
        <w:jc w:val="both"/>
        <w:rPr>
          <w:sz w:val="24"/>
          <w:szCs w:val="24"/>
        </w:rPr>
      </w:pPr>
      <w:r w:rsidRPr="00B151A3">
        <w:rPr>
          <w:sz w:val="24"/>
          <w:szCs w:val="24"/>
        </w:rPr>
        <w:t>Dužnik je registriran kao društvo sa ograničenom odgovornošću kod Trgovačkog suda u Zagrebu, MBS: 080225019, OIB:79629726461pod tvrtkom  REGATA d.o.o. za marketing, trgovinu i usluge.</w:t>
      </w:r>
    </w:p>
    <w:p w:rsidRDefault="00995CC0" w:rsidP="00B151A3" w:rsidR="00995CC0" w:rsidRPr="00B151A3">
      <w:pPr>
        <w:jc w:val="both"/>
        <w:rPr>
          <w:sz w:val="24"/>
          <w:szCs w:val="24"/>
        </w:rPr>
      </w:pPr>
      <w:r w:rsidRPr="00B151A3">
        <w:rPr>
          <w:sz w:val="24"/>
          <w:szCs w:val="24"/>
        </w:rPr>
        <w:t>Sjedištedužnika registrirano je u: Zagreb, Barutanski breg 35.</w:t>
      </w:r>
    </w:p>
    <w:p w:rsidRDefault="00995CC0" w:rsidP="00B151A3" w:rsidR="00995CC0" w:rsidRPr="00B151A3">
      <w:pPr>
        <w:jc w:val="both"/>
        <w:rPr>
          <w:sz w:val="24"/>
          <w:szCs w:val="24"/>
        </w:rPr>
      </w:pPr>
      <w:r w:rsidRPr="00B151A3">
        <w:rPr>
          <w:sz w:val="24"/>
          <w:szCs w:val="24"/>
        </w:rPr>
        <w:t>Temeljni kapital: - Temeljni kapital društva je 1.218.000,00 kuna</w:t>
      </w:r>
    </w:p>
    <w:p w:rsidRDefault="00995CC0" w:rsidP="00B151A3" w:rsidR="00995CC0" w:rsidRPr="00B151A3">
      <w:pPr>
        <w:jc w:val="both"/>
        <w:rPr>
          <w:sz w:val="24"/>
          <w:szCs w:val="24"/>
        </w:rPr>
      </w:pPr>
      <w:r w:rsidRPr="00B151A3">
        <w:rPr>
          <w:sz w:val="24"/>
          <w:szCs w:val="24"/>
        </w:rPr>
        <w:t xml:space="preserve">Osnivački akt: -Ugovor o osnivanju od 27.siječnja 1992. usklađen sa ZTD-om i sastavljen u obliku Izjave o usklađenju od 27.prosinca 1995. godine. Izjava o usklađenju (pročišćeni tekst) je od 27. prosinca 1995.god. izmijenjena u cijelosti i u pročišćenom tekstu usvojena dana 11. rujna 2002.god. Odlukom člana društva od 06. ožujka 2007. godine, Izjava o usklađenju od 11. rujna 2002. godine, izmijenjena je u cijelosti, te je dostavljena Trgovačkom sudu u Zagrebu. Izjava o osnivanju od 06.ožujka 2007. godine,izmijenjena je u cijelosti i dostavljena sudu u pročišćenom tekstu od 23. ožujka 2007.godine.  </w:t>
      </w:r>
    </w:p>
    <w:p w:rsidRDefault="00995CC0" w:rsidP="00B151A3" w:rsidR="00995CC0" w:rsidRPr="00B151A3">
      <w:pPr>
        <w:jc w:val="both"/>
        <w:rPr>
          <w:sz w:val="24"/>
          <w:szCs w:val="24"/>
        </w:rPr>
      </w:pPr>
      <w:r w:rsidRPr="00B151A3">
        <w:rPr>
          <w:sz w:val="24"/>
          <w:szCs w:val="24"/>
        </w:rPr>
        <w:t>Osnivači/članovi društva–Ivica Lovrić, OIB:64144862315, Zagreb, Barutanski breg 35</w:t>
      </w:r>
    </w:p>
    <w:p w:rsidRDefault="00995CC0" w:rsidP="00B151A3" w:rsidR="00995CC0" w:rsidRPr="00B151A3">
      <w:pPr>
        <w:jc w:val="both"/>
        <w:rPr>
          <w:sz w:val="24"/>
          <w:szCs w:val="24"/>
        </w:rPr>
      </w:pPr>
      <w:r w:rsidRPr="00B151A3">
        <w:rPr>
          <w:sz w:val="24"/>
          <w:szCs w:val="24"/>
        </w:rPr>
        <w:t>Jedini osnivač d.o.o.</w:t>
      </w:r>
    </w:p>
    <w:p w:rsidRDefault="00995CC0" w:rsidP="00B151A3" w:rsidR="00995CC0" w:rsidRPr="00B151A3">
      <w:pPr>
        <w:jc w:val="both"/>
        <w:rPr>
          <w:sz w:val="24"/>
          <w:szCs w:val="24"/>
        </w:rPr>
      </w:pPr>
      <w:r w:rsidRPr="00B151A3">
        <w:rPr>
          <w:sz w:val="24"/>
          <w:szCs w:val="24"/>
        </w:rPr>
        <w:t>Osobe ovlaštene za zastupanje- Ivica Lovrić, OIB:64144862315, Zagreb, Barutanski breg 35</w:t>
      </w:r>
    </w:p>
    <w:p w:rsidRDefault="00995CC0" w:rsidP="00B151A3" w:rsidR="00995CC0" w:rsidRPr="00B151A3">
      <w:pPr>
        <w:jc w:val="both"/>
        <w:rPr>
          <w:sz w:val="24"/>
          <w:szCs w:val="24"/>
        </w:rPr>
      </w:pPr>
      <w:r w:rsidRPr="00B151A3">
        <w:rPr>
          <w:sz w:val="24"/>
          <w:szCs w:val="24"/>
        </w:rPr>
        <w:t>direktor</w:t>
      </w:r>
    </w:p>
    <w:p w:rsidRDefault="00995CC0" w:rsidP="00B151A3" w:rsidR="00995CC0" w:rsidRPr="00B151A3">
      <w:pPr>
        <w:jc w:val="both"/>
        <w:rPr>
          <w:sz w:val="24"/>
          <w:szCs w:val="24"/>
        </w:rPr>
      </w:pPr>
    </w:p>
    <w:p w:rsidRDefault="00995CC0" w:rsidP="00B151A3" w:rsidR="00995CC0" w:rsidRPr="00B151A3">
      <w:pPr>
        <w:jc w:val="both"/>
        <w:rPr>
          <w:sz w:val="24"/>
          <w:szCs w:val="24"/>
        </w:rPr>
      </w:pPr>
      <w:r w:rsidRPr="00B151A3">
        <w:rPr>
          <w:sz w:val="24"/>
          <w:szCs w:val="24"/>
        </w:rPr>
        <w:t>RADNI ODNOSI</w:t>
      </w:r>
    </w:p>
    <w:p w:rsidRDefault="00995CC0" w:rsidP="00B151A3" w:rsidR="00995CC0" w:rsidRPr="00B151A3">
      <w:pPr>
        <w:jc w:val="both"/>
        <w:rPr>
          <w:sz w:val="24"/>
          <w:szCs w:val="24"/>
        </w:rPr>
      </w:pPr>
      <w:r w:rsidRPr="00B151A3">
        <w:rPr>
          <w:sz w:val="24"/>
          <w:szCs w:val="24"/>
        </w:rPr>
        <w:t>Kod stupanja na dužnost stečajna upraviteljica je utvrdila da u društvu nema zaposlenih.</w:t>
      </w:r>
    </w:p>
    <w:p w:rsidRDefault="00995CC0" w:rsidP="00B151A3" w:rsidR="00995CC0" w:rsidRPr="00995CC0">
      <w:pPr>
        <w:pStyle w:val="Tijeloteksta"/>
        <w:overflowPunct/>
        <w:autoSpaceDE/>
        <w:autoSpaceDN/>
        <w:adjustRightInd/>
        <w:textAlignment w:val="auto"/>
        <w:rPr>
          <w:rFonts w:hAnsi="Times New Roman" w:ascii="Times New Roman"/>
          <w:b/>
          <w:szCs w:val="24"/>
        </w:rPr>
      </w:pPr>
      <w:r w:rsidRPr="00995CC0">
        <w:rPr>
          <w:rFonts w:hAnsi="Times New Roman" w:ascii="Times New Roman"/>
          <w:b/>
          <w:szCs w:val="24"/>
        </w:rPr>
        <w:t xml:space="preserve">PODUZETE AKTIVNOSTI OD OTVARANJA STEČAJNOG POSTUPKA </w:t>
      </w:r>
    </w:p>
    <w:p w:rsidRDefault="00995CC0" w:rsidP="00995CC0" w:rsidR="00995CC0" w:rsidRPr="00995CC0">
      <w:pPr>
        <w:pStyle w:val="Tijeloteksta"/>
        <w:rPr>
          <w:rFonts w:hAnsi="Times New Roman" w:ascii="Times New Roman"/>
          <w:szCs w:val="24"/>
        </w:rPr>
      </w:pPr>
      <w:r w:rsidRPr="00995CC0">
        <w:rPr>
          <w:rFonts w:hAnsi="Times New Roman" w:ascii="Times New Roman"/>
          <w:szCs w:val="24"/>
        </w:rPr>
        <w:t>Nakon otvaranja stečajnog postupka poduzela sam sljedeće aktivnosti:</w:t>
      </w:r>
    </w:p>
    <w:p w:rsidRDefault="00995CC0" w:rsidP="00995CC0" w:rsidR="00995CC0" w:rsidRPr="00995CC0">
      <w:pPr>
        <w:pStyle w:val="Tijeloteksta"/>
        <w:numPr>
          <w:ilvl w:val="0"/>
          <w:numId w:val="16"/>
        </w:numPr>
        <w:overflowPunct/>
        <w:autoSpaceDE/>
        <w:autoSpaceDN/>
        <w:adjustRightInd/>
        <w:textAlignment w:val="auto"/>
        <w:rPr>
          <w:rFonts w:hAnsi="Times New Roman" w:ascii="Times New Roman"/>
          <w:szCs w:val="24"/>
        </w:rPr>
      </w:pPr>
      <w:r w:rsidRPr="00995CC0">
        <w:rPr>
          <w:rFonts w:hAnsi="Times New Roman" w:ascii="Times New Roman"/>
          <w:szCs w:val="24"/>
        </w:rPr>
        <w:t>Pregledala sam poslovnu dokumentaciju i izdvojila dokumente za koje smatram da su od posebne važnosti, te ih pohranila u ured stečajne upraviteljice u Zagrebu, Miramarska 13d.</w:t>
      </w:r>
    </w:p>
    <w:p w:rsidRDefault="00995CC0" w:rsidP="00995CC0" w:rsidR="00995CC0" w:rsidRPr="00995CC0">
      <w:pPr>
        <w:pStyle w:val="Tijeloteksta"/>
        <w:ind w:left="708"/>
        <w:rPr>
          <w:rFonts w:hAnsi="Times New Roman" w:ascii="Times New Roman"/>
          <w:szCs w:val="24"/>
        </w:rPr>
      </w:pPr>
      <w:r w:rsidRPr="00995CC0">
        <w:rPr>
          <w:rFonts w:hAnsi="Times New Roman" w:ascii="Times New Roman"/>
          <w:szCs w:val="24"/>
        </w:rPr>
        <w:t>Ostala dokumentacija se trenutno nalazi na lokaciji u Zagrebu, Barutanski breg 35.</w:t>
      </w:r>
    </w:p>
    <w:p w:rsidRDefault="00995CC0" w:rsidP="00995CC0" w:rsidR="00995CC0" w:rsidRPr="00995CC0">
      <w:pPr>
        <w:pStyle w:val="Tijeloteksta"/>
        <w:numPr>
          <w:ilvl w:val="0"/>
          <w:numId w:val="16"/>
        </w:numPr>
        <w:overflowPunct/>
        <w:autoSpaceDE/>
        <w:autoSpaceDN/>
        <w:adjustRightInd/>
        <w:textAlignment w:val="auto"/>
        <w:rPr>
          <w:rFonts w:hAnsi="Times New Roman" w:ascii="Times New Roman"/>
          <w:szCs w:val="24"/>
        </w:rPr>
      </w:pPr>
      <w:r w:rsidRPr="00995CC0">
        <w:rPr>
          <w:rFonts w:hAnsi="Times New Roman" w:ascii="Times New Roman"/>
          <w:szCs w:val="24"/>
        </w:rPr>
        <w:t>Napravila sam žig sa naznakom tvrtke u stečaju, ishodila obavijest o razvrstavanju poslovnog subjekta kod Državnog zavoda za statistiku, zatvorila sve postojeće žiro-račune i otvorila novi žiro-račun Dužnika u stečaju kod Hrvatske poštanske banke d.d. broj HR2223900011101017181. Broj žiro – računa je naznačen ispod tvrtke Dužnika na memorandumu sukladno članku 219. Stečajnog zakona.</w:t>
      </w:r>
    </w:p>
    <w:p w:rsidRDefault="00995CC0" w:rsidP="00995CC0" w:rsidR="00995CC0" w:rsidRPr="00995CC0">
      <w:pPr>
        <w:pStyle w:val="Tijeloteksta"/>
        <w:numPr>
          <w:ilvl w:val="0"/>
          <w:numId w:val="16"/>
        </w:numPr>
        <w:overflowPunct/>
        <w:autoSpaceDE/>
        <w:autoSpaceDN/>
        <w:adjustRightInd/>
        <w:textAlignment w:val="auto"/>
        <w:rPr>
          <w:rFonts w:hAnsi="Times New Roman" w:ascii="Times New Roman"/>
          <w:szCs w:val="24"/>
        </w:rPr>
      </w:pPr>
      <w:r w:rsidRPr="00995CC0">
        <w:rPr>
          <w:rFonts w:hAnsi="Times New Roman" w:ascii="Times New Roman"/>
          <w:szCs w:val="24"/>
        </w:rPr>
        <w:t>Poduzela sam sve potrebne aktivnosti oko sređivanja očevidnika knjigovodstvenih podataka Dužnika do dana otvaranja stečajnog postupka.</w:t>
      </w:r>
    </w:p>
    <w:p w:rsidRDefault="00995CC0" w:rsidP="00995CC0" w:rsidR="00995CC0" w:rsidRPr="00995CC0">
      <w:pPr>
        <w:pStyle w:val="Tijeloteksta"/>
        <w:ind w:left="708"/>
        <w:rPr>
          <w:rFonts w:hAnsi="Times New Roman" w:ascii="Times New Roman"/>
          <w:szCs w:val="24"/>
        </w:rPr>
      </w:pPr>
      <w:r w:rsidRPr="00995CC0">
        <w:rPr>
          <w:rFonts w:hAnsi="Times New Roman" w:ascii="Times New Roman"/>
          <w:szCs w:val="24"/>
        </w:rPr>
        <w:t>Izradu početne stečajne bilance, kao i obavljanje financijskih i knjigovodstvenih poslova stečajnog dužnika, povjerila sam stručnom knjigovodstvenom servisu.</w:t>
      </w:r>
    </w:p>
    <w:p w:rsidRDefault="00995CC0" w:rsidP="00995CC0" w:rsidR="00995CC0" w:rsidRPr="00995CC0">
      <w:pPr>
        <w:pStyle w:val="Tijeloteksta"/>
        <w:numPr>
          <w:ilvl w:val="0"/>
          <w:numId w:val="16"/>
        </w:numPr>
        <w:overflowPunct/>
        <w:autoSpaceDE/>
        <w:autoSpaceDN/>
        <w:adjustRightInd/>
        <w:textAlignment w:val="auto"/>
        <w:rPr>
          <w:rFonts w:hAnsi="Times New Roman" w:ascii="Times New Roman"/>
          <w:szCs w:val="24"/>
        </w:rPr>
      </w:pPr>
      <w:r w:rsidRPr="00995CC0">
        <w:rPr>
          <w:rFonts w:hAnsi="Times New Roman" w:ascii="Times New Roman"/>
          <w:szCs w:val="24"/>
        </w:rPr>
        <w:t>Imenovala sam povjerenstvo za izradu pojedinih predmeta stečajne mase sukladno odredbi članka 89. i članka 221. Stečajnog zakona. Inventure su provedene, a popis imovine stečajnog dužnika nalazi se uz odgovarajuće tablice.</w:t>
      </w:r>
    </w:p>
    <w:p w:rsidRDefault="00995CC0" w:rsidP="00995CC0" w:rsidR="00995CC0" w:rsidRPr="00995CC0">
      <w:pPr>
        <w:pStyle w:val="Tijeloteksta"/>
        <w:numPr>
          <w:ilvl w:val="0"/>
          <w:numId w:val="16"/>
        </w:numPr>
        <w:overflowPunct/>
        <w:autoSpaceDE/>
        <w:autoSpaceDN/>
        <w:adjustRightInd/>
        <w:textAlignment w:val="auto"/>
        <w:rPr>
          <w:rFonts w:hAnsi="Times New Roman" w:ascii="Times New Roman"/>
          <w:szCs w:val="24"/>
        </w:rPr>
      </w:pPr>
      <w:r w:rsidRPr="00995CC0">
        <w:rPr>
          <w:rFonts w:hAnsi="Times New Roman" w:ascii="Times New Roman"/>
          <w:szCs w:val="24"/>
        </w:rPr>
        <w:t xml:space="preserve">Kako su otvaranjem stečajnog postupka prestale punomoći Dužnika koje se odnose na imovinu koja ulazi u stečajnu masu (članak 196. Stečajnog zakona), </w:t>
      </w:r>
      <w:r w:rsidRPr="00995CC0">
        <w:rPr>
          <w:rFonts w:hAnsi="Times New Roman" w:ascii="Times New Roman"/>
          <w:szCs w:val="24"/>
        </w:rPr>
        <w:lastRenderedPageBreak/>
        <w:t>zatražila  sam sve predmete koji se nalaze kod punomoćnika Dužnika, za koje sam za sada saznala da zastupaju stečajnog dužnika.</w:t>
      </w:r>
    </w:p>
    <w:p w:rsidRDefault="00995CC0" w:rsidP="00995CC0" w:rsidR="00995CC0" w:rsidRPr="00995CC0">
      <w:pPr>
        <w:pStyle w:val="Tijeloteksta"/>
        <w:numPr>
          <w:ilvl w:val="0"/>
          <w:numId w:val="16"/>
        </w:numPr>
        <w:overflowPunct/>
        <w:autoSpaceDE/>
        <w:autoSpaceDN/>
        <w:adjustRightInd/>
        <w:textAlignment w:val="auto"/>
        <w:rPr>
          <w:rFonts w:hAnsi="Times New Roman" w:ascii="Times New Roman"/>
          <w:szCs w:val="24"/>
        </w:rPr>
      </w:pPr>
      <w:r w:rsidRPr="00995CC0">
        <w:rPr>
          <w:rFonts w:hAnsi="Times New Roman" w:ascii="Times New Roman"/>
          <w:szCs w:val="24"/>
        </w:rPr>
        <w:t>Po odredbi članka 81. stavak 4. Stečajnog zakona, stečajni upravitelj je dužan odmah nakon stupanja na dužnost osigurati se od odgovornosti, a visinu osigurnine određuje stečajni sudac. Visina stečajne mase je osnova za određivanje osigurnine.</w:t>
      </w:r>
    </w:p>
    <w:p w:rsidRDefault="00995CC0" w:rsidP="00995CC0" w:rsidR="00995CC0" w:rsidRPr="00995CC0">
      <w:pPr>
        <w:pStyle w:val="Tijeloteksta"/>
        <w:ind w:left="720"/>
        <w:rPr>
          <w:rFonts w:hAnsi="Times New Roman" w:ascii="Times New Roman"/>
          <w:szCs w:val="24"/>
        </w:rPr>
      </w:pPr>
      <w:r w:rsidRPr="00995CC0">
        <w:rPr>
          <w:rFonts w:hAnsi="Times New Roman" w:ascii="Times New Roman"/>
          <w:szCs w:val="24"/>
        </w:rPr>
        <w:t>Stečajna upraviteljica  je osigurana od odgovornosti stečajnih upravitelja kod HOK-a. Predmet osiguranja je zakonska odgovornost stečajne upraviteljice za štete koje prouzroče  svim sudionicima u stečajnom postupku, ako skrivljeno povrijede koju od svojih dužnosti utvrđenih Stečajnim zakonom. Osigurana svota je 800.000,00 kuna po osiguranom slučaju bez ograničenja broja slučajeva.</w:t>
      </w:r>
    </w:p>
    <w:p w:rsidRDefault="00995CC0" w:rsidP="00995CC0" w:rsidR="00995CC0" w:rsidRPr="00995CC0">
      <w:pPr>
        <w:pStyle w:val="Tijeloteksta"/>
        <w:numPr>
          <w:ilvl w:val="0"/>
          <w:numId w:val="16"/>
        </w:numPr>
        <w:overflowPunct/>
        <w:autoSpaceDE/>
        <w:autoSpaceDN/>
        <w:adjustRightInd/>
        <w:textAlignment w:val="auto"/>
        <w:rPr>
          <w:rFonts w:hAnsi="Times New Roman" w:ascii="Times New Roman"/>
          <w:szCs w:val="24"/>
        </w:rPr>
      </w:pPr>
      <w:r w:rsidRPr="00995CC0">
        <w:rPr>
          <w:rFonts w:hAnsi="Times New Roman" w:ascii="Times New Roman"/>
          <w:szCs w:val="24"/>
        </w:rPr>
        <w:t>Stečajni dužnik nema sredstava na žiro računu.</w:t>
      </w:r>
    </w:p>
    <w:p w:rsidRDefault="00995CC0" w:rsidP="00995CC0" w:rsidR="00995CC0" w:rsidRPr="00995CC0">
      <w:pPr>
        <w:pStyle w:val="Tijeloteksta"/>
        <w:ind w:left="360"/>
        <w:rPr>
          <w:rFonts w:hAnsi="Times New Roman" w:ascii="Times New Roman"/>
          <w:szCs w:val="24"/>
        </w:rPr>
      </w:pPr>
    </w:p>
    <w:p w:rsidRDefault="00995CC0" w:rsidP="00995CC0" w:rsidR="00995CC0" w:rsidRPr="00995CC0">
      <w:pPr>
        <w:numPr>
          <w:ilvl w:val="0"/>
          <w:numId w:val="14"/>
        </w:numPr>
        <w:shd w:fill="FFFFFF" w:color="auto" w:val="clear"/>
        <w:overflowPunct/>
        <w:autoSpaceDE/>
        <w:autoSpaceDN/>
        <w:adjustRightInd/>
        <w:spacing w:before="149"/>
        <w:ind w:hanging="357" w:right="5489" w:left="357"/>
        <w:jc w:val="both"/>
        <w:textAlignment w:val="auto"/>
        <w:rPr>
          <w:b/>
          <w:bCs/>
          <w:color w:val="000000"/>
          <w:spacing w:val="1"/>
          <w:sz w:val="24"/>
          <w:szCs w:val="24"/>
        </w:rPr>
      </w:pPr>
      <w:r w:rsidRPr="00995CC0">
        <w:rPr>
          <w:b/>
          <w:bCs/>
          <w:color w:val="000000"/>
          <w:spacing w:val="1"/>
          <w:sz w:val="24"/>
          <w:szCs w:val="24"/>
        </w:rPr>
        <w:t>POSLOVANJE DUŽNIKA</w:t>
      </w:r>
    </w:p>
    <w:p w:rsidRDefault="00995CC0" w:rsidP="00995CC0" w:rsidR="00995CC0" w:rsidRPr="00995CC0">
      <w:pPr>
        <w:jc w:val="both"/>
        <w:rPr>
          <w:sz w:val="24"/>
          <w:szCs w:val="24"/>
        </w:rPr>
      </w:pPr>
      <w:r w:rsidRPr="00995CC0">
        <w:rPr>
          <w:sz w:val="24"/>
          <w:szCs w:val="24"/>
        </w:rPr>
        <w:t>Regata D.O.O. osnovana je 1992. godine, kao trgovačko društvo Zdravlje-m d.o.o., a 1998. godine kupio ju je Ivica Lovrić i nazvao Regata marketing d.o.o. u Zagrebu. Bilo je predviđeno da djelatnost društva budu marketinške usluge za druga poduzeća. Prvu godinu djelatnosti pratili su se brendovi poduzeća – Podravka, Panonska pivovara, Kraš, Badel1862, te u skladu s tim, nastavilo se s takvom vrstom poslovanja sve do 2003. godine, kada se djelatnost proširuje na područje građevinu.</w:t>
      </w:r>
    </w:p>
    <w:p w:rsidRDefault="00995CC0" w:rsidP="00995CC0" w:rsidR="00995CC0" w:rsidRPr="00995CC0">
      <w:pPr>
        <w:jc w:val="both"/>
        <w:rPr>
          <w:sz w:val="24"/>
          <w:szCs w:val="24"/>
        </w:rPr>
      </w:pPr>
      <w:r w:rsidRPr="00995CC0">
        <w:rPr>
          <w:sz w:val="24"/>
          <w:szCs w:val="24"/>
        </w:rPr>
        <w:t>Na parcelama u vlasništvu društva (u Rogoznici), sagrađena su tri objekta sa po šest stanova, te sa urednim izdanim papirima. U pripremi je bilo još nekoliko lokacija, koje je po završetku prvog gradilišta trebalo nastaviti graditi. Budući da je većina stanova u prvim objektima bila prodana, te nikakvi problemi nisu bili predviđeni na tom gradilištu, počela su se  pripremati nova gradilišta. Dana 08. ožujka 2006.godine, 363. dana nakon pravomoćnosti dozvola, Ministarstvo graditeljstva ih ukida po pravu nadzora, te s tim danom počinju problemi u društvu Regata d.o.o. Nadajući se brzom riješenju problema (u zakonskom roku), a s obzirom su svi objekti sagrađeni po legalnim papirima, nisu se odmah prestale poduzimati daljnje aktivnosti u gradnji, što se pokazalo pogubno za poslovanje društva. Naime, državnim institucijama je trebalo sedam godina da za legalno sagrađene objekte izdaju navedene papire, samo sa drugim urudžbenim brojem, što je dovelo do propasti društva, uz pad financijskog tržišta i pad tržišta nekretninama.</w:t>
      </w:r>
    </w:p>
    <w:p w:rsidRDefault="00995CC0" w:rsidP="00995CC0" w:rsidR="00995CC0" w:rsidRPr="00995CC0">
      <w:pPr>
        <w:jc w:val="both"/>
        <w:rPr>
          <w:sz w:val="24"/>
          <w:szCs w:val="24"/>
        </w:rPr>
      </w:pPr>
      <w:r w:rsidRPr="00995CC0">
        <w:rPr>
          <w:sz w:val="24"/>
          <w:szCs w:val="24"/>
        </w:rPr>
        <w:t>Daljnji problem nastao je s Općinom Rogoznica, vezano za nepoštivanje dogovora o kupnji stana u objektu na kat. čest. 2058/20, za hrvatskog branitelja Marka Slamara, u kojem se isti sada i nalazi, unatoč ovršnom Rješenju za iseljenje, koje je danas pravomoćno već dvije godine.</w:t>
      </w:r>
    </w:p>
    <w:p w:rsidRDefault="00995CC0" w:rsidP="00995CC0" w:rsidR="00995CC0" w:rsidRPr="00995CC0">
      <w:pPr>
        <w:jc w:val="both"/>
        <w:rPr>
          <w:sz w:val="24"/>
          <w:szCs w:val="24"/>
        </w:rPr>
      </w:pPr>
      <w:r w:rsidRPr="00995CC0">
        <w:rPr>
          <w:sz w:val="24"/>
          <w:szCs w:val="24"/>
        </w:rPr>
        <w:t>U međuvremenu, radi gore opisane situacije, izgubljeni su kontakti s prije navedenim firmama, što je rezultiralo blokadom društva Regata d.o.o., a nadalje i otvaranjem stečajnog postupka.</w:t>
      </w:r>
    </w:p>
    <w:p w:rsidRDefault="00995CC0" w:rsidP="00995CC0" w:rsidR="00995CC0" w:rsidRPr="00995CC0">
      <w:pPr>
        <w:shd w:fill="FFFFFF" w:color="auto" w:val="clear"/>
        <w:spacing w:lineRule="exact" w:line="295"/>
        <w:ind w:right="382"/>
        <w:jc w:val="both"/>
        <w:rPr>
          <w:color w:val="000000"/>
          <w:spacing w:val="10"/>
          <w:sz w:val="24"/>
          <w:szCs w:val="24"/>
          <w:lang w:eastAsia="en-US"/>
        </w:rPr>
      </w:pPr>
      <w:r w:rsidRPr="00995CC0">
        <w:rPr>
          <w:b/>
          <w:color w:val="000000"/>
          <w:spacing w:val="6"/>
          <w:sz w:val="24"/>
          <w:szCs w:val="24"/>
        </w:rPr>
        <w:t>U 2014.</w:t>
      </w:r>
      <w:r w:rsidRPr="00995CC0">
        <w:rPr>
          <w:color w:val="000000"/>
          <w:spacing w:val="6"/>
          <w:sz w:val="24"/>
          <w:szCs w:val="24"/>
        </w:rPr>
        <w:t xml:space="preserve">godini  ostvaruje ukupni prihod u iznosu </w:t>
      </w:r>
      <w:r w:rsidRPr="00995CC0">
        <w:rPr>
          <w:color w:val="000000"/>
          <w:spacing w:val="10"/>
          <w:sz w:val="24"/>
          <w:szCs w:val="24"/>
        </w:rPr>
        <w:t>od 0 kuna i ukupni rashodi u 4.586 kuna i gubitak razdoblja u iznosu od 4.586kuna.</w:t>
      </w:r>
    </w:p>
    <w:p w:rsidRDefault="00995CC0" w:rsidP="00995CC0" w:rsidR="00995CC0" w:rsidRPr="00995CC0">
      <w:pPr>
        <w:shd w:fill="FFFFFF" w:color="auto" w:val="clear"/>
        <w:spacing w:lineRule="exact" w:line="295"/>
        <w:ind w:right="382"/>
        <w:jc w:val="both"/>
        <w:rPr>
          <w:color w:val="000000"/>
          <w:spacing w:val="10"/>
          <w:sz w:val="24"/>
          <w:szCs w:val="24"/>
        </w:rPr>
      </w:pPr>
      <w:r w:rsidRPr="00995CC0">
        <w:rPr>
          <w:color w:val="000000"/>
          <w:spacing w:val="10"/>
          <w:sz w:val="24"/>
          <w:szCs w:val="24"/>
        </w:rPr>
        <w:t>Stečajni dužnik nije predavao godišnja financijska izvješća za 2015., 2016.g. za javnu objavu i Poreznu upravu.</w:t>
      </w:r>
    </w:p>
    <w:p w:rsidRDefault="00995CC0" w:rsidP="00B151A3" w:rsidR="00995CC0" w:rsidRPr="00B151A3">
      <w:pPr>
        <w:widowControl w:val="false"/>
        <w:shd w:fill="FFFFFF" w:color="auto" w:val="clear"/>
        <w:spacing w:lineRule="exact" w:line="302" w:before="216"/>
        <w:contextualSpacing/>
        <w:jc w:val="both"/>
        <w:rPr>
          <w:b/>
          <w:bCs/>
          <w:spacing w:val="-2"/>
          <w:lang w:val="pl-PL"/>
        </w:rPr>
      </w:pPr>
      <w:r w:rsidRPr="00B151A3">
        <w:rPr>
          <w:b/>
          <w:bCs/>
          <w:spacing w:val="-2"/>
          <w:lang w:val="pl-PL"/>
        </w:rPr>
        <w:t>IMOVINA I OBVEZE DUŽNIKA</w:t>
      </w:r>
    </w:p>
    <w:tbl>
      <w:tblPr>
        <w:tblW w:type="auto" w:w="0"/>
        <w:tblInd w:type="dxa" w:w="131"/>
        <w:tblLook w:val="04A0" w:noVBand="1" w:noHBand="0" w:lastColumn="0" w:firstColumn="1" w:lastRow="0" w:firstRow="1"/>
      </w:tblPr>
      <w:tblGrid>
        <w:gridCol w:w="640"/>
        <w:gridCol w:w="3693"/>
        <w:gridCol w:w="1098"/>
        <w:gridCol w:w="1098"/>
        <w:gridCol w:w="1098"/>
        <w:gridCol w:w="1098"/>
      </w:tblGrid>
      <w:tr w:rsidTr="00995CC0" w:rsidR="00995CC0" w:rsidRPr="00995CC0">
        <w:trPr>
          <w:trHeight w:val="315"/>
        </w:trPr>
        <w:tc>
          <w:tcPr>
            <w:tcW w:type="auto" w:w="0"/>
            <w:gridSpan w:val="6"/>
            <w:noWrap/>
            <w:vAlign w:val="bottom"/>
            <w:hideMark/>
          </w:tcPr>
          <w:p w:rsidRDefault="00995CC0" w:rsidR="00995CC0" w:rsidRPr="00995CC0">
            <w:pPr>
              <w:jc w:val="center"/>
              <w:rPr>
                <w:b/>
                <w:bCs/>
                <w:sz w:val="24"/>
                <w:szCs w:val="24"/>
              </w:rPr>
            </w:pPr>
            <w:r w:rsidRPr="00995CC0">
              <w:rPr>
                <w:b/>
                <w:bCs/>
                <w:sz w:val="24"/>
                <w:szCs w:val="24"/>
              </w:rPr>
              <w:t xml:space="preserve">BILANCE- AKTIVA I PASIVA  REGATA d.o.o.  </w:t>
            </w:r>
          </w:p>
        </w:tc>
      </w:tr>
      <w:tr w:rsidTr="00B151A3" w:rsidR="00995CC0" w:rsidRPr="00995CC0">
        <w:trPr>
          <w:trHeight w:val="270"/>
        </w:trPr>
        <w:tc>
          <w:tcPr>
            <w:tcW w:type="auto" w:w="0"/>
            <w:noWrap/>
            <w:vAlign w:val="bottom"/>
            <w:hideMark/>
          </w:tcPr>
          <w:p w:rsidRDefault="00995CC0" w:rsidR="00995CC0" w:rsidRPr="00995CC0">
            <w:pPr>
              <w:spacing w:lineRule="auto" w:line="276"/>
              <w:rPr>
                <w:sz w:val="24"/>
                <w:szCs w:val="24"/>
                <w:lang w:eastAsia="en-US"/>
              </w:rPr>
            </w:pPr>
          </w:p>
        </w:tc>
        <w:tc>
          <w:tcPr>
            <w:tcW w:type="auto" w:w="0"/>
            <w:noWrap/>
            <w:vAlign w:val="bottom"/>
            <w:hideMark/>
          </w:tcPr>
          <w:p w:rsidRDefault="00995CC0" w:rsidR="00995CC0" w:rsidRPr="00995CC0">
            <w:pPr>
              <w:spacing w:lineRule="auto" w:line="276"/>
              <w:rPr>
                <w:sz w:val="24"/>
                <w:szCs w:val="24"/>
                <w:lang w:eastAsia="en-US"/>
              </w:rPr>
            </w:pPr>
          </w:p>
        </w:tc>
        <w:tc>
          <w:tcPr>
            <w:tcW w:type="auto" w:w="0"/>
            <w:noWrap/>
            <w:vAlign w:val="bottom"/>
            <w:hideMark/>
          </w:tcPr>
          <w:p w:rsidRDefault="00995CC0" w:rsidR="00995CC0" w:rsidRPr="00995CC0">
            <w:pPr>
              <w:spacing w:lineRule="auto" w:line="276"/>
              <w:rPr>
                <w:sz w:val="24"/>
                <w:szCs w:val="24"/>
                <w:lang w:eastAsia="en-US"/>
              </w:rPr>
            </w:pPr>
          </w:p>
        </w:tc>
        <w:tc>
          <w:tcPr>
            <w:tcW w:type="auto" w:w="0"/>
            <w:noWrap/>
            <w:vAlign w:val="bottom"/>
            <w:hideMark/>
          </w:tcPr>
          <w:p w:rsidRDefault="00995CC0" w:rsidR="00995CC0" w:rsidRPr="00995CC0">
            <w:pPr>
              <w:spacing w:lineRule="auto" w:line="276"/>
              <w:rPr>
                <w:sz w:val="24"/>
                <w:szCs w:val="24"/>
                <w:lang w:eastAsia="en-US"/>
              </w:rPr>
            </w:pPr>
          </w:p>
        </w:tc>
        <w:tc>
          <w:tcPr>
            <w:tcW w:type="auto" w:w="0"/>
            <w:noWrap/>
            <w:vAlign w:val="bottom"/>
          </w:tcPr>
          <w:p w:rsidRDefault="00995CC0" w:rsidR="00995CC0" w:rsidRPr="00995CC0">
            <w:pPr>
              <w:jc w:val="right"/>
              <w:rPr>
                <w:b/>
                <w:bCs/>
                <w:sz w:val="24"/>
                <w:szCs w:val="24"/>
              </w:rPr>
            </w:pPr>
          </w:p>
        </w:tc>
        <w:tc>
          <w:tcPr>
            <w:tcW w:type="auto" w:w="0"/>
            <w:noWrap/>
            <w:vAlign w:val="bottom"/>
          </w:tcPr>
          <w:p w:rsidRDefault="00995CC0" w:rsidR="00995CC0" w:rsidRPr="00995CC0">
            <w:pPr>
              <w:spacing w:lineRule="auto" w:line="276"/>
              <w:rPr>
                <w:sz w:val="24"/>
                <w:szCs w:val="24"/>
                <w:lang w:eastAsia="en-US"/>
              </w:rPr>
            </w:pPr>
          </w:p>
        </w:tc>
      </w:tr>
      <w:tr w:rsidTr="00995CC0" w:rsidR="00995CC0" w:rsidRPr="00995CC0">
        <w:trPr>
          <w:trHeight w:val="270"/>
        </w:trPr>
        <w:tc>
          <w:tcPr>
            <w:tcW w:type="auto" w:w="0"/>
            <w:tcBorders>
              <w:top w:space="0" w:sz="6" w:color="auto" w:val="double"/>
              <w:left w:space="0" w:sz="6" w:color="auto" w:val="double"/>
              <w:bottom w:space="0" w:sz="4" w:color="auto" w:val="single"/>
              <w:right w:space="0" w:sz="4" w:color="auto" w:val="single"/>
            </w:tcBorders>
            <w:noWrap/>
            <w:vAlign w:val="bottom"/>
            <w:hideMark/>
          </w:tcPr>
          <w:p w:rsidRDefault="00995CC0" w:rsidR="00995CC0" w:rsidRPr="00995CC0">
            <w:pPr>
              <w:jc w:val="center"/>
              <w:rPr>
                <w:b/>
                <w:bCs/>
                <w:sz w:val="24"/>
                <w:szCs w:val="24"/>
              </w:rPr>
            </w:pPr>
            <w:r w:rsidRPr="00995CC0">
              <w:rPr>
                <w:b/>
                <w:bCs/>
                <w:sz w:val="24"/>
                <w:szCs w:val="24"/>
              </w:rPr>
              <w:lastRenderedPageBreak/>
              <w:t>R.b.</w:t>
            </w:r>
          </w:p>
        </w:tc>
        <w:tc>
          <w:tcPr>
            <w:tcW w:type="auto" w:w="0"/>
            <w:tcBorders>
              <w:top w:space="0" w:sz="6" w:color="auto" w:val="double"/>
              <w:left w:val="nil"/>
              <w:bottom w:space="0" w:sz="4" w:color="auto" w:val="single"/>
              <w:right w:space="0" w:sz="4" w:color="auto" w:val="single"/>
            </w:tcBorders>
            <w:noWrap/>
            <w:vAlign w:val="bottom"/>
            <w:hideMark/>
          </w:tcPr>
          <w:p w:rsidRDefault="00995CC0" w:rsidR="00995CC0" w:rsidRPr="00995CC0">
            <w:pPr>
              <w:jc w:val="center"/>
              <w:rPr>
                <w:b/>
                <w:bCs/>
                <w:sz w:val="24"/>
                <w:szCs w:val="24"/>
              </w:rPr>
            </w:pPr>
            <w:r w:rsidRPr="00995CC0">
              <w:rPr>
                <w:b/>
                <w:bCs/>
                <w:sz w:val="24"/>
                <w:szCs w:val="24"/>
              </w:rPr>
              <w:t xml:space="preserve"> O  P  I  S</w:t>
            </w:r>
          </w:p>
        </w:tc>
        <w:tc>
          <w:tcPr>
            <w:tcW w:type="auto" w:w="0"/>
            <w:tcBorders>
              <w:top w:space="0" w:sz="6" w:color="auto" w:val="double"/>
              <w:left w:val="nil"/>
              <w:bottom w:space="0" w:sz="4" w:color="auto" w:val="single"/>
              <w:right w:space="0" w:sz="4" w:color="auto" w:val="single"/>
            </w:tcBorders>
            <w:noWrap/>
            <w:vAlign w:val="bottom"/>
            <w:hideMark/>
          </w:tcPr>
          <w:p w:rsidRDefault="00995CC0" w:rsidR="00995CC0" w:rsidRPr="00995CC0">
            <w:pPr>
              <w:jc w:val="center"/>
              <w:rPr>
                <w:b/>
                <w:bCs/>
                <w:sz w:val="24"/>
                <w:szCs w:val="24"/>
              </w:rPr>
            </w:pPr>
            <w:r w:rsidRPr="00995CC0">
              <w:rPr>
                <w:b/>
                <w:bCs/>
                <w:sz w:val="24"/>
                <w:szCs w:val="24"/>
              </w:rPr>
              <w:t>31.12.2014.</w:t>
            </w:r>
          </w:p>
        </w:tc>
        <w:tc>
          <w:tcPr>
            <w:tcW w:type="auto" w:w="0"/>
            <w:tcBorders>
              <w:top w:space="0" w:sz="6" w:color="auto" w:val="double"/>
              <w:left w:val="nil"/>
              <w:bottom w:space="0" w:sz="4" w:color="auto" w:val="single"/>
              <w:right w:space="0" w:sz="4" w:color="auto" w:val="single"/>
            </w:tcBorders>
            <w:noWrap/>
            <w:vAlign w:val="bottom"/>
            <w:hideMark/>
          </w:tcPr>
          <w:p w:rsidRDefault="00995CC0" w:rsidR="00995CC0" w:rsidRPr="00995CC0">
            <w:pPr>
              <w:jc w:val="center"/>
              <w:rPr>
                <w:b/>
                <w:bCs/>
                <w:sz w:val="24"/>
                <w:szCs w:val="24"/>
              </w:rPr>
            </w:pPr>
            <w:r w:rsidRPr="00995CC0">
              <w:rPr>
                <w:b/>
                <w:bCs/>
                <w:sz w:val="24"/>
                <w:szCs w:val="24"/>
              </w:rPr>
              <w:t>31.12.2015.</w:t>
            </w:r>
          </w:p>
        </w:tc>
        <w:tc>
          <w:tcPr>
            <w:tcW w:type="auto" w:w="0"/>
            <w:tcBorders>
              <w:top w:space="0" w:sz="6" w:color="auto" w:val="double"/>
              <w:left w:val="nil"/>
              <w:bottom w:space="0" w:sz="4" w:color="auto" w:val="single"/>
              <w:right w:space="0" w:sz="4" w:color="auto" w:val="single"/>
            </w:tcBorders>
            <w:noWrap/>
            <w:vAlign w:val="bottom"/>
            <w:hideMark/>
          </w:tcPr>
          <w:p w:rsidRDefault="00995CC0" w:rsidR="00995CC0" w:rsidRPr="00995CC0">
            <w:pPr>
              <w:jc w:val="center"/>
              <w:rPr>
                <w:b/>
                <w:bCs/>
                <w:sz w:val="24"/>
                <w:szCs w:val="24"/>
              </w:rPr>
            </w:pPr>
            <w:r w:rsidRPr="00995CC0">
              <w:rPr>
                <w:b/>
                <w:bCs/>
                <w:sz w:val="24"/>
                <w:szCs w:val="24"/>
              </w:rPr>
              <w:t>31.12.2016.</w:t>
            </w:r>
          </w:p>
        </w:tc>
        <w:tc>
          <w:tcPr>
            <w:tcW w:type="auto" w:w="0"/>
            <w:tcBorders>
              <w:top w:space="0" w:sz="6" w:color="auto" w:val="double"/>
              <w:left w:val="nil"/>
              <w:bottom w:space="0" w:sz="4" w:color="auto" w:val="single"/>
              <w:right w:space="0" w:sz="6" w:color="auto" w:val="double"/>
            </w:tcBorders>
            <w:noWrap/>
            <w:vAlign w:val="bottom"/>
            <w:hideMark/>
          </w:tcPr>
          <w:p w:rsidRDefault="00995CC0" w:rsidR="00995CC0" w:rsidRPr="00995CC0">
            <w:pPr>
              <w:jc w:val="center"/>
              <w:rPr>
                <w:b/>
                <w:bCs/>
                <w:sz w:val="24"/>
                <w:szCs w:val="24"/>
              </w:rPr>
            </w:pPr>
            <w:r w:rsidRPr="00995CC0">
              <w:rPr>
                <w:b/>
                <w:bCs/>
                <w:sz w:val="24"/>
                <w:szCs w:val="24"/>
              </w:rPr>
              <w:t>20.09.2017.</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jc w:val="center"/>
              <w:rPr>
                <w:b/>
                <w:bCs/>
                <w:sz w:val="24"/>
                <w:szCs w:val="24"/>
              </w:rPr>
            </w:pPr>
            <w:r w:rsidRPr="00995CC0">
              <w:rPr>
                <w:b/>
                <w:bCs/>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center"/>
              <w:rPr>
                <w:b/>
                <w:bCs/>
                <w:sz w:val="24"/>
                <w:szCs w:val="24"/>
              </w:rPr>
            </w:pPr>
            <w:r w:rsidRPr="00995CC0">
              <w:rPr>
                <w:b/>
                <w:bCs/>
                <w:sz w:val="24"/>
                <w:szCs w:val="24"/>
              </w:rPr>
              <w:t>1</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center"/>
              <w:rPr>
                <w:b/>
                <w:bCs/>
                <w:sz w:val="24"/>
                <w:szCs w:val="24"/>
              </w:rPr>
            </w:pPr>
            <w:r w:rsidRPr="00995CC0">
              <w:rPr>
                <w:b/>
                <w:bCs/>
                <w:sz w:val="24"/>
                <w:szCs w:val="24"/>
              </w:rPr>
              <w:t>2</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center"/>
              <w:rPr>
                <w:b/>
                <w:bCs/>
                <w:sz w:val="24"/>
                <w:szCs w:val="24"/>
              </w:rPr>
            </w:pPr>
            <w:r w:rsidRPr="00995CC0">
              <w:rPr>
                <w:b/>
                <w:bCs/>
                <w:sz w:val="24"/>
                <w:szCs w:val="24"/>
              </w:rPr>
              <w:t>3</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center"/>
              <w:rPr>
                <w:b/>
                <w:bCs/>
                <w:sz w:val="24"/>
                <w:szCs w:val="24"/>
              </w:rPr>
            </w:pPr>
            <w:r w:rsidRPr="00995CC0">
              <w:rPr>
                <w:b/>
                <w:bCs/>
                <w:sz w:val="24"/>
                <w:szCs w:val="24"/>
              </w:rPr>
              <w:t>4</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center"/>
              <w:rPr>
                <w:b/>
                <w:bCs/>
                <w:sz w:val="24"/>
                <w:szCs w:val="24"/>
              </w:rPr>
            </w:pPr>
            <w:r w:rsidRPr="00995CC0">
              <w:rPr>
                <w:b/>
                <w:bCs/>
                <w:sz w:val="24"/>
                <w:szCs w:val="24"/>
              </w:rPr>
              <w:t>5</w:t>
            </w:r>
          </w:p>
        </w:tc>
      </w:tr>
      <w:tr w:rsidTr="00995CC0" w:rsidR="00995CC0" w:rsidRPr="00995CC0">
        <w:trPr>
          <w:trHeight w:val="255"/>
        </w:trPr>
        <w:tc>
          <w:tcPr>
            <w:tcW w:type="auto" w:w="0"/>
            <w:gridSpan w:val="6"/>
            <w:tcBorders>
              <w:top w:space="0" w:sz="4" w:color="auto" w:val="single"/>
              <w:left w:space="0" w:sz="6" w:color="auto" w:val="double"/>
              <w:bottom w:space="0" w:sz="4" w:color="auto" w:val="single"/>
              <w:right w:space="0" w:sz="6" w:color="000000" w:val="double"/>
            </w:tcBorders>
            <w:noWrap/>
            <w:vAlign w:val="bottom"/>
            <w:hideMark/>
          </w:tcPr>
          <w:p w:rsidRDefault="00995CC0" w:rsidR="00995CC0" w:rsidRPr="00995CC0">
            <w:pPr>
              <w:jc w:val="center"/>
              <w:rPr>
                <w:b/>
                <w:bCs/>
                <w:sz w:val="24"/>
                <w:szCs w:val="24"/>
              </w:rPr>
            </w:pPr>
            <w:r w:rsidRPr="00995CC0">
              <w:rPr>
                <w:b/>
                <w:bCs/>
                <w:sz w:val="24"/>
                <w:szCs w:val="24"/>
              </w:rPr>
              <w:t>AKTIVA</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jc w:val="center"/>
              <w:rPr>
                <w:b/>
                <w:bCs/>
                <w:sz w:val="24"/>
                <w:szCs w:val="24"/>
              </w:rPr>
            </w:pPr>
            <w:r w:rsidRPr="00995CC0">
              <w:rPr>
                <w:b/>
                <w:bCs/>
                <w:sz w:val="24"/>
                <w:szCs w:val="24"/>
              </w:rPr>
              <w:t>A</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POTRAŽ.ZA UPIS.A NEUPL. KAPITAL</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b/>
                <w:bCs/>
                <w:sz w:val="24"/>
                <w:szCs w:val="24"/>
              </w:rPr>
            </w:pPr>
            <w:r w:rsidRPr="00995CC0">
              <w:rPr>
                <w:b/>
                <w:bCs/>
                <w:sz w:val="24"/>
                <w:szCs w:val="24"/>
              </w:rPr>
              <w:t>0</w:t>
            </w:r>
          </w:p>
        </w:tc>
      </w:tr>
      <w:tr w:rsidTr="00995CC0" w:rsidR="00995CC0" w:rsidRPr="00995CC0">
        <w:trPr>
          <w:trHeight w:val="255"/>
        </w:trPr>
        <w:tc>
          <w:tcPr>
            <w:tcW w:type="auto" w:w="0"/>
            <w:tcBorders>
              <w:top w:val="nil"/>
              <w:left w:space="0" w:sz="6" w:color="auto" w:val="double"/>
              <w:bottom w:val="nil"/>
              <w:right w:space="0" w:sz="4" w:color="auto" w:val="single"/>
            </w:tcBorders>
            <w:noWrap/>
            <w:vAlign w:val="bottom"/>
            <w:hideMark/>
          </w:tcPr>
          <w:p w:rsidRDefault="00995CC0" w:rsidR="00995CC0" w:rsidRPr="00995CC0">
            <w:pPr>
              <w:jc w:val="center"/>
              <w:rPr>
                <w:b/>
                <w:bCs/>
                <w:sz w:val="24"/>
                <w:szCs w:val="24"/>
              </w:rPr>
            </w:pPr>
            <w:r w:rsidRPr="00995CC0">
              <w:rPr>
                <w:b/>
                <w:bCs/>
                <w:sz w:val="24"/>
                <w:szCs w:val="24"/>
              </w:rPr>
              <w:t>B</w:t>
            </w:r>
          </w:p>
        </w:tc>
        <w:tc>
          <w:tcPr>
            <w:tcW w:type="auto" w:w="0"/>
            <w:tcBorders>
              <w:top w:val="nil"/>
              <w:left w:val="nil"/>
              <w:bottom w:val="nil"/>
              <w:right w:space="0" w:sz="4" w:color="auto" w:val="single"/>
            </w:tcBorders>
            <w:noWrap/>
            <w:vAlign w:val="bottom"/>
            <w:hideMark/>
          </w:tcPr>
          <w:p w:rsidRDefault="00995CC0" w:rsidR="00995CC0" w:rsidRPr="00995CC0">
            <w:pPr>
              <w:rPr>
                <w:b/>
                <w:bCs/>
                <w:sz w:val="24"/>
                <w:szCs w:val="24"/>
              </w:rPr>
            </w:pPr>
            <w:r w:rsidRPr="00995CC0">
              <w:rPr>
                <w:b/>
                <w:bCs/>
                <w:sz w:val="24"/>
                <w:szCs w:val="24"/>
              </w:rPr>
              <w:t>DUGOTRAJNA IMOVINA - STALNA</w:t>
            </w:r>
          </w:p>
        </w:tc>
        <w:tc>
          <w:tcPr>
            <w:tcW w:type="auto" w:w="0"/>
            <w:tcBorders>
              <w:top w:val="nil"/>
              <w:left w:val="nil"/>
              <w:bottom w:val="nil"/>
              <w:right w:space="0" w:sz="4" w:color="auto" w:val="single"/>
            </w:tcBorders>
            <w:noWrap/>
            <w:vAlign w:val="bottom"/>
            <w:hideMark/>
          </w:tcPr>
          <w:p w:rsidRDefault="00995CC0" w:rsidR="00995CC0" w:rsidRPr="00995CC0">
            <w:pPr>
              <w:rPr>
                <w:b/>
                <w:bCs/>
                <w:sz w:val="24"/>
                <w:szCs w:val="24"/>
              </w:rPr>
            </w:pPr>
            <w:r w:rsidRPr="00995CC0">
              <w:rPr>
                <w:b/>
                <w:bCs/>
                <w:sz w:val="24"/>
                <w:szCs w:val="24"/>
              </w:rPr>
              <w:t> </w:t>
            </w:r>
          </w:p>
        </w:tc>
        <w:tc>
          <w:tcPr>
            <w:tcW w:type="auto" w:w="0"/>
            <w:tcBorders>
              <w:top w:val="nil"/>
              <w:left w:val="nil"/>
              <w:bottom w:val="nil"/>
              <w:right w:space="0" w:sz="4" w:color="auto" w:val="single"/>
            </w:tcBorders>
            <w:noWrap/>
            <w:vAlign w:val="bottom"/>
            <w:hideMark/>
          </w:tcPr>
          <w:p w:rsidRDefault="00995CC0" w:rsidR="00995CC0" w:rsidRPr="00995CC0">
            <w:pPr>
              <w:rPr>
                <w:b/>
                <w:bCs/>
                <w:sz w:val="24"/>
                <w:szCs w:val="24"/>
              </w:rPr>
            </w:pPr>
            <w:r w:rsidRPr="00995CC0">
              <w:rPr>
                <w:b/>
                <w:bCs/>
                <w:sz w:val="24"/>
                <w:szCs w:val="24"/>
              </w:rPr>
              <w:t> </w:t>
            </w:r>
          </w:p>
        </w:tc>
        <w:tc>
          <w:tcPr>
            <w:tcW w:type="auto" w:w="0"/>
            <w:tcBorders>
              <w:top w:val="nil"/>
              <w:left w:val="nil"/>
              <w:bottom w:val="nil"/>
              <w:right w:space="0" w:sz="4" w:color="auto" w:val="single"/>
            </w:tcBorders>
            <w:noWrap/>
            <w:vAlign w:val="bottom"/>
            <w:hideMark/>
          </w:tcPr>
          <w:p w:rsidRDefault="00995CC0" w:rsidR="00995CC0" w:rsidRPr="00995CC0">
            <w:pPr>
              <w:rPr>
                <w:b/>
                <w:bCs/>
                <w:sz w:val="24"/>
                <w:szCs w:val="24"/>
              </w:rPr>
            </w:pPr>
            <w:r w:rsidRPr="00995CC0">
              <w:rPr>
                <w:b/>
                <w:bCs/>
                <w:sz w:val="24"/>
                <w:szCs w:val="24"/>
              </w:rPr>
              <w:t> </w:t>
            </w:r>
          </w:p>
        </w:tc>
        <w:tc>
          <w:tcPr>
            <w:tcW w:type="auto" w:w="0"/>
            <w:tcBorders>
              <w:top w:val="nil"/>
              <w:left w:val="nil"/>
              <w:bottom w:val="nil"/>
              <w:right w:space="0" w:sz="6" w:color="auto" w:val="double"/>
            </w:tcBorders>
            <w:noWrap/>
            <w:vAlign w:val="bottom"/>
            <w:hideMark/>
          </w:tcPr>
          <w:p w:rsidRDefault="00995CC0" w:rsidR="00995CC0" w:rsidRPr="00995CC0">
            <w:pPr>
              <w:rPr>
                <w:b/>
                <w:bCs/>
                <w:sz w:val="24"/>
                <w:szCs w:val="24"/>
              </w:rPr>
            </w:pPr>
            <w:r w:rsidRPr="00995CC0">
              <w:rPr>
                <w:b/>
                <w:bCs/>
                <w:sz w:val="24"/>
                <w:szCs w:val="24"/>
              </w:rPr>
              <w:t> </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 </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SREDSTVA (B.I.+B.II.+B.III.+B.IV.)</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b/>
                <w:bCs/>
                <w:sz w:val="24"/>
                <w:szCs w:val="24"/>
              </w:rPr>
            </w:pPr>
            <w:r w:rsidRPr="00995CC0">
              <w:rPr>
                <w:b/>
                <w:bCs/>
                <w:sz w:val="24"/>
                <w:szCs w:val="24"/>
              </w:rPr>
              <w:t>0</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B.I.</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Nematerijalna imovina</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sz w:val="24"/>
                <w:szCs w:val="24"/>
              </w:rPr>
            </w:pPr>
            <w:r w:rsidRPr="00995CC0">
              <w:rPr>
                <w:sz w:val="24"/>
                <w:szCs w:val="24"/>
              </w:rPr>
              <w:t>0</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B.II.</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Materijalna imovina</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sz w:val="24"/>
                <w:szCs w:val="24"/>
              </w:rPr>
            </w:pPr>
            <w:r w:rsidRPr="00995CC0">
              <w:rPr>
                <w:sz w:val="24"/>
                <w:szCs w:val="24"/>
              </w:rPr>
              <w:t>0</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B.III.</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Financijska imovina</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sz w:val="24"/>
                <w:szCs w:val="24"/>
              </w:rPr>
            </w:pPr>
            <w:r w:rsidRPr="00995CC0">
              <w:rPr>
                <w:sz w:val="24"/>
                <w:szCs w:val="24"/>
              </w:rPr>
              <w:t>0</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B.IV.</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Potraživanja</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sz w:val="24"/>
                <w:szCs w:val="24"/>
              </w:rPr>
            </w:pPr>
            <w:r w:rsidRPr="00995CC0">
              <w:rPr>
                <w:sz w:val="24"/>
                <w:szCs w:val="24"/>
              </w:rPr>
              <w:t>0</w:t>
            </w:r>
          </w:p>
        </w:tc>
      </w:tr>
      <w:tr w:rsidTr="00995CC0" w:rsidR="00995CC0" w:rsidRPr="00995CC0">
        <w:trPr>
          <w:trHeight w:val="255"/>
        </w:trPr>
        <w:tc>
          <w:tcPr>
            <w:tcW w:type="auto" w:w="0"/>
            <w:tcBorders>
              <w:top w:val="nil"/>
              <w:left w:space="0" w:sz="6" w:color="auto" w:val="double"/>
              <w:bottom w:val="nil"/>
              <w:right w:space="0" w:sz="4" w:color="auto" w:val="single"/>
            </w:tcBorders>
            <w:noWrap/>
            <w:vAlign w:val="bottom"/>
            <w:hideMark/>
          </w:tcPr>
          <w:p w:rsidRDefault="00995CC0" w:rsidR="00995CC0" w:rsidRPr="00995CC0">
            <w:pPr>
              <w:rPr>
                <w:b/>
                <w:bCs/>
                <w:sz w:val="24"/>
                <w:szCs w:val="24"/>
              </w:rPr>
            </w:pPr>
            <w:r w:rsidRPr="00995CC0">
              <w:rPr>
                <w:b/>
                <w:bCs/>
                <w:sz w:val="24"/>
                <w:szCs w:val="24"/>
              </w:rPr>
              <w:t>C</w:t>
            </w:r>
          </w:p>
        </w:tc>
        <w:tc>
          <w:tcPr>
            <w:tcW w:type="auto" w:w="0"/>
            <w:tcBorders>
              <w:top w:val="nil"/>
              <w:left w:val="nil"/>
              <w:bottom w:val="nil"/>
              <w:right w:space="0" w:sz="4" w:color="auto" w:val="single"/>
            </w:tcBorders>
            <w:noWrap/>
            <w:vAlign w:val="bottom"/>
            <w:hideMark/>
          </w:tcPr>
          <w:p w:rsidRDefault="00995CC0" w:rsidR="00995CC0" w:rsidRPr="00995CC0">
            <w:pPr>
              <w:rPr>
                <w:b/>
                <w:bCs/>
                <w:sz w:val="24"/>
                <w:szCs w:val="24"/>
              </w:rPr>
            </w:pPr>
            <w:r w:rsidRPr="00995CC0">
              <w:rPr>
                <w:b/>
                <w:bCs/>
                <w:sz w:val="24"/>
                <w:szCs w:val="24"/>
              </w:rPr>
              <w:t>KRATKOTRAJNA IMOVINA(C.I.-C.IV.)</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2.302.422</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b/>
                <w:bCs/>
                <w:sz w:val="24"/>
                <w:szCs w:val="24"/>
              </w:rPr>
            </w:pPr>
            <w:r w:rsidRPr="00995CC0">
              <w:rPr>
                <w:b/>
                <w:bCs/>
                <w:sz w:val="24"/>
                <w:szCs w:val="24"/>
              </w:rPr>
              <w:t>0</w:t>
            </w:r>
          </w:p>
        </w:tc>
      </w:tr>
      <w:tr w:rsidTr="00995CC0" w:rsidR="00995CC0" w:rsidRPr="00995CC0">
        <w:trPr>
          <w:trHeight w:val="255"/>
        </w:trPr>
        <w:tc>
          <w:tcPr>
            <w:tcW w:type="auto" w:w="0"/>
            <w:tcBorders>
              <w:top w:space="0" w:sz="4" w:color="auto" w:val="single"/>
              <w:left w:space="0" w:sz="6" w:color="auto" w:val="double"/>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C.I.</w:t>
            </w:r>
          </w:p>
        </w:tc>
        <w:tc>
          <w:tcPr>
            <w:tcW w:type="auto" w:w="0"/>
            <w:tcBorders>
              <w:top w:space="0" w:sz="4" w:color="auto" w:val="single"/>
              <w:left w:val="nil"/>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Zalihe</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845.554</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sz w:val="24"/>
                <w:szCs w:val="24"/>
              </w:rPr>
            </w:pPr>
            <w:r w:rsidRPr="00995CC0">
              <w:rPr>
                <w:sz w:val="24"/>
                <w:szCs w:val="24"/>
              </w:rPr>
              <w:t>0</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C.II.</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Potraživanja</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987.868</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sz w:val="24"/>
                <w:szCs w:val="24"/>
              </w:rPr>
            </w:pPr>
            <w:r w:rsidRPr="00995CC0">
              <w:rPr>
                <w:sz w:val="24"/>
                <w:szCs w:val="24"/>
              </w:rPr>
              <w:t>0</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C.III.</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Financijska imovina</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469.000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sz w:val="24"/>
                <w:szCs w:val="24"/>
              </w:rPr>
            </w:pPr>
            <w:r w:rsidRPr="00995CC0">
              <w:rPr>
                <w:sz w:val="24"/>
                <w:szCs w:val="24"/>
              </w:rPr>
              <w:t>0</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C.IV.</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Novac u banci i blagajni</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sz w:val="24"/>
                <w:szCs w:val="24"/>
              </w:rPr>
            </w:pPr>
            <w:r w:rsidRPr="00995CC0">
              <w:rPr>
                <w:sz w:val="24"/>
                <w:szCs w:val="24"/>
              </w:rPr>
              <w:t>0</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D.</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PLAČENI TROŠKOVI BUDUČEG RAZD.</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b/>
                <w:bCs/>
                <w:sz w:val="24"/>
                <w:szCs w:val="24"/>
              </w:rPr>
            </w:pPr>
            <w:r w:rsidRPr="00995CC0">
              <w:rPr>
                <w:b/>
                <w:bCs/>
                <w:sz w:val="24"/>
                <w:szCs w:val="24"/>
              </w:rPr>
              <w:t>0</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F.</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UKUPNA AKTIVA (A+B+C+D)</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2.302.422</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b/>
                <w:bCs/>
                <w:sz w:val="24"/>
                <w:szCs w:val="24"/>
              </w:rPr>
            </w:pPr>
            <w:r w:rsidRPr="00995CC0">
              <w:rPr>
                <w:b/>
                <w:bCs/>
                <w:sz w:val="24"/>
                <w:szCs w:val="24"/>
              </w:rPr>
              <w:t>0</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G.</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IZVANBILANČNI ZAPISI</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b/>
                <w:bCs/>
                <w:sz w:val="24"/>
                <w:szCs w:val="24"/>
              </w:rPr>
            </w:pPr>
            <w:r w:rsidRPr="00995CC0">
              <w:rPr>
                <w:b/>
                <w:bCs/>
                <w:sz w:val="24"/>
                <w:szCs w:val="24"/>
              </w:rPr>
              <w:t>0</w:t>
            </w:r>
          </w:p>
        </w:tc>
      </w:tr>
      <w:tr w:rsidTr="00995CC0" w:rsidR="00995CC0" w:rsidRPr="00995CC0">
        <w:trPr>
          <w:trHeight w:val="255"/>
        </w:trPr>
        <w:tc>
          <w:tcPr>
            <w:tcW w:type="auto" w:w="0"/>
            <w:gridSpan w:val="6"/>
            <w:tcBorders>
              <w:top w:space="0" w:sz="4" w:color="auto" w:val="single"/>
              <w:left w:space="0" w:sz="6" w:color="auto" w:val="double"/>
              <w:bottom w:space="0" w:sz="4" w:color="auto" w:val="single"/>
              <w:right w:space="0" w:sz="6" w:color="000000" w:val="double"/>
            </w:tcBorders>
            <w:noWrap/>
            <w:vAlign w:val="bottom"/>
            <w:hideMark/>
          </w:tcPr>
          <w:p w:rsidRDefault="00995CC0" w:rsidR="00995CC0" w:rsidRPr="00995CC0">
            <w:pPr>
              <w:jc w:val="center"/>
              <w:rPr>
                <w:b/>
                <w:bCs/>
                <w:sz w:val="24"/>
                <w:szCs w:val="24"/>
              </w:rPr>
            </w:pPr>
            <w:r w:rsidRPr="00995CC0">
              <w:rPr>
                <w:b/>
                <w:bCs/>
                <w:sz w:val="24"/>
                <w:szCs w:val="24"/>
              </w:rPr>
              <w:t>PASIVA</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A.</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KAPITAL I REZARVE (A.I.do A.VI.)</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-2.919.462</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b/>
                <w:bCs/>
                <w:sz w:val="24"/>
                <w:szCs w:val="24"/>
              </w:rPr>
            </w:pPr>
            <w:r w:rsidRPr="00995CC0">
              <w:rPr>
                <w:b/>
                <w:bCs/>
                <w:sz w:val="24"/>
                <w:szCs w:val="24"/>
              </w:rPr>
              <w:t>0</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A.I.</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Upisani temeljni kapital</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1.218.000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 </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 </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rPr>
                <w:sz w:val="24"/>
                <w:szCs w:val="24"/>
              </w:rPr>
            </w:pPr>
            <w:r w:rsidRPr="00995CC0">
              <w:rPr>
                <w:sz w:val="24"/>
                <w:szCs w:val="24"/>
              </w:rPr>
              <w:t> </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A.III.</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Rezerve iz dobiti</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sz w:val="24"/>
                <w:szCs w:val="24"/>
              </w:rPr>
            </w:pPr>
            <w:r w:rsidRPr="00995CC0">
              <w:rPr>
                <w:sz w:val="24"/>
                <w:szCs w:val="24"/>
              </w:rPr>
              <w:t>0</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A.IV.</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Revalorizacijska rezerva</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3.463</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sz w:val="24"/>
                <w:szCs w:val="24"/>
              </w:rPr>
            </w:pPr>
            <w:r w:rsidRPr="00995CC0">
              <w:rPr>
                <w:sz w:val="24"/>
                <w:szCs w:val="24"/>
              </w:rPr>
              <w:t>0</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A.V.</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Zadržana dobit</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895.650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sz w:val="24"/>
                <w:szCs w:val="24"/>
              </w:rPr>
            </w:pPr>
            <w:r w:rsidRPr="00995CC0">
              <w:rPr>
                <w:sz w:val="24"/>
                <w:szCs w:val="24"/>
              </w:rPr>
              <w:t>0</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A.V.</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Preneseni gubitak</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5.031.989</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sz w:val="24"/>
                <w:szCs w:val="24"/>
              </w:rPr>
            </w:pPr>
            <w:r w:rsidRPr="00995CC0">
              <w:rPr>
                <w:sz w:val="24"/>
                <w:szCs w:val="24"/>
              </w:rPr>
              <w:t>0</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A.VI.</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sz w:val="24"/>
                <w:szCs w:val="24"/>
              </w:rPr>
            </w:pPr>
            <w:r w:rsidRPr="00995CC0">
              <w:rPr>
                <w:sz w:val="24"/>
                <w:szCs w:val="24"/>
              </w:rPr>
              <w:t>Dobitak ili gubitak tekuće godine</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-4.586</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sz w:val="24"/>
                <w:szCs w:val="24"/>
              </w:rPr>
            </w:pPr>
            <w:r w:rsidRPr="00995CC0">
              <w:rPr>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sz w:val="24"/>
                <w:szCs w:val="24"/>
              </w:rPr>
            </w:pPr>
            <w:r w:rsidRPr="00995CC0">
              <w:rPr>
                <w:sz w:val="24"/>
                <w:szCs w:val="24"/>
              </w:rPr>
              <w:t>0</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lastRenderedPageBreak/>
              <w:t>B.</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REZERVIRANJA</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b/>
                <w:bCs/>
                <w:sz w:val="24"/>
                <w:szCs w:val="24"/>
              </w:rPr>
            </w:pPr>
            <w:r w:rsidRPr="00995CC0">
              <w:rPr>
                <w:b/>
                <w:bCs/>
                <w:sz w:val="24"/>
                <w:szCs w:val="24"/>
              </w:rPr>
              <w:t>0</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C.</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DUGOROČNE OBVEZE</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3.413.322</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b/>
                <w:bCs/>
                <w:sz w:val="24"/>
                <w:szCs w:val="24"/>
              </w:rPr>
            </w:pPr>
            <w:r w:rsidRPr="00995CC0">
              <w:rPr>
                <w:b/>
                <w:bCs/>
                <w:sz w:val="24"/>
                <w:szCs w:val="24"/>
              </w:rPr>
              <w:t>0</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D.</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KRATKOROČNE OBVEZE</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1.808.562</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b/>
                <w:bCs/>
                <w:sz w:val="24"/>
                <w:szCs w:val="24"/>
              </w:rPr>
            </w:pPr>
            <w:r w:rsidRPr="00995CC0">
              <w:rPr>
                <w:b/>
                <w:bCs/>
                <w:sz w:val="24"/>
                <w:szCs w:val="24"/>
              </w:rPr>
              <w:t>0</w:t>
            </w:r>
          </w:p>
        </w:tc>
      </w:tr>
      <w:tr w:rsidTr="00995CC0" w:rsidR="00995CC0" w:rsidRPr="00995CC0">
        <w:trPr>
          <w:trHeight w:val="255"/>
        </w:trPr>
        <w:tc>
          <w:tcPr>
            <w:tcW w:type="auto" w:w="0"/>
            <w:tcBorders>
              <w:top w:val="nil"/>
              <w:left w:space="0" w:sz="6" w:color="auto" w:val="double"/>
              <w:bottom w:val="nil"/>
              <w:right w:space="0" w:sz="4" w:color="auto" w:val="single"/>
            </w:tcBorders>
            <w:noWrap/>
            <w:vAlign w:val="bottom"/>
            <w:hideMark/>
          </w:tcPr>
          <w:p w:rsidRDefault="00995CC0" w:rsidR="00995CC0" w:rsidRPr="00995CC0">
            <w:pPr>
              <w:rPr>
                <w:b/>
                <w:bCs/>
                <w:sz w:val="24"/>
                <w:szCs w:val="24"/>
              </w:rPr>
            </w:pPr>
            <w:r w:rsidRPr="00995CC0">
              <w:rPr>
                <w:b/>
                <w:bCs/>
                <w:sz w:val="24"/>
                <w:szCs w:val="24"/>
              </w:rPr>
              <w:t>E.</w:t>
            </w:r>
          </w:p>
        </w:tc>
        <w:tc>
          <w:tcPr>
            <w:tcW w:type="auto" w:w="0"/>
            <w:tcBorders>
              <w:top w:val="nil"/>
              <w:left w:val="nil"/>
              <w:bottom w:val="nil"/>
              <w:right w:space="0" w:sz="4" w:color="auto" w:val="single"/>
            </w:tcBorders>
            <w:noWrap/>
            <w:vAlign w:val="bottom"/>
            <w:hideMark/>
          </w:tcPr>
          <w:p w:rsidRDefault="00995CC0" w:rsidR="00995CC0" w:rsidRPr="00995CC0">
            <w:pPr>
              <w:rPr>
                <w:b/>
                <w:bCs/>
                <w:sz w:val="24"/>
                <w:szCs w:val="24"/>
              </w:rPr>
            </w:pPr>
            <w:r w:rsidRPr="00995CC0">
              <w:rPr>
                <w:b/>
                <w:bCs/>
                <w:sz w:val="24"/>
                <w:szCs w:val="24"/>
              </w:rPr>
              <w:t>ODGOĐENO PLAČANJE TROŠKA</w:t>
            </w:r>
          </w:p>
        </w:tc>
        <w:tc>
          <w:tcPr>
            <w:tcW w:type="auto" w:w="0"/>
            <w:tcBorders>
              <w:top w:val="nil"/>
              <w:left w:val="nil"/>
              <w:bottom w:val="nil"/>
              <w:right w:space="0" w:sz="4" w:color="auto" w:val="single"/>
            </w:tcBorders>
            <w:noWrap/>
            <w:vAlign w:val="bottom"/>
            <w:hideMark/>
          </w:tcPr>
          <w:p w:rsidRDefault="00995CC0" w:rsidR="00995CC0" w:rsidRPr="00995CC0">
            <w:pPr>
              <w:rPr>
                <w:b/>
                <w:bCs/>
                <w:sz w:val="24"/>
                <w:szCs w:val="24"/>
              </w:rPr>
            </w:pPr>
            <w:r w:rsidRPr="00995CC0">
              <w:rPr>
                <w:b/>
                <w:bCs/>
                <w:sz w:val="24"/>
                <w:szCs w:val="24"/>
              </w:rPr>
              <w:t> </w:t>
            </w:r>
          </w:p>
        </w:tc>
        <w:tc>
          <w:tcPr>
            <w:tcW w:type="auto" w:w="0"/>
            <w:tcBorders>
              <w:top w:val="nil"/>
              <w:left w:val="nil"/>
              <w:bottom w:val="nil"/>
              <w:right w:space="0" w:sz="4" w:color="auto" w:val="single"/>
            </w:tcBorders>
            <w:noWrap/>
            <w:vAlign w:val="bottom"/>
            <w:hideMark/>
          </w:tcPr>
          <w:p w:rsidRDefault="00995CC0" w:rsidR="00995CC0" w:rsidRPr="00995CC0">
            <w:pPr>
              <w:rPr>
                <w:b/>
                <w:bCs/>
                <w:sz w:val="24"/>
                <w:szCs w:val="24"/>
              </w:rPr>
            </w:pPr>
            <w:r w:rsidRPr="00995CC0">
              <w:rPr>
                <w:b/>
                <w:bCs/>
                <w:sz w:val="24"/>
                <w:szCs w:val="24"/>
              </w:rPr>
              <w:t> </w:t>
            </w:r>
          </w:p>
        </w:tc>
        <w:tc>
          <w:tcPr>
            <w:tcW w:type="auto" w:w="0"/>
            <w:tcBorders>
              <w:top w:val="nil"/>
              <w:left w:val="nil"/>
              <w:bottom w:val="nil"/>
              <w:right w:space="0" w:sz="4" w:color="auto" w:val="single"/>
            </w:tcBorders>
            <w:noWrap/>
            <w:vAlign w:val="bottom"/>
            <w:hideMark/>
          </w:tcPr>
          <w:p w:rsidRDefault="00995CC0" w:rsidR="00995CC0" w:rsidRPr="00995CC0">
            <w:pPr>
              <w:rPr>
                <w:b/>
                <w:bCs/>
                <w:sz w:val="24"/>
                <w:szCs w:val="24"/>
              </w:rPr>
            </w:pPr>
            <w:r w:rsidRPr="00995CC0">
              <w:rPr>
                <w:b/>
                <w:bCs/>
                <w:sz w:val="24"/>
                <w:szCs w:val="24"/>
              </w:rPr>
              <w:t> </w:t>
            </w:r>
          </w:p>
        </w:tc>
        <w:tc>
          <w:tcPr>
            <w:tcW w:type="auto" w:w="0"/>
            <w:tcBorders>
              <w:top w:val="nil"/>
              <w:left w:val="nil"/>
              <w:bottom w:val="nil"/>
              <w:right w:space="0" w:sz="6" w:color="auto" w:val="double"/>
            </w:tcBorders>
            <w:noWrap/>
            <w:vAlign w:val="bottom"/>
            <w:hideMark/>
          </w:tcPr>
          <w:p w:rsidRDefault="00995CC0" w:rsidR="00995CC0" w:rsidRPr="00995CC0">
            <w:pPr>
              <w:rPr>
                <w:b/>
                <w:bCs/>
                <w:sz w:val="24"/>
                <w:szCs w:val="24"/>
              </w:rPr>
            </w:pPr>
            <w:r w:rsidRPr="00995CC0">
              <w:rPr>
                <w:b/>
                <w:bCs/>
                <w:sz w:val="24"/>
                <w:szCs w:val="24"/>
              </w:rPr>
              <w:t> </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 </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I PRIHOD BUDUČEG RAZDOBLJA</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b/>
                <w:bCs/>
                <w:sz w:val="24"/>
                <w:szCs w:val="24"/>
              </w:rPr>
            </w:pPr>
            <w:r w:rsidRPr="00995CC0">
              <w:rPr>
                <w:b/>
                <w:bCs/>
                <w:sz w:val="24"/>
                <w:szCs w:val="24"/>
              </w:rPr>
              <w:t>0</w:t>
            </w:r>
          </w:p>
        </w:tc>
      </w:tr>
      <w:tr w:rsidTr="00995CC0" w:rsidR="00995CC0" w:rsidRPr="00995CC0">
        <w:trPr>
          <w:trHeight w:val="255"/>
        </w:trPr>
        <w:tc>
          <w:tcPr>
            <w:tcW w:type="auto" w:w="0"/>
            <w:tcBorders>
              <w:top w:val="nil"/>
              <w:left w:space="0" w:sz="6" w:color="auto" w:val="double"/>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F.</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rPr>
                <w:b/>
                <w:bCs/>
                <w:sz w:val="24"/>
                <w:szCs w:val="24"/>
              </w:rPr>
            </w:pPr>
            <w:r w:rsidRPr="00995CC0">
              <w:rPr>
                <w:b/>
                <w:bCs/>
                <w:sz w:val="24"/>
                <w:szCs w:val="24"/>
              </w:rPr>
              <w:t>UKUPNO PASIVA (A+B+C+D+E)</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2.302.422</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4" w:color="auto" w:val="single"/>
            </w:tcBorders>
            <w:noWrap/>
            <w:vAlign w:val="bottom"/>
            <w:hideMark/>
          </w:tcPr>
          <w:p w:rsidRDefault="00995CC0" w:rsidR="00995CC0" w:rsidRPr="00995CC0">
            <w:pPr>
              <w:jc w:val="right"/>
              <w:rPr>
                <w:b/>
                <w:bCs/>
                <w:sz w:val="24"/>
                <w:szCs w:val="24"/>
              </w:rPr>
            </w:pPr>
            <w:r w:rsidRPr="00995CC0">
              <w:rPr>
                <w:b/>
                <w:bCs/>
                <w:sz w:val="24"/>
                <w:szCs w:val="24"/>
              </w:rPr>
              <w:t>0</w:t>
            </w:r>
          </w:p>
        </w:tc>
        <w:tc>
          <w:tcPr>
            <w:tcW w:type="auto" w:w="0"/>
            <w:tcBorders>
              <w:top w:val="nil"/>
              <w:left w:val="nil"/>
              <w:bottom w:space="0" w:sz="4" w:color="auto" w:val="single"/>
              <w:right w:space="0" w:sz="6" w:color="auto" w:val="double"/>
            </w:tcBorders>
            <w:noWrap/>
            <w:vAlign w:val="bottom"/>
            <w:hideMark/>
          </w:tcPr>
          <w:p w:rsidRDefault="00995CC0" w:rsidR="00995CC0" w:rsidRPr="00995CC0">
            <w:pPr>
              <w:jc w:val="right"/>
              <w:rPr>
                <w:b/>
                <w:bCs/>
                <w:sz w:val="24"/>
                <w:szCs w:val="24"/>
              </w:rPr>
            </w:pPr>
            <w:r w:rsidRPr="00995CC0">
              <w:rPr>
                <w:b/>
                <w:bCs/>
                <w:sz w:val="24"/>
                <w:szCs w:val="24"/>
              </w:rPr>
              <w:t>0</w:t>
            </w:r>
          </w:p>
        </w:tc>
      </w:tr>
    </w:tbl>
    <w:p w:rsidRDefault="00995CC0" w:rsidP="00995CC0" w:rsidR="00995CC0" w:rsidRPr="00995CC0">
      <w:pPr>
        <w:rPr>
          <w:sz w:val="24"/>
          <w:szCs w:val="24"/>
          <w:lang w:eastAsia="en-US"/>
        </w:rPr>
      </w:pPr>
    </w:p>
    <w:p w:rsidRDefault="00995CC0" w:rsidP="00995CC0" w:rsidR="00995CC0" w:rsidRPr="00995CC0">
      <w:pPr>
        <w:rPr>
          <w:sz w:val="24"/>
          <w:szCs w:val="24"/>
        </w:rPr>
      </w:pPr>
      <w:r w:rsidRPr="00995CC0">
        <w:rPr>
          <w:b/>
          <w:sz w:val="24"/>
          <w:szCs w:val="24"/>
        </w:rPr>
        <w:t>Aktivu u 2014.g.</w:t>
      </w:r>
      <w:r w:rsidRPr="00995CC0">
        <w:rPr>
          <w:sz w:val="24"/>
          <w:szCs w:val="24"/>
        </w:rPr>
        <w:t xml:space="preserve"> u visini od 2.302.422 kuna čini kratkotrajna imovina od čega: nekretnine (stanovi) namijenjeni prodaji u iznosu od 845.554 kuna, potraživanja od kupaca 987.868 kuna, te financijska imovina (pozajmice i depoziti) u iznosu od 469.000 kuna. </w:t>
      </w:r>
    </w:p>
    <w:p w:rsidRDefault="00995CC0" w:rsidP="00995CC0" w:rsidR="00995CC0" w:rsidRPr="00995CC0">
      <w:pPr>
        <w:widowControl w:val="false"/>
        <w:shd w:fill="FFFFFF" w:color="auto" w:val="clear"/>
        <w:spacing w:before="302"/>
        <w:ind w:right="367"/>
        <w:jc w:val="both"/>
        <w:rPr>
          <w:spacing w:val="1"/>
          <w:w w:val="111"/>
          <w:sz w:val="24"/>
          <w:szCs w:val="24"/>
        </w:rPr>
      </w:pPr>
      <w:r w:rsidRPr="00995CC0">
        <w:rPr>
          <w:b/>
          <w:spacing w:val="1"/>
          <w:w w:val="111"/>
          <w:sz w:val="24"/>
          <w:szCs w:val="24"/>
        </w:rPr>
        <w:t xml:space="preserve">Pasivu u 2014.g. </w:t>
      </w:r>
      <w:r w:rsidRPr="00995CC0">
        <w:rPr>
          <w:spacing w:val="1"/>
          <w:w w:val="111"/>
          <w:sz w:val="24"/>
          <w:szCs w:val="24"/>
        </w:rPr>
        <w:t>u visini od 2.302.422 kuna čini: gubitak na kapitalu i rezervama u visini od 2.919.462 kuna (upisani kapital 1.218.000 kuna, revalorizacijske rezerve 3.463 kuna,  zadržana dobit 895.650 kuna, preneseni gubitak u iznosu od 5.031.989 kuna i gubitak tekuće godine 4.586 kuna), dugoročne obveze 3.413.322 kuna i kratkoročne obveze 1.808.562 kuna.</w:t>
      </w:r>
    </w:p>
    <w:p w:rsidRDefault="00995CC0" w:rsidP="00995CC0" w:rsidR="00995CC0" w:rsidRPr="00995CC0">
      <w:pPr>
        <w:widowControl w:val="false"/>
        <w:shd w:fill="FFFFFF" w:color="auto" w:val="clear"/>
        <w:spacing w:before="302"/>
        <w:ind w:right="367"/>
        <w:jc w:val="both"/>
        <w:rPr>
          <w:spacing w:val="1"/>
          <w:w w:val="111"/>
          <w:sz w:val="24"/>
          <w:szCs w:val="24"/>
        </w:rPr>
      </w:pPr>
    </w:p>
    <w:p w:rsidRDefault="00995CC0" w:rsidP="00995CC0" w:rsidR="00995CC0" w:rsidRPr="00995CC0">
      <w:pPr>
        <w:widowControl w:val="false"/>
        <w:shd w:fill="FFFFFF" w:color="auto" w:val="clear"/>
        <w:spacing w:before="302"/>
        <w:ind w:right="367"/>
        <w:jc w:val="both"/>
        <w:rPr>
          <w:spacing w:val="1"/>
          <w:w w:val="111"/>
          <w:sz w:val="24"/>
          <w:szCs w:val="24"/>
        </w:rPr>
      </w:pPr>
      <w:r w:rsidRPr="00995CC0">
        <w:rPr>
          <w:spacing w:val="1"/>
          <w:w w:val="111"/>
          <w:sz w:val="24"/>
          <w:szCs w:val="24"/>
        </w:rPr>
        <w:t>Stečajni dužnik nije izrađivao niti predavao za javnu objavu i Poreznu upravu Godišnja financijska izvješća za 2015.g i 2016.g. te nismo u mogućnosti utvrditi stvarno stanje na dan stečaja.</w:t>
      </w:r>
    </w:p>
    <w:p w:rsidRDefault="00995CC0" w:rsidP="00995CC0" w:rsidR="00995CC0" w:rsidRPr="00995CC0">
      <w:pPr>
        <w:widowControl w:val="false"/>
        <w:shd w:fill="FFFFFF" w:color="auto" w:val="clear"/>
        <w:spacing w:before="302"/>
        <w:ind w:right="367"/>
        <w:jc w:val="both"/>
        <w:rPr>
          <w:b/>
          <w:spacing w:val="1"/>
          <w:w w:val="111"/>
          <w:sz w:val="24"/>
          <w:szCs w:val="24"/>
        </w:rPr>
      </w:pPr>
      <w:r w:rsidRPr="00995CC0">
        <w:rPr>
          <w:b/>
          <w:spacing w:val="1"/>
          <w:w w:val="111"/>
          <w:sz w:val="24"/>
          <w:szCs w:val="24"/>
        </w:rPr>
        <w:t>-Nekretnine:</w:t>
      </w:r>
    </w:p>
    <w:p w:rsidRDefault="00995CC0" w:rsidP="00995CC0" w:rsidR="00995CC0" w:rsidRPr="00995CC0">
      <w:pPr>
        <w:tabs>
          <w:tab w:pos="7938" w:val="left"/>
        </w:tabs>
        <w:jc w:val="both"/>
        <w:rPr>
          <w:b/>
          <w:sz w:val="24"/>
          <w:szCs w:val="24"/>
        </w:rPr>
      </w:pPr>
      <w:r w:rsidRPr="00995CC0">
        <w:rPr>
          <w:b/>
          <w:sz w:val="24"/>
          <w:szCs w:val="24"/>
        </w:rPr>
        <w:t xml:space="preserve">1. </w:t>
      </w:r>
      <w:r w:rsidRPr="00995CC0">
        <w:rPr>
          <w:sz w:val="24"/>
          <w:szCs w:val="24"/>
        </w:rPr>
        <w:t xml:space="preserve">Nekretnina upisana u zemljišnu knjigu zemljišnoknjižnog odjela ŠIBENIK, Općinski sud u Šibeniku, </w:t>
      </w:r>
      <w:r w:rsidRPr="00995CC0">
        <w:rPr>
          <w:b/>
          <w:sz w:val="24"/>
          <w:szCs w:val="24"/>
        </w:rPr>
        <w:t>z.k.ul. 4708</w:t>
      </w:r>
      <w:r w:rsidRPr="00995CC0">
        <w:rPr>
          <w:sz w:val="24"/>
          <w:szCs w:val="24"/>
        </w:rPr>
        <w:t xml:space="preserve">, k.o. 330191 ROGOZNICA i to KUĆA i DVORIŠTE, ukupne površine 664m2, sagrađena na </w:t>
      </w:r>
      <w:r w:rsidRPr="00995CC0">
        <w:rPr>
          <w:b/>
          <w:sz w:val="24"/>
          <w:szCs w:val="24"/>
        </w:rPr>
        <w:t>kat. čest. 2065/1</w:t>
      </w:r>
      <w:r w:rsidRPr="00995CC0">
        <w:rPr>
          <w:sz w:val="24"/>
          <w:szCs w:val="24"/>
        </w:rPr>
        <w:t xml:space="preserve"> k.o. Rogoznica, i to </w:t>
      </w:r>
      <w:r w:rsidRPr="00995CC0">
        <w:rPr>
          <w:b/>
          <w:sz w:val="24"/>
          <w:szCs w:val="24"/>
        </w:rPr>
        <w:t xml:space="preserve">suvlasnički dio: 109/856 ETAŽNO VLASNIŠTVO (E-1) </w:t>
      </w:r>
      <w:r w:rsidRPr="00995CC0">
        <w:rPr>
          <w:sz w:val="24"/>
          <w:szCs w:val="24"/>
        </w:rPr>
        <w:t>s kojim se uspostavlja pravo vlasništva na:</w:t>
      </w:r>
    </w:p>
    <w:p w:rsidRDefault="00995CC0" w:rsidP="00995CC0" w:rsidR="00995CC0" w:rsidRPr="00995CC0">
      <w:pPr>
        <w:jc w:val="both"/>
        <w:rPr>
          <w:sz w:val="24"/>
          <w:szCs w:val="24"/>
        </w:rPr>
      </w:pPr>
      <w:r w:rsidRPr="00995CC0">
        <w:rPr>
          <w:b/>
          <w:sz w:val="24"/>
          <w:szCs w:val="24"/>
        </w:rPr>
        <w:t>STAN S 9</w:t>
      </w:r>
      <w:r w:rsidRPr="00995CC0">
        <w:rPr>
          <w:sz w:val="24"/>
          <w:szCs w:val="24"/>
        </w:rPr>
        <w:t xml:space="preserve"> u podrumu objekta prikazan u crvenoj boji ukupne površine 72,31 m2 koji se sastoji od kuhinje, blagovaonice i dnevnog boravka, sobe, hodnika, kupaonice s pripadajućom terasom netto korisne površine 12,58 m2, otvorenim vanjskim stubištem netto korisne površine 16,27 m2 i parkirališnim mjestom PM9 netto korisne površine 8,30 m2.</w:t>
      </w:r>
    </w:p>
    <w:p w:rsidRDefault="00995CC0" w:rsidP="00995CC0" w:rsidR="00995CC0" w:rsidRPr="00995CC0">
      <w:pPr>
        <w:jc w:val="both"/>
        <w:rPr>
          <w:sz w:val="24"/>
          <w:szCs w:val="24"/>
        </w:rPr>
      </w:pPr>
      <w:r w:rsidRPr="00995CC0">
        <w:rPr>
          <w:sz w:val="24"/>
          <w:szCs w:val="24"/>
        </w:rPr>
        <w:t xml:space="preserve">Na temelju Ugovora o dugoročnom kreditu broj KS-002/2011 sa Sporazumom stranaka o zasnivanju založnog prava na nekretnini radi osiguranja novčane tražbine zaključenog dana 17. siječnja 2011. godine u Zagrebu, a koji solemniziran od strane javnog bilježnika Vladimira Marčinka iz Zagreba, dana 18. siječnja 2011. godine Posl. broj: OV-403/11 uknjižuje se pravo zaloga radi osiguranja novčane tražbine u iznosu od =290.000.00 EUR (slovima: dvijestodevedesettisućaeura) u protuvrijednosti kuna po srednjem tečaju HNB na dan plaćanja, uvećane za ugovorene kamate (promjenjiva kamatna stopa), zakonske </w:t>
      </w:r>
      <w:r w:rsidRPr="00995CC0">
        <w:rPr>
          <w:sz w:val="24"/>
          <w:szCs w:val="24"/>
        </w:rPr>
        <w:lastRenderedPageBreak/>
        <w:t xml:space="preserve">zatezne kamate, naknade, provizije i troškove, s dospijećem i ostalim uvjetima sukladno Ugovoru sa Sporazumom, za korist: </w:t>
      </w:r>
    </w:p>
    <w:p w:rsidRDefault="00995CC0" w:rsidP="00995CC0" w:rsidR="00995CC0" w:rsidRPr="00995CC0">
      <w:pPr>
        <w:jc w:val="both"/>
        <w:rPr>
          <w:b/>
          <w:sz w:val="24"/>
          <w:szCs w:val="24"/>
        </w:rPr>
      </w:pPr>
      <w:r w:rsidRPr="00995CC0">
        <w:rPr>
          <w:b/>
          <w:sz w:val="24"/>
          <w:szCs w:val="24"/>
        </w:rPr>
        <w:t>VENETO BANKA D.D., OIB: 81712716992, ZAGREB, DRAŠKOVIĆEVA 58</w:t>
      </w:r>
    </w:p>
    <w:p w:rsidRDefault="00995CC0" w:rsidP="00995CC0" w:rsidR="00995CC0" w:rsidRPr="00995CC0">
      <w:pPr>
        <w:jc w:val="both"/>
        <w:rPr>
          <w:sz w:val="24"/>
          <w:szCs w:val="24"/>
        </w:rPr>
      </w:pPr>
    </w:p>
    <w:p w:rsidRDefault="00995CC0" w:rsidP="00995CC0" w:rsidR="00995CC0" w:rsidRPr="00995CC0">
      <w:pPr>
        <w:jc w:val="both"/>
        <w:rPr>
          <w:sz w:val="24"/>
          <w:szCs w:val="24"/>
        </w:rPr>
      </w:pPr>
      <w:r w:rsidRPr="00995CC0">
        <w:rPr>
          <w:sz w:val="24"/>
          <w:szCs w:val="24"/>
        </w:rPr>
        <w:t xml:space="preserve">Temeljem Rješenja Općinskog suda u Šibeniku posl. br. Ovr-707/14 od dana 26.svibnja 2014. godine, uknjižuje se založno pravo radi osiguranja novčane tražbine, u iznosu od 415.680,02 kuna (glavnica 381.515,46 kuna i kamata 34.164,56 kuna) zajedno sa zakonskim zateznim kamatama koje teku na iznos glavnice od dana 13.ožujka 2013. godine, kao i troškovi ovršnog postupka u iznosu od 5.000,00 kuna, za korist;    </w:t>
      </w:r>
    </w:p>
    <w:p w:rsidRDefault="00995CC0" w:rsidP="00995CC0" w:rsidR="00995CC0" w:rsidRPr="00995CC0">
      <w:pPr>
        <w:jc w:val="both"/>
        <w:rPr>
          <w:b/>
          <w:sz w:val="24"/>
          <w:szCs w:val="24"/>
        </w:rPr>
      </w:pPr>
      <w:r w:rsidRPr="00995CC0">
        <w:rPr>
          <w:b/>
          <w:sz w:val="24"/>
          <w:szCs w:val="24"/>
        </w:rPr>
        <w:t xml:space="preserve">REPUBLIKA HRVATSKA, MINISTARSTVO FINANCIJA, POREZNA UPRAVA, PODRUČNI URED ZAGREB </w:t>
      </w:r>
    </w:p>
    <w:p w:rsidRDefault="00995CC0" w:rsidP="00995CC0" w:rsidR="00995CC0" w:rsidRPr="00995CC0">
      <w:pPr>
        <w:jc w:val="both"/>
        <w:rPr>
          <w:sz w:val="24"/>
          <w:szCs w:val="24"/>
        </w:rPr>
      </w:pPr>
      <w:r w:rsidRPr="00995CC0">
        <w:rPr>
          <w:sz w:val="24"/>
          <w:szCs w:val="24"/>
        </w:rPr>
        <w:t xml:space="preserve">Predmetni stan je u posjedu Marka Slamara (detaljno izvješće o ovome dato je u pregledu postupaka u tijeku).   </w:t>
      </w:r>
    </w:p>
    <w:p w:rsidRDefault="00995CC0" w:rsidP="00995CC0" w:rsidR="00995CC0" w:rsidRPr="00995CC0">
      <w:pPr>
        <w:tabs>
          <w:tab w:pos="7938" w:val="left"/>
        </w:tabs>
        <w:jc w:val="both"/>
        <w:rPr>
          <w:sz w:val="24"/>
          <w:szCs w:val="24"/>
        </w:rPr>
      </w:pPr>
      <w:r w:rsidRPr="00995CC0">
        <w:rPr>
          <w:b/>
          <w:sz w:val="24"/>
          <w:szCs w:val="24"/>
        </w:rPr>
        <w:t>2.</w:t>
      </w:r>
      <w:r w:rsidRPr="00995CC0">
        <w:rPr>
          <w:sz w:val="24"/>
          <w:szCs w:val="24"/>
        </w:rPr>
        <w:t xml:space="preserve">Nekretnina upisana u zemljišnu knjigu zemljišnoknjižnog odjela ŠIBENIK, Općinski sud u Šibeniku, </w:t>
      </w:r>
      <w:r w:rsidRPr="00995CC0">
        <w:rPr>
          <w:b/>
          <w:sz w:val="24"/>
          <w:szCs w:val="24"/>
        </w:rPr>
        <w:t>z.k.ul. 4527</w:t>
      </w:r>
      <w:r w:rsidRPr="00995CC0">
        <w:rPr>
          <w:sz w:val="24"/>
          <w:szCs w:val="24"/>
        </w:rPr>
        <w:t xml:space="preserve">, k.o. 330191 ROGOZNICA i to ZGRADA i DVOR, ukupne površine 591m2, sagrađena na </w:t>
      </w:r>
      <w:r w:rsidRPr="00995CC0">
        <w:rPr>
          <w:b/>
          <w:sz w:val="24"/>
          <w:szCs w:val="24"/>
        </w:rPr>
        <w:t>kat. čest. 2058/20</w:t>
      </w:r>
      <w:r w:rsidRPr="00995CC0">
        <w:rPr>
          <w:sz w:val="24"/>
          <w:szCs w:val="24"/>
        </w:rPr>
        <w:t xml:space="preserve"> k.o. Rogoznica, i to </w:t>
      </w:r>
      <w:r w:rsidRPr="00995CC0">
        <w:rPr>
          <w:b/>
          <w:sz w:val="24"/>
          <w:szCs w:val="24"/>
        </w:rPr>
        <w:t xml:space="preserve">suvlasnički dio: 19/100 ETAŽNO VLASNIŠTVO (E-2) </w:t>
      </w:r>
      <w:r w:rsidRPr="00995CC0">
        <w:rPr>
          <w:sz w:val="24"/>
          <w:szCs w:val="24"/>
        </w:rPr>
        <w:t>s kojim se uspostavlja pravo vlasništva na:</w:t>
      </w:r>
    </w:p>
    <w:p w:rsidRDefault="00995CC0" w:rsidP="00995CC0" w:rsidR="00995CC0" w:rsidRPr="00995CC0">
      <w:pPr>
        <w:tabs>
          <w:tab w:pos="7938" w:val="left"/>
        </w:tabs>
        <w:jc w:val="both"/>
        <w:rPr>
          <w:sz w:val="24"/>
          <w:szCs w:val="24"/>
        </w:rPr>
      </w:pPr>
      <w:r w:rsidRPr="00995CC0">
        <w:rPr>
          <w:b/>
          <w:sz w:val="24"/>
          <w:szCs w:val="24"/>
        </w:rPr>
        <w:t>STAN A2</w:t>
      </w:r>
      <w:r w:rsidRPr="00995CC0">
        <w:rPr>
          <w:sz w:val="24"/>
          <w:szCs w:val="24"/>
        </w:rPr>
        <w:t xml:space="preserve"> u prizemlju, površine 62,00 m2, ulaz iz unutarnjeg stubišta desno, koji se sastoji od kuhinje s dnevnim boravkom, kupaonice, dvije spavaće sobe, pretprostora i dvije terase.</w:t>
      </w:r>
    </w:p>
    <w:p w:rsidRDefault="00995CC0" w:rsidP="00995CC0" w:rsidR="00995CC0" w:rsidRPr="00995CC0">
      <w:pPr>
        <w:tabs>
          <w:tab w:pos="7938" w:val="left"/>
        </w:tabs>
        <w:jc w:val="both"/>
        <w:rPr>
          <w:sz w:val="24"/>
          <w:szCs w:val="24"/>
        </w:rPr>
      </w:pPr>
      <w:r w:rsidRPr="00995CC0">
        <w:rPr>
          <w:sz w:val="24"/>
          <w:szCs w:val="24"/>
        </w:rPr>
        <w:t>Na temelju Anexa II Sporazumu br. 25/2009 o založnom pravu na nekretnini založnog dužnika radi osiguranja novčane tražbine vjerovnika sklopljenog dana 30. rujna 2010. godine koji solemniziran od strane javnog bilježnika Branka Jakića iz Zagreba, Zelinska 3, dana 18. listopada 2010. godine Broj: OV-18943/10 uknjižuje se pravo zaloga-hipoteke radi osiguranja novčane tražbine kreditora u iznosu od 500.000,00 KN (slovima: petstotisućakuna) uvećano za revalorizaciju, pripadajuće kamate, naknade i druge troškove, sukladno uvjetima u pojedinačno zaključenim ugovorima i eventualnim prolongatima, koji će na osnovi Anex-a br. II Sporazuma br. 25/2009 o založnom pravu biti sklopljeni između vjerovnika i dužnika, na korist:</w:t>
      </w:r>
    </w:p>
    <w:p w:rsidRDefault="00995CC0" w:rsidP="00995CC0" w:rsidR="00995CC0" w:rsidRPr="00995CC0">
      <w:pPr>
        <w:tabs>
          <w:tab w:pos="7938" w:val="left"/>
        </w:tabs>
        <w:jc w:val="both"/>
        <w:rPr>
          <w:b/>
          <w:sz w:val="24"/>
          <w:szCs w:val="24"/>
        </w:rPr>
      </w:pPr>
      <w:r w:rsidRPr="00995CC0">
        <w:rPr>
          <w:b/>
          <w:sz w:val="24"/>
          <w:szCs w:val="24"/>
        </w:rPr>
        <w:t>ŠTEDBANKA D.D.,OIB: 58063088591, ZAGREB, SLAVONSKA AVENIJA 3</w:t>
      </w:r>
    </w:p>
    <w:p w:rsidRDefault="00995CC0" w:rsidP="00995CC0" w:rsidR="00995CC0" w:rsidRPr="00995CC0">
      <w:pPr>
        <w:tabs>
          <w:tab w:pos="7938" w:val="left"/>
        </w:tabs>
        <w:jc w:val="both"/>
        <w:rPr>
          <w:sz w:val="24"/>
          <w:szCs w:val="24"/>
        </w:rPr>
      </w:pPr>
      <w:r w:rsidRPr="00995CC0">
        <w:rPr>
          <w:sz w:val="24"/>
          <w:szCs w:val="24"/>
        </w:rPr>
        <w:t>Temeljem Rješenja Općinskog suda u Šibeniku posl. br. Ovr-707/14 od dana 26.svibnja 2014. godine, uknjižuje se založno pravo radi osiguranja novčane tražbine, u iznosu od 415.680,02 kuna (glavnica 381.515,46 kuna i kamata 34.164,56 kuna) zajedno sa zakonskim zateznim kamatama koje teku na iznos glavnice od dana 13.ožujka 2013. godine, kao i troškovi ovršnog postupka u iznosu od 5.000,00 kuna, za korist;</w:t>
      </w:r>
    </w:p>
    <w:p w:rsidRDefault="00995CC0" w:rsidP="00995CC0" w:rsidR="00995CC0" w:rsidRPr="00995CC0">
      <w:pPr>
        <w:tabs>
          <w:tab w:pos="7938" w:val="left"/>
        </w:tabs>
        <w:jc w:val="both"/>
        <w:rPr>
          <w:b/>
          <w:sz w:val="24"/>
          <w:szCs w:val="24"/>
        </w:rPr>
      </w:pPr>
      <w:r w:rsidRPr="00995CC0">
        <w:rPr>
          <w:b/>
          <w:sz w:val="24"/>
          <w:szCs w:val="24"/>
        </w:rPr>
        <w:t>REPUBLIKA HRVATSKA, MINISTARSTVO FINANCIJA, POREZNA UPRAVA, PODRUČNI URED ZAGREB</w:t>
      </w:r>
    </w:p>
    <w:p w:rsidRDefault="00995CC0" w:rsidP="00995CC0" w:rsidR="00995CC0" w:rsidRPr="00995CC0">
      <w:pPr>
        <w:tabs>
          <w:tab w:pos="7938" w:val="left"/>
        </w:tabs>
        <w:jc w:val="both"/>
        <w:rPr>
          <w:sz w:val="24"/>
          <w:szCs w:val="24"/>
        </w:rPr>
      </w:pPr>
      <w:r w:rsidRPr="00995CC0">
        <w:rPr>
          <w:sz w:val="24"/>
          <w:szCs w:val="24"/>
        </w:rPr>
        <w:t>Stečajni upravitelj nije preuzeo posjed ovog stana, iz razloga što prijašnji zakonski zastupnik nije znao kod koga se nalaze ključevi stana. U tijeku je pribavljanje informacija i dokumentacije vezane za posjed stana.</w:t>
      </w:r>
    </w:p>
    <w:p w:rsidRDefault="00995CC0" w:rsidP="00995CC0" w:rsidR="00995CC0" w:rsidRPr="00995CC0">
      <w:pPr>
        <w:tabs>
          <w:tab w:pos="7938" w:val="left"/>
        </w:tabs>
        <w:jc w:val="both"/>
        <w:rPr>
          <w:sz w:val="24"/>
          <w:szCs w:val="24"/>
        </w:rPr>
      </w:pPr>
      <w:r w:rsidRPr="00995CC0">
        <w:rPr>
          <w:b/>
          <w:sz w:val="24"/>
          <w:szCs w:val="24"/>
        </w:rPr>
        <w:t>3.</w:t>
      </w:r>
      <w:r w:rsidRPr="00995CC0">
        <w:rPr>
          <w:sz w:val="24"/>
          <w:szCs w:val="24"/>
        </w:rPr>
        <w:t xml:space="preserve">Nekretnina upisana u zemljišnu knjigu zemljišnoknjižnog odjela ŠIBENIK, Općinski sud u Šibeniku, </w:t>
      </w:r>
      <w:r w:rsidRPr="00995CC0">
        <w:rPr>
          <w:b/>
          <w:sz w:val="24"/>
          <w:szCs w:val="24"/>
        </w:rPr>
        <w:t>z.k.ul. 2165</w:t>
      </w:r>
      <w:r w:rsidRPr="00995CC0">
        <w:rPr>
          <w:sz w:val="24"/>
          <w:szCs w:val="24"/>
        </w:rPr>
        <w:t xml:space="preserve">, k.o. 330191 ROGOZNICA i to PAŠNJAK, ukupne površine 52m2, sagrađena na </w:t>
      </w:r>
      <w:r w:rsidRPr="00995CC0">
        <w:rPr>
          <w:b/>
          <w:sz w:val="24"/>
          <w:szCs w:val="24"/>
        </w:rPr>
        <w:t>kat. čest. 2067/7</w:t>
      </w:r>
      <w:r w:rsidRPr="00995CC0">
        <w:rPr>
          <w:sz w:val="24"/>
          <w:szCs w:val="24"/>
        </w:rPr>
        <w:t xml:space="preserve"> k.o. Rogoznica, i to </w:t>
      </w:r>
      <w:r w:rsidRPr="00995CC0">
        <w:rPr>
          <w:b/>
          <w:sz w:val="24"/>
          <w:szCs w:val="24"/>
        </w:rPr>
        <w:t>vlasnički dio: 1/1</w:t>
      </w:r>
      <w:r w:rsidRPr="00995CC0">
        <w:rPr>
          <w:sz w:val="24"/>
          <w:szCs w:val="24"/>
        </w:rPr>
        <w:t>.</w:t>
      </w:r>
    </w:p>
    <w:p w:rsidRDefault="00995CC0" w:rsidP="00995CC0" w:rsidR="00995CC0" w:rsidRPr="00995CC0">
      <w:pPr>
        <w:tabs>
          <w:tab w:pos="7938" w:val="left"/>
        </w:tabs>
        <w:jc w:val="both"/>
        <w:rPr>
          <w:sz w:val="24"/>
          <w:szCs w:val="24"/>
        </w:rPr>
      </w:pPr>
      <w:r w:rsidRPr="00995CC0">
        <w:rPr>
          <w:sz w:val="24"/>
          <w:szCs w:val="24"/>
        </w:rPr>
        <w:t>Temeljem Rješenja Općinskog suda u Šibeniku posl. br. Ovr-707/14 od dana 26.svibnja 2014. godine, uknjižuje se založno pravo radi osiguranja novčane tražbine, u iznosu od 415.680,02 kuna (glavnica 381.515,46 kuna i kamata 34.164,56 kuna) zajedno sa zakonskim zateznim kamatama koje teku na iznos glavnice od dana 13.ožujka 2013. godine, kao i troškovi ovršnog postupka u iznosu od 5.000,00 kuna, za korist;</w:t>
      </w:r>
    </w:p>
    <w:p w:rsidRDefault="00995CC0" w:rsidP="00995CC0" w:rsidR="00995CC0" w:rsidRPr="00995CC0">
      <w:pPr>
        <w:tabs>
          <w:tab w:pos="7938" w:val="left"/>
        </w:tabs>
        <w:jc w:val="both"/>
        <w:rPr>
          <w:b/>
          <w:sz w:val="24"/>
          <w:szCs w:val="24"/>
        </w:rPr>
      </w:pPr>
      <w:r w:rsidRPr="00995CC0">
        <w:rPr>
          <w:b/>
          <w:sz w:val="24"/>
          <w:szCs w:val="24"/>
        </w:rPr>
        <w:lastRenderedPageBreak/>
        <w:t>REPUBLIKA HRVATSKA, MINISTARSTVO FINANCIJA, POREZNA UPRAVA, PODRUČNI URED ZAGREB</w:t>
      </w:r>
    </w:p>
    <w:p w:rsidRDefault="00995CC0" w:rsidP="00995CC0" w:rsidR="00995CC0" w:rsidRPr="00B151A3">
      <w:pPr>
        <w:rPr>
          <w:sz w:val="24"/>
          <w:szCs w:val="24"/>
        </w:rPr>
      </w:pPr>
      <w:r w:rsidRPr="00B151A3">
        <w:rPr>
          <w:sz w:val="24"/>
          <w:szCs w:val="24"/>
        </w:rPr>
        <w:t>-Pokretnine:</w:t>
      </w:r>
    </w:p>
    <w:p w:rsidRDefault="00995CC0" w:rsidP="00995CC0" w:rsidR="00995CC0" w:rsidRPr="00B151A3">
      <w:pPr>
        <w:rPr>
          <w:sz w:val="24"/>
          <w:szCs w:val="24"/>
        </w:rPr>
      </w:pPr>
      <w:r w:rsidRPr="00B151A3">
        <w:rPr>
          <w:sz w:val="24"/>
          <w:szCs w:val="24"/>
        </w:rPr>
        <w:t>Stečajni dužnik  nema evidentiranih pokretnina.</w:t>
      </w:r>
    </w:p>
    <w:p w:rsidRDefault="00995CC0" w:rsidP="00995CC0" w:rsidR="00995CC0" w:rsidRPr="00B151A3">
      <w:pPr>
        <w:rPr>
          <w:sz w:val="24"/>
          <w:szCs w:val="24"/>
        </w:rPr>
      </w:pPr>
      <w:r w:rsidRPr="00B151A3">
        <w:rPr>
          <w:sz w:val="24"/>
          <w:szCs w:val="24"/>
        </w:rPr>
        <w:t>-Novčane tražbine:</w:t>
      </w:r>
    </w:p>
    <w:p w:rsidRDefault="00995CC0" w:rsidP="00995CC0" w:rsidR="00995CC0" w:rsidRPr="00B151A3">
      <w:pPr>
        <w:rPr>
          <w:b/>
          <w:i/>
          <w:sz w:val="24"/>
          <w:szCs w:val="24"/>
        </w:rPr>
      </w:pPr>
      <w:r w:rsidRPr="00B151A3">
        <w:rPr>
          <w:sz w:val="24"/>
          <w:szCs w:val="24"/>
        </w:rPr>
        <w:t>Stečajni dužnik ima evidentirana novčana potraživanja od kupaca i države u iznosu od 987.868 kuna, te financijska potraživanja za dane zajmove povezanim društvima i depozite u iznosu od 469.000 kuna.</w:t>
      </w:r>
      <w:r w:rsidRPr="00B151A3">
        <w:rPr>
          <w:b/>
          <w:i/>
          <w:sz w:val="24"/>
          <w:szCs w:val="24"/>
        </w:rPr>
        <w:t xml:space="preserve"> </w:t>
      </w:r>
    </w:p>
    <w:p w:rsidRDefault="00995CC0" w:rsidP="00995CC0" w:rsidR="00995CC0" w:rsidRPr="00B151A3">
      <w:pPr>
        <w:rPr>
          <w:sz w:val="24"/>
          <w:szCs w:val="24"/>
        </w:rPr>
      </w:pPr>
      <w:r w:rsidRPr="00B151A3">
        <w:rPr>
          <w:sz w:val="24"/>
          <w:szCs w:val="24"/>
        </w:rPr>
        <w:t xml:space="preserve">Potraživanja su sporna iz razloga što se temelje na prenesenim podacima iz Godišnjih Izvješća za 2014.g. . O istima se vode sudski sporovi koji su u tijeku. Potraživanja od države su sporna iz razloga što je RH, Ministarstvo financija prijavilo svoju tražbinu koja je veća od spornih potraživana. </w:t>
      </w:r>
    </w:p>
    <w:p w:rsidRDefault="00995CC0" w:rsidP="00995CC0" w:rsidR="00995CC0" w:rsidRPr="00B151A3">
      <w:pPr>
        <w:rPr>
          <w:sz w:val="24"/>
          <w:szCs w:val="24"/>
        </w:rPr>
      </w:pPr>
      <w:r w:rsidRPr="00B151A3">
        <w:rPr>
          <w:sz w:val="24"/>
          <w:szCs w:val="24"/>
        </w:rPr>
        <w:t>Ukupne obaveze stečajnog dužnika po pristiglim i ispitanim tražbinama iznose:</w:t>
      </w:r>
    </w:p>
    <w:p w:rsidRDefault="00995CC0" w:rsidP="00995CC0" w:rsidR="00995CC0" w:rsidRPr="00B151A3">
      <w:pPr>
        <w:rPr>
          <w:sz w:val="24"/>
          <w:szCs w:val="24"/>
        </w:rPr>
      </w:pPr>
      <w:r w:rsidRPr="00B151A3">
        <w:rPr>
          <w:sz w:val="24"/>
          <w:szCs w:val="24"/>
        </w:rPr>
        <w:t xml:space="preserve">Priznato I. isplatni red </w:t>
      </w:r>
      <w:r w:rsidRPr="00B151A3">
        <w:rPr>
          <w:sz w:val="24"/>
          <w:szCs w:val="24"/>
        </w:rPr>
        <w:tab/>
      </w:r>
      <w:r w:rsidRPr="00B151A3">
        <w:rPr>
          <w:sz w:val="24"/>
          <w:szCs w:val="24"/>
        </w:rPr>
        <w:tab/>
        <w:t>0 kuna</w:t>
      </w:r>
    </w:p>
    <w:p w:rsidRDefault="00995CC0" w:rsidP="00995CC0" w:rsidR="00995CC0" w:rsidRPr="00B151A3">
      <w:pPr>
        <w:rPr>
          <w:sz w:val="24"/>
          <w:szCs w:val="24"/>
        </w:rPr>
      </w:pPr>
      <w:r w:rsidRPr="00B151A3">
        <w:rPr>
          <w:sz w:val="24"/>
          <w:szCs w:val="24"/>
        </w:rPr>
        <w:t xml:space="preserve">Osporeno I. isplatni red </w:t>
      </w:r>
      <w:r w:rsidRPr="00B151A3">
        <w:rPr>
          <w:sz w:val="24"/>
          <w:szCs w:val="24"/>
        </w:rPr>
        <w:tab/>
      </w:r>
      <w:r w:rsidRPr="00B151A3">
        <w:rPr>
          <w:sz w:val="24"/>
          <w:szCs w:val="24"/>
        </w:rPr>
        <w:tab/>
        <w:t>0 kuna</w:t>
      </w:r>
    </w:p>
    <w:p w:rsidRDefault="00995CC0" w:rsidP="00995CC0" w:rsidR="00995CC0" w:rsidRPr="00B151A3">
      <w:pPr>
        <w:rPr>
          <w:sz w:val="24"/>
          <w:szCs w:val="24"/>
        </w:rPr>
      </w:pPr>
      <w:r w:rsidRPr="00B151A3">
        <w:rPr>
          <w:sz w:val="24"/>
          <w:szCs w:val="24"/>
        </w:rPr>
        <w:t xml:space="preserve">Priznato II. isplatni red </w:t>
      </w:r>
      <w:r w:rsidRPr="00B151A3">
        <w:rPr>
          <w:sz w:val="24"/>
          <w:szCs w:val="24"/>
        </w:rPr>
        <w:tab/>
      </w:r>
      <w:r w:rsidRPr="00B151A3">
        <w:rPr>
          <w:sz w:val="24"/>
          <w:szCs w:val="24"/>
        </w:rPr>
        <w:tab/>
        <w:t>4.128.093,86 kuna</w:t>
      </w:r>
    </w:p>
    <w:p w:rsidRDefault="00995CC0" w:rsidP="00995CC0" w:rsidR="00995CC0" w:rsidRPr="00B151A3">
      <w:pPr>
        <w:rPr>
          <w:sz w:val="24"/>
          <w:szCs w:val="24"/>
        </w:rPr>
      </w:pPr>
      <w:r w:rsidRPr="00B151A3">
        <w:rPr>
          <w:sz w:val="24"/>
          <w:szCs w:val="24"/>
        </w:rPr>
        <w:t xml:space="preserve">Osporeno II. isplatni red </w:t>
      </w:r>
      <w:r w:rsidRPr="00B151A3">
        <w:rPr>
          <w:sz w:val="24"/>
          <w:szCs w:val="24"/>
        </w:rPr>
        <w:tab/>
      </w:r>
      <w:r w:rsidRPr="00B151A3">
        <w:rPr>
          <w:sz w:val="24"/>
          <w:szCs w:val="24"/>
        </w:rPr>
        <w:tab/>
        <w:t>0 kuna</w:t>
      </w:r>
    </w:p>
    <w:p w:rsidRDefault="00995CC0" w:rsidP="00995CC0" w:rsidR="00995CC0" w:rsidRPr="00B151A3">
      <w:pPr>
        <w:rPr>
          <w:sz w:val="24"/>
          <w:szCs w:val="24"/>
        </w:rPr>
      </w:pPr>
      <w:r w:rsidRPr="00B151A3">
        <w:rPr>
          <w:sz w:val="24"/>
          <w:szCs w:val="24"/>
        </w:rPr>
        <w:t>U odnosu na imovinu, obveze po ukupno priznatim tražbinama od kuna veće su  za 1.825.671,86 kuna od knjigovodstvene vrijednosti imovine.</w:t>
      </w:r>
    </w:p>
    <w:p w:rsidRDefault="00995CC0" w:rsidP="00B151A3" w:rsidR="00995CC0" w:rsidRPr="00B151A3">
      <w:pPr>
        <w:spacing w:lineRule="auto" w:line="276" w:after="200"/>
        <w:contextualSpacing/>
        <w:jc w:val="both"/>
        <w:rPr>
          <w:b/>
        </w:rPr>
      </w:pPr>
      <w:r w:rsidRPr="00B151A3">
        <w:rPr>
          <w:b/>
        </w:rPr>
        <w:t>POSTUPCI U TIJEKU</w:t>
      </w:r>
    </w:p>
    <w:p w:rsidRDefault="00995CC0" w:rsidP="00995CC0" w:rsidR="00995CC0" w:rsidRPr="00995CC0">
      <w:pPr>
        <w:pStyle w:val="Odlomakpopisa"/>
        <w:numPr>
          <w:ilvl w:val="0"/>
          <w:numId w:val="18"/>
        </w:numPr>
        <w:spacing w:lineRule="auto" w:line="276" w:after="200"/>
        <w:contextualSpacing/>
        <w:jc w:val="both"/>
      </w:pPr>
      <w:r w:rsidRPr="00995CC0">
        <w:rPr>
          <w:b/>
        </w:rPr>
        <w:t>Tužitelj Oleg Gennadević Belov c/a tuženika REGATA d.o.o. i dr.</w:t>
      </w:r>
      <w:r w:rsidRPr="00995CC0">
        <w:t xml:space="preserve">, pred Općinskim građanskim sudom u Zagrebu, pod poslovnim brojem </w:t>
      </w:r>
      <w:r w:rsidRPr="00995CC0">
        <w:rPr>
          <w:b/>
        </w:rPr>
        <w:t>P-1404/13</w:t>
      </w:r>
      <w:r w:rsidRPr="00995CC0">
        <w:t xml:space="preserve">, radi </w:t>
      </w:r>
      <w:r w:rsidRPr="00995CC0">
        <w:rPr>
          <w:b/>
        </w:rPr>
        <w:t>raskida ugovora</w:t>
      </w:r>
      <w:r w:rsidRPr="00995CC0">
        <w:t xml:space="preserve">, </w:t>
      </w:r>
      <w:r w:rsidRPr="00995CC0">
        <w:rPr>
          <w:b/>
        </w:rPr>
        <w:t>VPS</w:t>
      </w:r>
      <w:r w:rsidRPr="00995CC0">
        <w:t>:1.589.209,82kn, protutužbeni zahtjev REGATA d.o.o. u iznosu od 546.608,17 kn.</w:t>
      </w:r>
    </w:p>
    <w:p w:rsidRDefault="00995CC0" w:rsidP="00995CC0" w:rsidR="00995CC0" w:rsidRPr="00995CC0">
      <w:pPr>
        <w:pStyle w:val="Odlomakpopisa"/>
        <w:jc w:val="both"/>
      </w:pPr>
      <w:r w:rsidRPr="00995CC0">
        <w:t>Iduće ročište u ovom predmetu zakazano je za 21. studenog 2017. godine.</w:t>
      </w:r>
    </w:p>
    <w:p w:rsidRDefault="00995CC0" w:rsidP="00995CC0" w:rsidR="00995CC0" w:rsidRPr="00995CC0">
      <w:pPr>
        <w:pStyle w:val="Odlomakpopisa"/>
        <w:numPr>
          <w:ilvl w:val="0"/>
          <w:numId w:val="18"/>
        </w:numPr>
        <w:spacing w:lineRule="auto" w:line="276" w:after="200"/>
        <w:contextualSpacing/>
        <w:jc w:val="both"/>
      </w:pPr>
      <w:r w:rsidRPr="00995CC0">
        <w:rPr>
          <w:b/>
        </w:rPr>
        <w:t>Tužitelj REGATA d.o.o. c/a tuženika ROCHUS d.o.o.</w:t>
      </w:r>
      <w:r w:rsidRPr="00995CC0">
        <w:t xml:space="preserve">, pred Trgovačkim sudom u Zagrebu, pod poslovnim brojem </w:t>
      </w:r>
      <w:r w:rsidRPr="00995CC0">
        <w:rPr>
          <w:b/>
        </w:rPr>
        <w:t>P-762/14</w:t>
      </w:r>
      <w:r w:rsidRPr="00995CC0">
        <w:t xml:space="preserve">, radi </w:t>
      </w:r>
      <w:r w:rsidRPr="00995CC0">
        <w:rPr>
          <w:b/>
        </w:rPr>
        <w:t>isplate</w:t>
      </w:r>
      <w:r w:rsidRPr="00995CC0">
        <w:t xml:space="preserve">, </w:t>
      </w:r>
      <w:r w:rsidRPr="00995CC0">
        <w:rPr>
          <w:b/>
        </w:rPr>
        <w:t>VPS</w:t>
      </w:r>
      <w:r w:rsidRPr="00995CC0">
        <w:t>:1.606.175,27 kn.</w:t>
      </w:r>
    </w:p>
    <w:p w:rsidRDefault="00995CC0" w:rsidP="00995CC0" w:rsidR="00995CC0" w:rsidRPr="00995CC0">
      <w:pPr>
        <w:pStyle w:val="Odlomakpopisa"/>
        <w:jc w:val="both"/>
      </w:pPr>
      <w:r w:rsidRPr="00995CC0">
        <w:t xml:space="preserve">Dana 14. studenog 2013. godine, tužitelj je podnio tužbu Trgovačkom sudu u Zadru – Stalna služba u Šibeniku protiv tuženika radi isplate. Tuženik je dao odgovor na tužbu dana 12. veljače 2014. godine. Trgovački sud u Zadru – Stalna služba u Šibeniku oglasio se nenadležnim za postupanje u toj pravnoj stvari, te je predmet dostavljen Trgovačkom sudu u Zagrebu. </w:t>
      </w:r>
    </w:p>
    <w:p w:rsidRDefault="00995CC0" w:rsidP="00995CC0" w:rsidR="00995CC0" w:rsidRPr="00995CC0">
      <w:pPr>
        <w:pStyle w:val="Odlomakpopisa"/>
        <w:jc w:val="both"/>
      </w:pPr>
      <w:r w:rsidRPr="00995CC0">
        <w:t>Zadnje ročište u ovom predmetu održano je dana 18. studenog 2014. godine.</w:t>
      </w:r>
    </w:p>
    <w:p w:rsidRDefault="00995CC0" w:rsidP="00995CC0" w:rsidR="00995CC0" w:rsidRPr="00995CC0">
      <w:pPr>
        <w:pStyle w:val="Odlomakpopisa"/>
        <w:numPr>
          <w:ilvl w:val="0"/>
          <w:numId w:val="18"/>
        </w:numPr>
        <w:spacing w:lineRule="auto" w:line="276" w:after="200"/>
        <w:contextualSpacing/>
        <w:jc w:val="both"/>
      </w:pPr>
      <w:r w:rsidRPr="00995CC0">
        <w:rPr>
          <w:b/>
        </w:rPr>
        <w:t>Tužitelj Oleg Gennadević Belov c/a tuženika REGATA d.o.o.</w:t>
      </w:r>
      <w:r w:rsidRPr="00995CC0">
        <w:t xml:space="preserve">, pred Općinskim sudom u Šibeniku, pod poslovnim brojem </w:t>
      </w:r>
      <w:r w:rsidRPr="00995CC0">
        <w:rPr>
          <w:b/>
        </w:rPr>
        <w:t>P-831/13</w:t>
      </w:r>
      <w:r w:rsidRPr="00995CC0">
        <w:t xml:space="preserve">, radi </w:t>
      </w:r>
      <w:r w:rsidRPr="00995CC0">
        <w:rPr>
          <w:b/>
        </w:rPr>
        <w:t>ugovora i utvrđenja vlasništva</w:t>
      </w:r>
      <w:r w:rsidRPr="00995CC0">
        <w:t xml:space="preserve">, </w:t>
      </w:r>
      <w:r w:rsidRPr="00995CC0">
        <w:rPr>
          <w:b/>
        </w:rPr>
        <w:t>VPS</w:t>
      </w:r>
      <w:r w:rsidRPr="00995CC0">
        <w:t>:50.000,00 kn.</w:t>
      </w:r>
    </w:p>
    <w:p w:rsidRDefault="00995CC0" w:rsidP="00995CC0" w:rsidR="00995CC0" w:rsidRPr="00995CC0">
      <w:pPr>
        <w:pStyle w:val="Odlomakpopisa"/>
        <w:jc w:val="both"/>
      </w:pPr>
      <w:r w:rsidRPr="00995CC0">
        <w:t xml:space="preserve">Dana 29. siječnja 2013. godine, tužitelj je podnio tužbu Općinskom sudu u Šibeniku, pod poslovnim brojem P-831/13, protiv tuženika radi sklapanja ugovora i utvrđenja vlasništva, na koju je tuženik pravovremeno dao svoj odgovor. </w:t>
      </w:r>
    </w:p>
    <w:p w:rsidRDefault="00995CC0" w:rsidP="00995CC0" w:rsidR="00995CC0" w:rsidRPr="00995CC0">
      <w:pPr>
        <w:pStyle w:val="Odlomakpopisa"/>
        <w:jc w:val="both"/>
      </w:pPr>
      <w:r w:rsidRPr="00995CC0">
        <w:t xml:space="preserve">Dana 09. prosinca 2013. godine, Općinski sud u Šibeniku donio je presudu kojom je odbijen kao neosnovan tužbeni zahtjev tužitelja, na koju je presudu tužitelj uložio žalbu, te je predmet upućen drugostupanjskom sudu na rješavanje. </w:t>
      </w:r>
    </w:p>
    <w:p w:rsidRDefault="00995CC0" w:rsidP="00995CC0" w:rsidR="00995CC0" w:rsidRPr="00995CC0">
      <w:pPr>
        <w:pStyle w:val="Odlomakpopisa"/>
        <w:jc w:val="both"/>
      </w:pPr>
      <w:r w:rsidRPr="00995CC0">
        <w:t xml:space="preserve">Dana 11. rujna 2017. godine, odbijena je žalba kao neosnovana, te je potvrđena prvostupanjska presuda. </w:t>
      </w:r>
    </w:p>
    <w:p w:rsidRDefault="00995CC0" w:rsidP="00995CC0" w:rsidR="00995CC0" w:rsidRPr="00995CC0">
      <w:pPr>
        <w:pStyle w:val="Odlomakpopisa"/>
        <w:numPr>
          <w:ilvl w:val="0"/>
          <w:numId w:val="18"/>
        </w:numPr>
        <w:spacing w:lineRule="auto" w:line="276" w:after="200"/>
        <w:contextualSpacing/>
        <w:jc w:val="both"/>
      </w:pPr>
      <w:r w:rsidRPr="00995CC0">
        <w:rPr>
          <w:b/>
        </w:rPr>
        <w:lastRenderedPageBreak/>
        <w:t>Tužitelj Oleg Gennadević Belov c/a tuženika REGATA d.o.o. i dr.</w:t>
      </w:r>
      <w:r w:rsidRPr="00995CC0">
        <w:t xml:space="preserve">, pred Općinskim sudom u Šibeniku, pod poslovnim brojem </w:t>
      </w:r>
      <w:r w:rsidRPr="00995CC0">
        <w:rPr>
          <w:b/>
        </w:rPr>
        <w:t>P-574/17(ranije P-1081/13)</w:t>
      </w:r>
      <w:r w:rsidRPr="00995CC0">
        <w:t xml:space="preserve">, radi </w:t>
      </w:r>
      <w:r w:rsidRPr="00995CC0">
        <w:rPr>
          <w:b/>
        </w:rPr>
        <w:t>pobijanja pravne radnje dužnika na štetu vjerovnika</w:t>
      </w:r>
      <w:r w:rsidRPr="00995CC0">
        <w:t xml:space="preserve">, </w:t>
      </w:r>
      <w:r w:rsidRPr="00995CC0">
        <w:rPr>
          <w:b/>
        </w:rPr>
        <w:t>VPS</w:t>
      </w:r>
      <w:r w:rsidRPr="00995CC0">
        <w:t>:2.122.431,08 kn.</w:t>
      </w:r>
    </w:p>
    <w:p w:rsidRDefault="00995CC0" w:rsidP="00995CC0" w:rsidR="00995CC0" w:rsidRPr="00995CC0">
      <w:pPr>
        <w:pStyle w:val="Odlomakpopisa"/>
        <w:jc w:val="both"/>
      </w:pPr>
      <w:r w:rsidRPr="00995CC0">
        <w:t xml:space="preserve">Dana 07. svibnja 2013. godine, tužitelj je podnio tužbu Općinskom sud u Šibeniku, pod poslovnim brojem P-1081/13, protiv tuženika kao trećetuženika radi pobijanja pravne radnje dužnika na štetu vjerovnika, na koju je tuženik pravovremeno dao svoj odgovor (04. rujna 2013. godine). </w:t>
      </w:r>
    </w:p>
    <w:p w:rsidRDefault="00995CC0" w:rsidP="00995CC0" w:rsidR="00995CC0" w:rsidRPr="00995CC0">
      <w:pPr>
        <w:pStyle w:val="Odlomakpopisa"/>
        <w:jc w:val="both"/>
      </w:pPr>
      <w:r w:rsidRPr="00995CC0">
        <w:t>Dana 29. srpnja 2014. godine donesena je presuda Općinskog suda u Šibeniku kojom je odbijen kao neosnovan tužbeni zahtjev tužitelja, na koju je presudu tužitelj uložio žalbu, koja je uvažena, te je ukinuta presuda Općinskog suda u Šibeniku pod poslovnim brojem P-1081/13 i predmet je vraćen prvostupanjskom sudu na postupanje.</w:t>
      </w:r>
    </w:p>
    <w:p w:rsidRDefault="00995CC0" w:rsidP="00995CC0" w:rsidR="00995CC0" w:rsidRPr="00995CC0">
      <w:pPr>
        <w:pStyle w:val="Odlomakpopisa"/>
        <w:numPr>
          <w:ilvl w:val="0"/>
          <w:numId w:val="18"/>
        </w:numPr>
        <w:spacing w:lineRule="auto" w:line="276" w:after="200"/>
        <w:contextualSpacing/>
        <w:jc w:val="both"/>
      </w:pPr>
      <w:r w:rsidRPr="00995CC0">
        <w:rPr>
          <w:b/>
        </w:rPr>
        <w:t>Ovrhovoditelj ŠTEDBANKA d.d. c/a ovršenika REGATA d.o.o.</w:t>
      </w:r>
      <w:r w:rsidRPr="00995CC0">
        <w:t xml:space="preserve">, pred Općinskim sudom u Šibeniku, pod poslovnim brojem </w:t>
      </w:r>
      <w:r w:rsidRPr="00995CC0">
        <w:rPr>
          <w:b/>
        </w:rPr>
        <w:t>Ovr-65/14</w:t>
      </w:r>
      <w:r w:rsidRPr="00995CC0">
        <w:t xml:space="preserve">, radi </w:t>
      </w:r>
      <w:r w:rsidRPr="00995CC0">
        <w:rPr>
          <w:b/>
        </w:rPr>
        <w:t>ovrhe na nekretnini</w:t>
      </w:r>
      <w:r w:rsidRPr="00995CC0">
        <w:t xml:space="preserve">, </w:t>
      </w:r>
      <w:r w:rsidRPr="00995CC0">
        <w:rPr>
          <w:b/>
        </w:rPr>
        <w:t>VPS</w:t>
      </w:r>
      <w:r w:rsidRPr="00995CC0">
        <w:t>:450.000,00 kn.</w:t>
      </w:r>
    </w:p>
    <w:p w:rsidRDefault="00995CC0" w:rsidP="00995CC0" w:rsidR="00995CC0" w:rsidRPr="00995CC0">
      <w:pPr>
        <w:pStyle w:val="Odlomakpopisa"/>
        <w:jc w:val="both"/>
      </w:pPr>
      <w:r w:rsidRPr="00995CC0">
        <w:t xml:space="preserve">Ovrhovoditelj je dana 15. siječnja 2014. godine, Općinskom sud u Šibeniku podnio Ovršni prijedlog radi ovrhe na nekretnini. </w:t>
      </w:r>
    </w:p>
    <w:p w:rsidRDefault="00995CC0" w:rsidP="00995CC0" w:rsidR="00995CC0" w:rsidRPr="00995CC0">
      <w:pPr>
        <w:pStyle w:val="Odlomakpopisa"/>
        <w:jc w:val="both"/>
      </w:pPr>
      <w:r w:rsidRPr="00995CC0">
        <w:t xml:space="preserve">Ovršenik je na Rješenje o ovrsi uložio žalbu dana 12. veljače 2014. godine. </w:t>
      </w:r>
    </w:p>
    <w:p w:rsidRDefault="00995CC0" w:rsidP="00995CC0" w:rsidR="00995CC0" w:rsidRPr="00995CC0">
      <w:pPr>
        <w:pStyle w:val="Odlomakpopisa"/>
        <w:jc w:val="both"/>
      </w:pPr>
      <w:r w:rsidRPr="00995CC0">
        <w:t xml:space="preserve">Rješenjem Županijskog suda u Šibeniku pod poslovnim brojem Gž-1048/14, od dana 23. veljače 2015. godine, odbijena je žalba ovršenika kao neosnovana i potvrđeno Rješenje Općinskog suda u Šibeniku pod poslovnim brojem Ovr-65/14. </w:t>
      </w:r>
    </w:p>
    <w:p w:rsidRDefault="00995CC0" w:rsidP="00995CC0" w:rsidR="00995CC0" w:rsidRPr="00995CC0">
      <w:pPr>
        <w:pStyle w:val="Odlomakpopisa"/>
        <w:numPr>
          <w:ilvl w:val="0"/>
          <w:numId w:val="18"/>
        </w:numPr>
        <w:spacing w:lineRule="auto" w:line="276" w:after="200"/>
        <w:contextualSpacing/>
        <w:jc w:val="both"/>
      </w:pPr>
      <w:r w:rsidRPr="00995CC0">
        <w:rPr>
          <w:b/>
        </w:rPr>
        <w:t>Predlagatelj osiguranja RH, Ministarstvo financija, PU c/a Protivnik osiguranja REGATA d.o.o.</w:t>
      </w:r>
      <w:r w:rsidRPr="00995CC0">
        <w:t xml:space="preserve">, pred Općinskim sudom u Šibeniku, pod poslovnim brojem </w:t>
      </w:r>
      <w:r w:rsidRPr="00995CC0">
        <w:rPr>
          <w:b/>
        </w:rPr>
        <w:t>Ovr-707/14</w:t>
      </w:r>
      <w:r w:rsidRPr="00995CC0">
        <w:t xml:space="preserve">, radi </w:t>
      </w:r>
      <w:r w:rsidRPr="00995CC0">
        <w:rPr>
          <w:b/>
        </w:rPr>
        <w:t>osiguranja novčane tražbine predlagatelja osiguranja</w:t>
      </w:r>
      <w:r w:rsidRPr="00995CC0">
        <w:t xml:space="preserve">, </w:t>
      </w:r>
      <w:r w:rsidRPr="00995CC0">
        <w:rPr>
          <w:b/>
        </w:rPr>
        <w:t>VPS</w:t>
      </w:r>
      <w:r w:rsidRPr="00995CC0">
        <w:t>:381.515,46 kn (glavnice) zajedno sa zakonskom zateznom kamatom tekućom od 13. ožujka 2014. godine, te 5.000,00 kn (troškovi postupka osiguranja)</w:t>
      </w:r>
    </w:p>
    <w:p w:rsidRDefault="00995CC0" w:rsidP="00995CC0" w:rsidR="00995CC0" w:rsidRPr="00995CC0">
      <w:pPr>
        <w:pStyle w:val="Odlomakpopisa"/>
        <w:jc w:val="both"/>
      </w:pPr>
      <w:r w:rsidRPr="00995CC0">
        <w:t xml:space="preserve">Protivnik osiguranja je na Rješenje o osiguranju novčane tražbine prisilnim osnivanjem založnog prava na nekretninama koje je zaprimio dana 29. svibnja 2014. godine, uložio žalbu dana 05. lipnja 2014. godine, budući da nekretnine na kojima se osniva prisilno založno pravo nisu u vlasništvu protivnika osiguranja. </w:t>
      </w:r>
    </w:p>
    <w:p w:rsidRDefault="00995CC0" w:rsidP="00995CC0" w:rsidR="00995CC0" w:rsidRPr="00995CC0">
      <w:pPr>
        <w:pStyle w:val="Odlomakpopisa"/>
        <w:jc w:val="both"/>
      </w:pPr>
      <w:r w:rsidRPr="00995CC0">
        <w:t>Ovršenik je Rješenjem od dana 09. srpnja 2014. godine upućen pokrenuti parnicu radi proglašenja nedopuštenom navedene ovrhe.</w:t>
      </w:r>
    </w:p>
    <w:p w:rsidRDefault="00995CC0" w:rsidP="00995CC0" w:rsidR="00995CC0" w:rsidRPr="00995CC0">
      <w:pPr>
        <w:pStyle w:val="Odlomakpopisa"/>
        <w:numPr>
          <w:ilvl w:val="0"/>
          <w:numId w:val="18"/>
        </w:numPr>
        <w:spacing w:lineRule="auto" w:line="276" w:after="200"/>
        <w:contextualSpacing/>
        <w:jc w:val="both"/>
      </w:pPr>
      <w:r w:rsidRPr="00995CC0">
        <w:rPr>
          <w:b/>
        </w:rPr>
        <w:t>Tužitelj REGATA d.o.o. c/a tuženika RH Ministarstvo financija, PU</w:t>
      </w:r>
      <w:r w:rsidRPr="00995CC0">
        <w:t xml:space="preserve">, pred Općinskim sudom u Šibeniku, pod poslovnim brojem </w:t>
      </w:r>
      <w:r w:rsidRPr="00995CC0">
        <w:rPr>
          <w:b/>
        </w:rPr>
        <w:t>P-1516/15</w:t>
      </w:r>
      <w:r w:rsidRPr="00995CC0">
        <w:t xml:space="preserve">, radi </w:t>
      </w:r>
      <w:r w:rsidRPr="00995CC0">
        <w:rPr>
          <w:b/>
        </w:rPr>
        <w:t>proglašenja ovrhe nedopuštenom</w:t>
      </w:r>
      <w:r w:rsidRPr="00995CC0">
        <w:t>.</w:t>
      </w:r>
    </w:p>
    <w:p w:rsidRDefault="00995CC0" w:rsidP="00995CC0" w:rsidR="00995CC0" w:rsidRPr="00995CC0">
      <w:pPr>
        <w:pStyle w:val="Odlomakpopisa"/>
        <w:jc w:val="both"/>
      </w:pPr>
      <w:r w:rsidRPr="00995CC0">
        <w:t xml:space="preserve">Tužitelj je podnio tužbu Općinskom građanskom sudu u Zagrebu protiv tuženika radi proglašenja ovrhe određene Rješenjem o osiguranju Općinskog suda u Šibeniku pod poslovnim brojem Ovr-707/14, od dana 26. travnja 2014. godine, nedopuštenom. </w:t>
      </w:r>
    </w:p>
    <w:p w:rsidRDefault="00995CC0" w:rsidP="00995CC0" w:rsidR="00995CC0" w:rsidRPr="00995CC0">
      <w:pPr>
        <w:pStyle w:val="Odlomakpopisa"/>
        <w:jc w:val="both"/>
      </w:pPr>
      <w:r w:rsidRPr="00995CC0">
        <w:t>Dana 21. listopada 2016. godine Općinski sud u Šibeniku donio je presudu kojom je odbijen tužbeni zahtjev tužitelja kao neosnovan. Tužitelj je dana 07. studenog 2016. godine uložio žalbu na presudu, o kojoj još uvijek nije odlučeno.</w:t>
      </w:r>
    </w:p>
    <w:p w:rsidRDefault="00995CC0" w:rsidP="00995CC0" w:rsidR="00995CC0" w:rsidRPr="00995CC0">
      <w:pPr>
        <w:pStyle w:val="Odlomakpopisa"/>
        <w:numPr>
          <w:ilvl w:val="0"/>
          <w:numId w:val="18"/>
        </w:numPr>
        <w:spacing w:lineRule="auto" w:line="276" w:after="200"/>
        <w:contextualSpacing/>
        <w:jc w:val="both"/>
      </w:pPr>
      <w:r w:rsidRPr="00995CC0">
        <w:rPr>
          <w:b/>
        </w:rPr>
        <w:lastRenderedPageBreak/>
        <w:t>Tužitelj Općina Rogoznica c/a tuženika REGATA d.o.o.</w:t>
      </w:r>
      <w:r w:rsidRPr="00995CC0">
        <w:t xml:space="preserve">, pred Trgovačkim sudom u Zagrebu, pod poslovnim brojem </w:t>
      </w:r>
      <w:r w:rsidRPr="00995CC0">
        <w:rPr>
          <w:b/>
        </w:rPr>
        <w:t>Povrv-2238/17</w:t>
      </w:r>
      <w:r w:rsidRPr="00995CC0">
        <w:t xml:space="preserve">, radi </w:t>
      </w:r>
      <w:r w:rsidRPr="00995CC0">
        <w:rPr>
          <w:b/>
        </w:rPr>
        <w:t>ovrhe</w:t>
      </w:r>
      <w:r w:rsidRPr="00995CC0">
        <w:t xml:space="preserve">, </w:t>
      </w:r>
      <w:r w:rsidRPr="00995CC0">
        <w:rPr>
          <w:b/>
        </w:rPr>
        <w:t>VPS</w:t>
      </w:r>
      <w:r w:rsidRPr="00995CC0">
        <w:t>:271.433,28 kn.</w:t>
      </w:r>
    </w:p>
    <w:p w:rsidRDefault="00995CC0" w:rsidP="00995CC0" w:rsidR="00995CC0" w:rsidRPr="00995CC0">
      <w:pPr>
        <w:pStyle w:val="Odlomakpopisa"/>
        <w:jc w:val="both"/>
      </w:pPr>
      <w:r w:rsidRPr="00995CC0">
        <w:t xml:space="preserve">Tužitelj je podnio prijedlog za ovrhu na temelju vjerodostojne isprave, te je dana 10. srpnja 2014. godine doneseno Rješenje o ovrsi. </w:t>
      </w:r>
    </w:p>
    <w:p w:rsidRDefault="00995CC0" w:rsidP="00995CC0" w:rsidR="00995CC0" w:rsidRPr="00995CC0">
      <w:pPr>
        <w:pStyle w:val="Odlomakpopisa"/>
        <w:jc w:val="both"/>
      </w:pPr>
      <w:r w:rsidRPr="00995CC0">
        <w:t xml:space="preserve">Na navedeno Rješenje o ovrsi, tuženik je pravovremeno uložio prigovor. Predmet se po prigovoru nalazi na Trgovačkom sudu u Zagrebu pod poslovnim brojem Povrv-2238/17. </w:t>
      </w:r>
    </w:p>
    <w:p w:rsidRDefault="00995CC0" w:rsidP="00995CC0" w:rsidR="00995CC0" w:rsidRPr="00995CC0">
      <w:pPr>
        <w:pStyle w:val="Odlomakpopisa"/>
        <w:jc w:val="both"/>
      </w:pPr>
      <w:r w:rsidRPr="00995CC0">
        <w:t>Rješenjem od dana 13. lipnja 2017. godine, ukinut je platni nalog u cijelosti, te je odbačen ovršni prijedlog ovrhovoditelja u ovoj pravnoj stvari.</w:t>
      </w:r>
    </w:p>
    <w:p w:rsidRDefault="00995CC0" w:rsidP="00995CC0" w:rsidR="00995CC0" w:rsidRPr="00995CC0">
      <w:pPr>
        <w:pStyle w:val="Odlomakpopisa"/>
        <w:numPr>
          <w:ilvl w:val="0"/>
          <w:numId w:val="18"/>
        </w:numPr>
        <w:spacing w:lineRule="auto" w:line="276" w:after="200"/>
        <w:contextualSpacing/>
        <w:jc w:val="both"/>
      </w:pPr>
      <w:r w:rsidRPr="00995CC0">
        <w:rPr>
          <w:b/>
        </w:rPr>
        <w:t>Tužitelj REGATA d.o.o. c/a tuženika 1. Općina Rogoznica i 2. Marko Slamar</w:t>
      </w:r>
      <w:r w:rsidRPr="00995CC0">
        <w:t xml:space="preserve">, pred Općinskim sudom u Šibeniku, pod poslovnim brojem </w:t>
      </w:r>
      <w:r w:rsidRPr="00995CC0">
        <w:rPr>
          <w:b/>
        </w:rPr>
        <w:t>P-1924/12</w:t>
      </w:r>
      <w:r w:rsidRPr="00995CC0">
        <w:t xml:space="preserve">, radi </w:t>
      </w:r>
      <w:r w:rsidRPr="00995CC0">
        <w:rPr>
          <w:b/>
        </w:rPr>
        <w:t>iseljenja i predaje stambenog prostora u posjed</w:t>
      </w:r>
      <w:r w:rsidRPr="00995CC0">
        <w:t>.</w:t>
      </w:r>
    </w:p>
    <w:p w:rsidRDefault="00995CC0" w:rsidP="00995CC0" w:rsidR="00995CC0" w:rsidRPr="00995CC0">
      <w:pPr>
        <w:pStyle w:val="Odlomakpopisa"/>
        <w:jc w:val="both"/>
      </w:pPr>
      <w:r w:rsidRPr="00995CC0">
        <w:t xml:space="preserve">Dana 06. ožujka 2014. godine, Općinski sud u Šibeniku, donio je presudu pod poslovnim brojem P-1924/12, kojom je naložio tuženicima 1. Općini Rogoznici i 2. Marku Slamaru da isprazne i predaju tužitelju u posjed, slobodan od osoba i stvari u stanju u kakvom je bio i zaprimljen, stan u prizemlju, površine 62,00m2, ulaz iz unutarnjeg stubišta desno, koji se sastoji od kuhinje s dnevnim boravkom, kupaonice, dvije spavaće sobe, pred prostora i dvije terase, u kat.čest.2058/20 k.o. Rogoznica, te da tužitelju nadoknade parnični trošak u iznosu od 3.612,50kn. </w:t>
      </w:r>
    </w:p>
    <w:p w:rsidRDefault="00995CC0" w:rsidP="00995CC0" w:rsidR="00995CC0" w:rsidRPr="00995CC0">
      <w:pPr>
        <w:pStyle w:val="Odlomakpopisa"/>
        <w:jc w:val="both"/>
      </w:pPr>
      <w:r w:rsidRPr="00995CC0">
        <w:t>Tuženik Marko Slamar uložio je žalbu na navedenu presudu, te je dana 07. ožujka 2016. godine, Županijski sud u Šibeniku, donio presudu pod poslovnim brojem Gž-1305/14, kojom je odbio žalbu tuženika Marka Slamara kao neosnovanu i potvrdio presudu Općinskog suda u Šibeniku broj P-1924/12 od 06. ožujka 2014. godine.</w:t>
      </w:r>
    </w:p>
    <w:p w:rsidRDefault="00995CC0" w:rsidP="00995CC0" w:rsidR="00995CC0" w:rsidRPr="00995CC0">
      <w:pPr>
        <w:pStyle w:val="Odlomakpopisa"/>
        <w:jc w:val="both"/>
      </w:pPr>
      <w:r w:rsidRPr="00995CC0">
        <w:t>Dana 26. travnja 2016. godine, podnesen je prijedlog za ovrhu ovrhovoditelja REGATA d.o.o., radi ispražnjena i predaje stana u posjed ovrhovoditelju, pod poslovnim brojem Ovr-382/16, na koje je dana 21. lipnja 2016. godine ovršenik Marko Slamar podnio žalbu.</w:t>
      </w:r>
    </w:p>
    <w:p w:rsidRDefault="00995CC0" w:rsidP="00995CC0" w:rsidR="00995CC0" w:rsidRPr="00995CC0">
      <w:pPr>
        <w:pStyle w:val="Tijeloteksta"/>
        <w:tabs>
          <w:tab w:pos="0" w:val="left"/>
        </w:tabs>
        <w:rPr>
          <w:rFonts w:hAnsi="Times New Roman" w:ascii="Times New Roman"/>
          <w:b/>
          <w:szCs w:val="24"/>
        </w:rPr>
      </w:pPr>
      <w:r w:rsidRPr="00995CC0">
        <w:rPr>
          <w:rFonts w:hAnsi="Times New Roman" w:ascii="Times New Roman"/>
          <w:b/>
          <w:szCs w:val="24"/>
        </w:rPr>
        <w:t>8.  ZAKLJUČCI I PRIJEDLOZI</w:t>
      </w:r>
    </w:p>
    <w:p w:rsidRDefault="00995CC0" w:rsidP="00995CC0" w:rsidR="00995CC0" w:rsidRPr="00995CC0">
      <w:pPr>
        <w:pStyle w:val="Tijeloteksta"/>
        <w:tabs>
          <w:tab w:pos="426" w:val="left"/>
        </w:tabs>
        <w:rPr>
          <w:rFonts w:hAnsi="Times New Roman" w:ascii="Times New Roman"/>
          <w:szCs w:val="24"/>
        </w:rPr>
      </w:pPr>
      <w:r w:rsidRPr="00995CC0">
        <w:rPr>
          <w:rFonts w:hAnsi="Times New Roman" w:ascii="Times New Roman"/>
          <w:szCs w:val="24"/>
        </w:rPr>
        <w:t>Iz svega naprijed izloženog stečajna upraviteljica predlaže da vjerovnici na ročištu usvoje sljedeće zaključke i odluke:</w:t>
      </w:r>
    </w:p>
    <w:p w:rsidRDefault="00995CC0" w:rsidP="00995CC0" w:rsidR="00995CC0" w:rsidRPr="00995CC0">
      <w:pPr>
        <w:pStyle w:val="Tijeloteksta"/>
        <w:numPr>
          <w:ilvl w:val="0"/>
          <w:numId w:val="19"/>
        </w:numPr>
        <w:tabs>
          <w:tab w:pos="426" w:val="left"/>
        </w:tabs>
        <w:overflowPunct/>
        <w:autoSpaceDE/>
        <w:autoSpaceDN/>
        <w:adjustRightInd/>
        <w:textAlignment w:val="auto"/>
        <w:rPr>
          <w:rFonts w:hAnsi="Times New Roman" w:ascii="Times New Roman"/>
          <w:szCs w:val="24"/>
        </w:rPr>
      </w:pPr>
      <w:r w:rsidRPr="00995CC0">
        <w:rPr>
          <w:rFonts w:hAnsi="Times New Roman" w:ascii="Times New Roman"/>
          <w:szCs w:val="24"/>
        </w:rPr>
        <w:t xml:space="preserve">Prihvaća se Izvješće stečajne upraviteljice o gospodarskom položaju   </w:t>
      </w:r>
    </w:p>
    <w:p w:rsidRDefault="00995CC0" w:rsidP="00995CC0" w:rsidR="00995CC0" w:rsidRPr="00995CC0">
      <w:pPr>
        <w:pStyle w:val="Tijeloteksta"/>
        <w:tabs>
          <w:tab w:pos="426" w:val="left"/>
        </w:tabs>
        <w:ind w:left="555"/>
        <w:rPr>
          <w:rFonts w:hAnsi="Times New Roman" w:ascii="Times New Roman"/>
          <w:szCs w:val="24"/>
        </w:rPr>
      </w:pPr>
      <w:r w:rsidRPr="00995CC0">
        <w:rPr>
          <w:rFonts w:hAnsi="Times New Roman" w:ascii="Times New Roman"/>
          <w:szCs w:val="24"/>
        </w:rPr>
        <w:t xml:space="preserve">     stečajnog dužnika i njegovim uzrocima.</w:t>
      </w:r>
    </w:p>
    <w:p w:rsidRDefault="00995CC0" w:rsidP="00995CC0" w:rsidR="00995CC0" w:rsidRPr="00995CC0">
      <w:pPr>
        <w:pStyle w:val="Tijeloteksta"/>
        <w:numPr>
          <w:ilvl w:val="0"/>
          <w:numId w:val="19"/>
        </w:numPr>
        <w:tabs>
          <w:tab w:pos="426" w:val="left"/>
        </w:tabs>
        <w:overflowPunct/>
        <w:autoSpaceDE/>
        <w:autoSpaceDN/>
        <w:adjustRightInd/>
        <w:textAlignment w:val="auto"/>
        <w:rPr>
          <w:rFonts w:hAnsi="Times New Roman" w:ascii="Times New Roman"/>
          <w:szCs w:val="24"/>
        </w:rPr>
      </w:pPr>
      <w:r w:rsidRPr="00995CC0">
        <w:rPr>
          <w:rFonts w:hAnsi="Times New Roman" w:ascii="Times New Roman"/>
          <w:szCs w:val="24"/>
        </w:rPr>
        <w:t>Prihvaćaju se dosada poduzete radnje stečajne upraviteljice. Nema mogućnosti za nastavak poslovanja.</w:t>
      </w:r>
    </w:p>
    <w:p w:rsidRDefault="00995CC0" w:rsidP="00995CC0" w:rsidR="00995CC0" w:rsidRPr="00995CC0">
      <w:pPr>
        <w:pStyle w:val="Tijeloteksta"/>
        <w:numPr>
          <w:ilvl w:val="0"/>
          <w:numId w:val="19"/>
        </w:numPr>
        <w:tabs>
          <w:tab w:pos="426" w:val="left"/>
        </w:tabs>
        <w:overflowPunct/>
        <w:autoSpaceDE/>
        <w:autoSpaceDN/>
        <w:adjustRightInd/>
        <w:textAlignment w:val="auto"/>
        <w:rPr>
          <w:rFonts w:hAnsi="Times New Roman" w:ascii="Times New Roman"/>
          <w:szCs w:val="24"/>
        </w:rPr>
      </w:pPr>
      <w:r w:rsidRPr="00995CC0">
        <w:rPr>
          <w:rFonts w:hAnsi="Times New Roman" w:ascii="Times New Roman"/>
          <w:szCs w:val="24"/>
        </w:rPr>
        <w:t>Parnice i postupci u tijeku, odnosno novi postupci nastaviti će se ili pokrenuti u korist stečajne mase ovisno o procjeni stečajne upraviteljice. Daje se suglasnost stečajnoj upraviteljici da izda punomoć za zastupanje odvjetniku.</w:t>
      </w:r>
    </w:p>
    <w:p w:rsidRDefault="00995CC0" w:rsidP="00995CC0" w:rsidR="00995CC0">
      <w:pPr>
        <w:pStyle w:val="Tijeloteksta"/>
        <w:numPr>
          <w:ilvl w:val="0"/>
          <w:numId w:val="19"/>
        </w:numPr>
        <w:tabs>
          <w:tab w:pos="426" w:val="left"/>
        </w:tabs>
        <w:overflowPunct/>
        <w:autoSpaceDE/>
        <w:autoSpaceDN/>
        <w:adjustRightInd/>
        <w:textAlignment w:val="auto"/>
        <w:rPr>
          <w:rFonts w:hAnsi="Times New Roman" w:ascii="Times New Roman"/>
          <w:szCs w:val="24"/>
        </w:rPr>
      </w:pPr>
      <w:r w:rsidRPr="00995CC0">
        <w:rPr>
          <w:rFonts w:hAnsi="Times New Roman" w:ascii="Times New Roman"/>
          <w:szCs w:val="24"/>
        </w:rPr>
        <w:t>Daje se odobrenje stečajnoj upraviteljici da pristupi prodaji pokretne imovine stečajnog dužnika, ukoliko se u nastavku postupka utvrdi postojanje iste,objavom oglasa o prodaji imovine. Početna cijena će kod prvog oglasa biti po cijeni koju će sačiniti ovlašteni sudski vještak, ali ne ispod 2/3 procijenjene vrijednosti. Ukoliko se imovina ne proda po toj vrijednosti, u drugom pokušaju će se  prodavati po ½ procijenjene vrijednosti, a u trećem pokušaju po 1/3 procijenjene vrijednosti. Ako se imovina ne proda niti nakon trećeg pokušaja, može se prodati neposrednom pogodbom.</w:t>
      </w:r>
    </w:p>
    <w:p w:rsidRDefault="00C6202E" w:rsidP="00995CC0" w:rsidR="00C6202E" w:rsidRPr="00995CC0">
      <w:pPr>
        <w:pStyle w:val="Tijeloteksta"/>
        <w:numPr>
          <w:ilvl w:val="0"/>
          <w:numId w:val="19"/>
        </w:numPr>
        <w:tabs>
          <w:tab w:pos="426" w:val="left"/>
        </w:tabs>
        <w:overflowPunct/>
        <w:autoSpaceDE/>
        <w:autoSpaceDN/>
        <w:adjustRightInd/>
        <w:textAlignment w:val="auto"/>
        <w:rPr>
          <w:rFonts w:hAnsi="Times New Roman" w:ascii="Times New Roman"/>
          <w:szCs w:val="24"/>
        </w:rPr>
      </w:pPr>
      <w:r>
        <w:rPr>
          <w:rFonts w:hAnsi="Times New Roman" w:ascii="Times New Roman"/>
          <w:szCs w:val="24"/>
        </w:rPr>
        <w:lastRenderedPageBreak/>
        <w:t>Daje se suglasnost stečajnoj upraviteljici za povlačenje tužbe kontra tuženika Rochus d.o.o. p-762/14, vps 1.606.175,27 kn</w:t>
      </w:r>
    </w:p>
    <w:p w:rsidRDefault="00803704" w:rsidP="00B16170" w:rsidR="00803704" w:rsidRPr="00995CC0">
      <w:pPr>
        <w:ind w:firstLine="720"/>
        <w:jc w:val="both"/>
        <w:rPr>
          <w:bCs/>
          <w:sz w:val="24"/>
          <w:szCs w:val="24"/>
        </w:rPr>
      </w:pPr>
    </w:p>
    <w:p w:rsidRDefault="00C24D1F" w:rsidP="00803704" w:rsidR="008F0A37" w:rsidRPr="00995CC0">
      <w:pPr>
        <w:pStyle w:val="Bezproreda"/>
        <w:rPr>
          <w:rFonts w:hAnsi="Times New Roman" w:ascii="Times New Roman"/>
          <w:bCs/>
          <w:sz w:val="24"/>
          <w:szCs w:val="24"/>
        </w:rPr>
      </w:pPr>
      <w:r w:rsidRPr="00995CC0">
        <w:rPr>
          <w:rFonts w:hAnsi="Times New Roman" w:ascii="Times New Roman"/>
          <w:sz w:val="24"/>
          <w:szCs w:val="24"/>
        </w:rPr>
        <w:tab/>
      </w:r>
      <w:r w:rsidR="008F0A37" w:rsidRPr="00995CC0">
        <w:rPr>
          <w:rFonts w:hAnsi="Times New Roman" w:ascii="Times New Roman"/>
          <w:bCs/>
          <w:sz w:val="24"/>
          <w:szCs w:val="24"/>
        </w:rPr>
        <w:t xml:space="preserve">Stečajni sudac upoznaje nazočne da prema čl. </w:t>
      </w:r>
      <w:smartTag w:element="metricconverter" w:uri="urn:schemas-microsoft-com:office:smarttags">
        <w:smartTagPr>
          <w:attr w:val="38 a" w:name="ProductID"/>
        </w:smartTagPr>
        <w:r w:rsidR="008F0A37" w:rsidRPr="00995CC0">
          <w:rPr>
            <w:rFonts w:hAnsi="Times New Roman" w:ascii="Times New Roman"/>
            <w:bCs/>
            <w:sz w:val="24"/>
            <w:szCs w:val="24"/>
          </w:rPr>
          <w:t>38 a</w:t>
        </w:r>
      </w:smartTag>
      <w:r w:rsidR="008F0A37" w:rsidRPr="00995CC0">
        <w:rPr>
          <w:rFonts w:hAnsi="Times New Roman" w:ascii="Times New Roman"/>
          <w:bCs/>
          <w:sz w:val="24"/>
          <w:szCs w:val="24"/>
        </w:rPr>
        <w:t>. Stečajnog zakona pravo sudjelovanja imaju svi vjerovnici s pravom odvojenog namirenja, svi stečajni vjerovnici, stečajni upravitelj.</w:t>
      </w:r>
    </w:p>
    <w:p w:rsidRDefault="008F0A37" w:rsidP="008F0A37" w:rsidR="008F0A37" w:rsidRPr="00995CC0">
      <w:pPr>
        <w:numPr>
          <w:ilvl w:val="12"/>
          <w:numId w:val="0"/>
        </w:numPr>
        <w:jc w:val="both"/>
        <w:rPr>
          <w:bCs/>
          <w:sz w:val="24"/>
          <w:szCs w:val="24"/>
        </w:rPr>
      </w:pPr>
      <w:r w:rsidRPr="00995CC0">
        <w:rPr>
          <w:bCs/>
          <w:sz w:val="24"/>
          <w:szCs w:val="24"/>
        </w:rPr>
        <w:t xml:space="preserve"> </w:t>
      </w:r>
      <w:r w:rsidRPr="00995CC0">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D16DA" w:rsidP="008F0A37" w:rsidR="008F0A37" w:rsidRPr="00995CC0">
      <w:pPr>
        <w:numPr>
          <w:ilvl w:val="12"/>
          <w:numId w:val="0"/>
        </w:numPr>
        <w:ind w:firstLine="360"/>
        <w:jc w:val="both"/>
        <w:rPr>
          <w:bCs/>
          <w:sz w:val="24"/>
          <w:szCs w:val="24"/>
        </w:rPr>
      </w:pPr>
      <w:r w:rsidRPr="00995CC0">
        <w:rPr>
          <w:bCs/>
          <w:sz w:val="24"/>
          <w:szCs w:val="24"/>
        </w:rPr>
        <w:tab/>
      </w:r>
      <w:r w:rsidR="008F0A37" w:rsidRPr="00995CC0">
        <w:rPr>
          <w:bCs/>
          <w:sz w:val="24"/>
          <w:szCs w:val="24"/>
        </w:rPr>
        <w:t xml:space="preserve">Stečajni sudac utvrđuje da </w:t>
      </w:r>
      <w:r w:rsidR="00B85BAA" w:rsidRPr="00995CC0">
        <w:rPr>
          <w:bCs/>
          <w:sz w:val="24"/>
          <w:szCs w:val="24"/>
        </w:rPr>
        <w:t xml:space="preserve">je na ročištu </w:t>
      </w:r>
      <w:r w:rsidR="00F25EC7">
        <w:rPr>
          <w:bCs/>
          <w:sz w:val="24"/>
          <w:szCs w:val="24"/>
        </w:rPr>
        <w:t>nazočno</w:t>
      </w:r>
      <w:r w:rsidR="001C3902" w:rsidRPr="00995CC0">
        <w:rPr>
          <w:bCs/>
          <w:sz w:val="24"/>
          <w:szCs w:val="24"/>
        </w:rPr>
        <w:t xml:space="preserve"> </w:t>
      </w:r>
      <w:r w:rsidR="00D80F6B">
        <w:rPr>
          <w:bCs/>
          <w:sz w:val="24"/>
          <w:szCs w:val="24"/>
        </w:rPr>
        <w:t>pet</w:t>
      </w:r>
      <w:r w:rsidR="001C3902" w:rsidRPr="00995CC0">
        <w:rPr>
          <w:bCs/>
          <w:sz w:val="24"/>
          <w:szCs w:val="24"/>
        </w:rPr>
        <w:t xml:space="preserve"> stečajni vjerovnik</w:t>
      </w:r>
      <w:r w:rsidR="00D80F6B">
        <w:rPr>
          <w:bCs/>
          <w:sz w:val="24"/>
          <w:szCs w:val="24"/>
        </w:rPr>
        <w:t>a</w:t>
      </w:r>
      <w:r w:rsidR="008F0A37" w:rsidRPr="00995CC0">
        <w:rPr>
          <w:bCs/>
          <w:sz w:val="24"/>
          <w:szCs w:val="24"/>
        </w:rPr>
        <w:t xml:space="preserve"> </w:t>
      </w:r>
      <w:r w:rsidR="001C3902" w:rsidRPr="00995CC0">
        <w:rPr>
          <w:bCs/>
          <w:sz w:val="24"/>
          <w:szCs w:val="24"/>
        </w:rPr>
        <w:t>čija je tražbina utvrđena i koji može</w:t>
      </w:r>
      <w:r w:rsidR="008F0A37" w:rsidRPr="00995CC0">
        <w:rPr>
          <w:bCs/>
          <w:sz w:val="24"/>
          <w:szCs w:val="24"/>
        </w:rPr>
        <w:t xml:space="preserve"> glasov</w:t>
      </w:r>
      <w:r w:rsidR="00B85BAA" w:rsidRPr="00995CC0">
        <w:rPr>
          <w:bCs/>
          <w:sz w:val="24"/>
          <w:szCs w:val="24"/>
        </w:rPr>
        <w:t>ati te donositi odluke  i to sl</w:t>
      </w:r>
      <w:r w:rsidR="008F0A37" w:rsidRPr="00995CC0">
        <w:rPr>
          <w:bCs/>
          <w:sz w:val="24"/>
          <w:szCs w:val="24"/>
        </w:rPr>
        <w:t xml:space="preserve">jedeći </w:t>
      </w:r>
      <w:r w:rsidR="001C3902" w:rsidRPr="00995CC0">
        <w:rPr>
          <w:bCs/>
          <w:sz w:val="24"/>
          <w:szCs w:val="24"/>
        </w:rPr>
        <w:t>vjerovnik</w:t>
      </w:r>
      <w:r w:rsidR="008F0A37" w:rsidRPr="00995CC0">
        <w:rPr>
          <w:bCs/>
          <w:sz w:val="24"/>
          <w:szCs w:val="24"/>
        </w:rPr>
        <w:t>:</w:t>
      </w:r>
    </w:p>
    <w:p w:rsidRDefault="00D80F6B" w:rsidP="00D80F6B" w:rsidR="00D80F6B">
      <w:pPr>
        <w:rPr>
          <w:bCs/>
          <w:sz w:val="24"/>
          <w:szCs w:val="24"/>
        </w:rPr>
      </w:pPr>
      <w:r>
        <w:rPr>
          <w:bCs/>
          <w:sz w:val="24"/>
          <w:szCs w:val="24"/>
        </w:rPr>
        <w:t>-</w:t>
      </w:r>
      <w:r w:rsidR="00F33EFA" w:rsidRPr="00995CC0">
        <w:rPr>
          <w:bCs/>
          <w:sz w:val="24"/>
          <w:szCs w:val="24"/>
        </w:rPr>
        <w:t xml:space="preserve">za </w:t>
      </w:r>
      <w:r>
        <w:rPr>
          <w:bCs/>
          <w:sz w:val="24"/>
          <w:szCs w:val="24"/>
        </w:rPr>
        <w:t>Štedbanka d.d. Zagreb - punomoćnik Petra Drenvešek</w:t>
      </w:r>
    </w:p>
    <w:p w:rsidRDefault="00D80F6B" w:rsidP="00D80F6B" w:rsidR="00D80F6B">
      <w:pPr>
        <w:rPr>
          <w:bCs/>
          <w:sz w:val="24"/>
          <w:szCs w:val="24"/>
        </w:rPr>
      </w:pPr>
      <w:r>
        <w:rPr>
          <w:bCs/>
          <w:sz w:val="24"/>
          <w:szCs w:val="24"/>
        </w:rPr>
        <w:t>- za Oleg Gennadević Belov - punomoćnik Milica Đurđević</w:t>
      </w:r>
    </w:p>
    <w:p w:rsidRDefault="00D80F6B" w:rsidP="00D80F6B" w:rsidR="00D80F6B">
      <w:pPr>
        <w:rPr>
          <w:bCs/>
          <w:sz w:val="24"/>
          <w:szCs w:val="24"/>
        </w:rPr>
      </w:pPr>
      <w:r>
        <w:rPr>
          <w:bCs/>
          <w:sz w:val="24"/>
          <w:szCs w:val="24"/>
        </w:rPr>
        <w:t>- za Republika Hrvatska, Ministarstvo financija, Porezna uprava - zamjenica ŽDO u Zagrebu Tanja Šušak,</w:t>
      </w:r>
    </w:p>
    <w:p w:rsidRDefault="00D80F6B" w:rsidP="00D80F6B" w:rsidR="00D80F6B">
      <w:pPr>
        <w:rPr>
          <w:bCs/>
          <w:sz w:val="24"/>
          <w:szCs w:val="24"/>
        </w:rPr>
      </w:pPr>
      <w:r>
        <w:rPr>
          <w:bCs/>
          <w:sz w:val="24"/>
          <w:szCs w:val="24"/>
        </w:rPr>
        <w:t xml:space="preserve">- za Veneto banka d.d. - Tonka Jerak Bajić, </w:t>
      </w:r>
    </w:p>
    <w:p w:rsidRDefault="00D80F6B" w:rsidP="00D80F6B" w:rsidR="00D80F6B" w:rsidRPr="00995CC0">
      <w:pPr>
        <w:rPr>
          <w:bCs/>
          <w:sz w:val="24"/>
          <w:szCs w:val="24"/>
        </w:rPr>
      </w:pPr>
      <w:r>
        <w:rPr>
          <w:bCs/>
          <w:sz w:val="24"/>
          <w:szCs w:val="24"/>
        </w:rPr>
        <w:t>- za Sveučilište u Zagr</w:t>
      </w:r>
      <w:r w:rsidR="002F3BBC">
        <w:rPr>
          <w:bCs/>
          <w:sz w:val="24"/>
          <w:szCs w:val="24"/>
        </w:rPr>
        <w:t>ebu, Agronomski fakultet - odvjetnički</w:t>
      </w:r>
      <w:r>
        <w:rPr>
          <w:bCs/>
          <w:sz w:val="24"/>
          <w:szCs w:val="24"/>
        </w:rPr>
        <w:t xml:space="preserve"> vježbenik Ante Ferara </w:t>
      </w:r>
    </w:p>
    <w:p w:rsidRDefault="00F33EFA" w:rsidP="00D80F6B" w:rsidR="00F33EFA" w:rsidRPr="00995CC0">
      <w:pPr>
        <w:numPr>
          <w:ilvl w:val="12"/>
          <w:numId w:val="0"/>
        </w:numPr>
        <w:ind w:firstLine="360"/>
        <w:jc w:val="both"/>
        <w:rPr>
          <w:bCs/>
          <w:sz w:val="24"/>
          <w:szCs w:val="24"/>
        </w:rPr>
      </w:pPr>
    </w:p>
    <w:p w:rsidRDefault="008D16DA" w:rsidP="00324A56" w:rsidR="008F0A37" w:rsidRPr="00995CC0">
      <w:pPr>
        <w:ind w:firstLine="360"/>
        <w:jc w:val="both"/>
        <w:rPr>
          <w:bCs/>
          <w:sz w:val="24"/>
          <w:szCs w:val="24"/>
        </w:rPr>
      </w:pPr>
      <w:r w:rsidRPr="00995CC0">
        <w:rPr>
          <w:bCs/>
          <w:sz w:val="24"/>
          <w:szCs w:val="24"/>
        </w:rPr>
        <w:tab/>
      </w:r>
      <w:r w:rsidR="008F0A37" w:rsidRPr="00995CC0">
        <w:rPr>
          <w:bCs/>
          <w:sz w:val="24"/>
          <w:szCs w:val="24"/>
        </w:rPr>
        <w:t>Stečajni sudac iznosi da će se glasovanje vršiti dizanjem ruke. Nakon glasovanja stečajni sudac objaviti će rezultate glasovanja.</w:t>
      </w:r>
    </w:p>
    <w:p w:rsidRDefault="008038C2" w:rsidP="00324A56" w:rsidR="008038C2" w:rsidRPr="00995CC0">
      <w:pPr>
        <w:ind w:firstLine="360"/>
        <w:jc w:val="both"/>
        <w:rPr>
          <w:bCs/>
          <w:sz w:val="24"/>
          <w:szCs w:val="24"/>
        </w:rPr>
      </w:pPr>
    </w:p>
    <w:p w:rsidRDefault="002937FE" w:rsidP="00D30574" w:rsidR="002937FE" w:rsidRPr="00995CC0">
      <w:pPr>
        <w:ind w:firstLine="720"/>
        <w:jc w:val="both"/>
        <w:rPr>
          <w:bCs/>
          <w:sz w:val="24"/>
          <w:szCs w:val="24"/>
        </w:rPr>
      </w:pPr>
      <w:r w:rsidRPr="00995CC0">
        <w:rPr>
          <w:bCs/>
          <w:sz w:val="24"/>
          <w:szCs w:val="24"/>
        </w:rPr>
        <w:t xml:space="preserve">Temeljem čl. 38. e. i čl. 159 SZ-a vjerovnici (100%) jednoglasno donose slijedeće </w:t>
      </w:r>
    </w:p>
    <w:p w:rsidRDefault="00C77A5D" w:rsidP="002937FE" w:rsidR="00C77A5D" w:rsidRPr="00995CC0">
      <w:pPr>
        <w:jc w:val="center"/>
        <w:rPr>
          <w:bCs/>
          <w:sz w:val="24"/>
          <w:szCs w:val="24"/>
        </w:rPr>
      </w:pPr>
    </w:p>
    <w:p w:rsidRDefault="002937FE" w:rsidP="002937FE" w:rsidR="002937FE" w:rsidRPr="00995CC0">
      <w:pPr>
        <w:jc w:val="center"/>
        <w:rPr>
          <w:bCs/>
          <w:sz w:val="24"/>
          <w:szCs w:val="24"/>
        </w:rPr>
      </w:pPr>
      <w:r w:rsidRPr="00995CC0">
        <w:rPr>
          <w:bCs/>
          <w:sz w:val="24"/>
          <w:szCs w:val="24"/>
        </w:rPr>
        <w:t xml:space="preserve">O D L U K E </w:t>
      </w:r>
    </w:p>
    <w:p w:rsidRDefault="00B151A3" w:rsidP="00B151A3" w:rsidR="00B151A3" w:rsidRPr="00B151A3">
      <w:pPr>
        <w:pStyle w:val="Tijeloteksta"/>
        <w:numPr>
          <w:ilvl w:val="0"/>
          <w:numId w:val="22"/>
        </w:numPr>
        <w:tabs>
          <w:tab w:pos="426" w:val="left"/>
        </w:tabs>
        <w:overflowPunct/>
        <w:autoSpaceDE/>
        <w:autoSpaceDN/>
        <w:adjustRightInd/>
        <w:textAlignment w:val="auto"/>
        <w:rPr>
          <w:rFonts w:hAnsi="Times New Roman" w:ascii="Times New Roman"/>
          <w:szCs w:val="24"/>
        </w:rPr>
      </w:pPr>
      <w:r w:rsidRPr="00995CC0">
        <w:rPr>
          <w:rFonts w:hAnsi="Times New Roman" w:ascii="Times New Roman"/>
          <w:szCs w:val="24"/>
        </w:rPr>
        <w:t xml:space="preserve">Prihvaća se Izvješće stečajne upraviteljice o gospodarskom položaju  </w:t>
      </w:r>
      <w:r w:rsidRPr="00B151A3">
        <w:rPr>
          <w:rFonts w:hAnsi="Times New Roman" w:ascii="Times New Roman"/>
          <w:szCs w:val="24"/>
        </w:rPr>
        <w:t>stečajnog dužnika i njegovim uzrocima.</w:t>
      </w:r>
    </w:p>
    <w:p w:rsidRDefault="00B151A3" w:rsidP="00B151A3" w:rsidR="00B151A3" w:rsidRPr="00995CC0">
      <w:pPr>
        <w:pStyle w:val="Tijeloteksta"/>
        <w:numPr>
          <w:ilvl w:val="0"/>
          <w:numId w:val="22"/>
        </w:numPr>
        <w:tabs>
          <w:tab w:pos="426" w:val="left"/>
        </w:tabs>
        <w:overflowPunct/>
        <w:autoSpaceDE/>
        <w:autoSpaceDN/>
        <w:adjustRightInd/>
        <w:textAlignment w:val="auto"/>
        <w:rPr>
          <w:rFonts w:hAnsi="Times New Roman" w:ascii="Times New Roman"/>
          <w:szCs w:val="24"/>
        </w:rPr>
      </w:pPr>
      <w:r w:rsidRPr="00995CC0">
        <w:rPr>
          <w:rFonts w:hAnsi="Times New Roman" w:ascii="Times New Roman"/>
          <w:szCs w:val="24"/>
        </w:rPr>
        <w:t>Prihvaćaju se dosada poduzete radnje stečajne upraviteljice. Nema mogućnosti za nastavak poslovanja.</w:t>
      </w:r>
    </w:p>
    <w:p w:rsidRDefault="00B151A3" w:rsidP="00B151A3" w:rsidR="00B151A3" w:rsidRPr="00995CC0">
      <w:pPr>
        <w:pStyle w:val="Tijeloteksta"/>
        <w:numPr>
          <w:ilvl w:val="0"/>
          <w:numId w:val="22"/>
        </w:numPr>
        <w:tabs>
          <w:tab w:pos="426" w:val="left"/>
        </w:tabs>
        <w:overflowPunct/>
        <w:autoSpaceDE/>
        <w:autoSpaceDN/>
        <w:adjustRightInd/>
        <w:textAlignment w:val="auto"/>
        <w:rPr>
          <w:rFonts w:hAnsi="Times New Roman" w:ascii="Times New Roman"/>
          <w:szCs w:val="24"/>
        </w:rPr>
      </w:pPr>
      <w:r w:rsidRPr="00995CC0">
        <w:rPr>
          <w:rFonts w:hAnsi="Times New Roman" w:ascii="Times New Roman"/>
          <w:szCs w:val="24"/>
        </w:rPr>
        <w:t>Parnice i postupci u tijeku, odnosno novi postupci nastaviti će se ili pokrenuti u korist stečajne mase ovisno o procjeni stečajne upraviteljice. Daje se suglasnost stečajnoj upraviteljici da izda punomoć za zastupanje odvjetniku.</w:t>
      </w:r>
    </w:p>
    <w:p w:rsidRDefault="00B151A3" w:rsidP="00B151A3" w:rsidR="00B151A3">
      <w:pPr>
        <w:pStyle w:val="Tijeloteksta"/>
        <w:numPr>
          <w:ilvl w:val="0"/>
          <w:numId w:val="22"/>
        </w:numPr>
        <w:tabs>
          <w:tab w:pos="426" w:val="left"/>
        </w:tabs>
        <w:overflowPunct/>
        <w:autoSpaceDE/>
        <w:autoSpaceDN/>
        <w:adjustRightInd/>
        <w:textAlignment w:val="auto"/>
        <w:rPr>
          <w:rFonts w:hAnsi="Times New Roman" w:ascii="Times New Roman"/>
          <w:szCs w:val="24"/>
        </w:rPr>
      </w:pPr>
      <w:r w:rsidRPr="00995CC0">
        <w:rPr>
          <w:rFonts w:hAnsi="Times New Roman" w:ascii="Times New Roman"/>
          <w:szCs w:val="24"/>
        </w:rPr>
        <w:t>Daje se odobrenje stečajnoj upraviteljici da pristupi prodaji pokretne imovine stečajnog dužnika, ukoliko se u nastavku postupka utvrdi postojanje iste,</w:t>
      </w:r>
      <w:r>
        <w:rPr>
          <w:rFonts w:hAnsi="Times New Roman" w:ascii="Times New Roman"/>
          <w:szCs w:val="24"/>
        </w:rPr>
        <w:t xml:space="preserve"> </w:t>
      </w:r>
      <w:r w:rsidRPr="00995CC0">
        <w:rPr>
          <w:rFonts w:hAnsi="Times New Roman" w:ascii="Times New Roman"/>
          <w:szCs w:val="24"/>
        </w:rPr>
        <w:t>objavom oglasa o prodaji imovine. Početna cijena će kod prvog oglasa biti po cijeni koju će sačiniti ovlašteni sudski vještak, ali ne ispod 2/3 procijenjene vrijednosti. Ukoliko se imovina ne proda po toj vrijednosti, u drugom pokušaju će se  prodavati po ½ procijenjene vrijednosti, a u trećem pokušaju po 1/3 procijenjene vrijednosti. Ako se imovina ne proda niti nakon trećeg pokušaja, može se prodati neposrednom pogodbom.</w:t>
      </w:r>
    </w:p>
    <w:p w:rsidRDefault="00C6202E" w:rsidP="00C6202E" w:rsidR="00C6202E" w:rsidRPr="00995CC0">
      <w:pPr>
        <w:pStyle w:val="Tijeloteksta"/>
        <w:numPr>
          <w:ilvl w:val="0"/>
          <w:numId w:val="22"/>
        </w:numPr>
        <w:tabs>
          <w:tab w:pos="426" w:val="left"/>
        </w:tabs>
        <w:overflowPunct/>
        <w:autoSpaceDE/>
        <w:autoSpaceDN/>
        <w:adjustRightInd/>
        <w:textAlignment w:val="auto"/>
        <w:rPr>
          <w:rFonts w:hAnsi="Times New Roman" w:ascii="Times New Roman"/>
          <w:szCs w:val="24"/>
        </w:rPr>
      </w:pPr>
      <w:r>
        <w:rPr>
          <w:rFonts w:hAnsi="Times New Roman" w:ascii="Times New Roman"/>
          <w:szCs w:val="24"/>
        </w:rPr>
        <w:t>Daje se suglasnost stečajnoj upraviteljici za povlačenje tužbe kontra tuženika Rochus d.o.o. p-762/14, vps 1.606.175,27 kn</w:t>
      </w:r>
    </w:p>
    <w:p w:rsidRDefault="00C6202E" w:rsidP="00C6202E" w:rsidR="00C6202E" w:rsidRPr="00995CC0">
      <w:pPr>
        <w:pStyle w:val="Tijeloteksta"/>
        <w:tabs>
          <w:tab w:pos="426" w:val="left"/>
        </w:tabs>
        <w:overflowPunct/>
        <w:autoSpaceDE/>
        <w:autoSpaceDN/>
        <w:adjustRightInd/>
        <w:ind w:left="930"/>
        <w:textAlignment w:val="auto"/>
        <w:rPr>
          <w:rFonts w:hAnsi="Times New Roman" w:ascii="Times New Roman"/>
          <w:szCs w:val="24"/>
        </w:rPr>
      </w:pPr>
    </w:p>
    <w:p w:rsidRDefault="00B151A3" w:rsidP="00313D9A" w:rsidR="00B151A3">
      <w:pPr>
        <w:tabs>
          <w:tab w:pos="1440" w:val="left"/>
        </w:tabs>
        <w:jc w:val="both"/>
        <w:rPr>
          <w:sz w:val="24"/>
          <w:szCs w:val="24"/>
        </w:rPr>
      </w:pPr>
    </w:p>
    <w:p w:rsidRDefault="008D16DA" w:rsidP="00313D9A" w:rsidR="00315707" w:rsidRPr="00995CC0">
      <w:pPr>
        <w:tabs>
          <w:tab w:pos="1440" w:val="left"/>
        </w:tabs>
        <w:jc w:val="both"/>
        <w:rPr>
          <w:sz w:val="24"/>
          <w:szCs w:val="24"/>
        </w:rPr>
      </w:pPr>
      <w:r w:rsidRPr="00995CC0">
        <w:rPr>
          <w:sz w:val="24"/>
          <w:szCs w:val="24"/>
        </w:rPr>
        <w:t xml:space="preserve">            </w:t>
      </w:r>
      <w:r w:rsidR="00315707" w:rsidRPr="00995CC0">
        <w:rPr>
          <w:sz w:val="24"/>
          <w:szCs w:val="24"/>
        </w:rPr>
        <w:t>Zapisnik se dostavlja prisutnima putem e-oglasne ploče.</w:t>
      </w:r>
    </w:p>
    <w:p w:rsidRDefault="008038C2" w:rsidP="00313D9A" w:rsidR="008038C2" w:rsidRPr="00995CC0">
      <w:pPr>
        <w:tabs>
          <w:tab w:pos="1440" w:val="left"/>
        </w:tabs>
        <w:jc w:val="both"/>
        <w:rPr>
          <w:sz w:val="24"/>
          <w:szCs w:val="24"/>
        </w:rPr>
      </w:pPr>
    </w:p>
    <w:p w:rsidRDefault="002937FE" w:rsidP="00B1095D" w:rsidR="002937FE" w:rsidRPr="00995CC0">
      <w:pPr>
        <w:ind w:firstLine="720"/>
        <w:jc w:val="both"/>
        <w:rPr>
          <w:bCs/>
          <w:sz w:val="24"/>
          <w:szCs w:val="24"/>
        </w:rPr>
      </w:pPr>
      <w:r w:rsidRPr="00995CC0">
        <w:rPr>
          <w:bCs/>
          <w:sz w:val="24"/>
          <w:szCs w:val="24"/>
        </w:rPr>
        <w:t>Nakon što su donesene sve odluke, stečajni sudac objavljuje da je ročište dovršeno</w:t>
      </w:r>
      <w:r w:rsidR="00942FFB" w:rsidRPr="00995CC0">
        <w:rPr>
          <w:bCs/>
          <w:sz w:val="24"/>
          <w:szCs w:val="24"/>
        </w:rPr>
        <w:t xml:space="preserve"> u </w:t>
      </w:r>
      <w:r w:rsidR="00F33EFA" w:rsidRPr="00995CC0">
        <w:rPr>
          <w:bCs/>
          <w:sz w:val="24"/>
          <w:szCs w:val="24"/>
        </w:rPr>
        <w:t>1</w:t>
      </w:r>
      <w:r w:rsidR="00B151A3">
        <w:rPr>
          <w:bCs/>
          <w:sz w:val="24"/>
          <w:szCs w:val="24"/>
        </w:rPr>
        <w:t>0</w:t>
      </w:r>
      <w:r w:rsidR="00F33EFA" w:rsidRPr="00995CC0">
        <w:rPr>
          <w:bCs/>
          <w:sz w:val="24"/>
          <w:szCs w:val="24"/>
        </w:rPr>
        <w:t>,</w:t>
      </w:r>
      <w:r w:rsidR="00B151A3">
        <w:rPr>
          <w:bCs/>
          <w:sz w:val="24"/>
          <w:szCs w:val="24"/>
        </w:rPr>
        <w:t>3</w:t>
      </w:r>
      <w:r w:rsidR="00F33EFA" w:rsidRPr="00995CC0">
        <w:rPr>
          <w:bCs/>
          <w:sz w:val="24"/>
          <w:szCs w:val="24"/>
        </w:rPr>
        <w:t>0</w:t>
      </w:r>
      <w:r w:rsidR="00AA1DC9" w:rsidRPr="00995CC0">
        <w:rPr>
          <w:bCs/>
          <w:sz w:val="24"/>
          <w:szCs w:val="24"/>
        </w:rPr>
        <w:t xml:space="preserve"> </w:t>
      </w:r>
      <w:r w:rsidRPr="00995CC0">
        <w:rPr>
          <w:bCs/>
          <w:sz w:val="24"/>
          <w:szCs w:val="24"/>
        </w:rPr>
        <w:t>sati.</w:t>
      </w:r>
    </w:p>
    <w:p w:rsidRDefault="002937FE" w:rsidP="002937FE" w:rsidR="002937FE" w:rsidRPr="00995CC0">
      <w:pPr>
        <w:jc w:val="both"/>
        <w:rPr>
          <w:bCs/>
          <w:sz w:val="24"/>
          <w:szCs w:val="24"/>
        </w:rPr>
      </w:pPr>
    </w:p>
    <w:p w:rsidRDefault="00CA5D6A" w:rsidP="002937FE" w:rsidR="002937FE" w:rsidRPr="00995CC0">
      <w:pPr>
        <w:jc w:val="center"/>
        <w:rPr>
          <w:bCs/>
          <w:sz w:val="24"/>
          <w:szCs w:val="24"/>
        </w:rPr>
      </w:pPr>
      <w:r w:rsidRPr="00995CC0">
        <w:rPr>
          <w:bCs/>
          <w:sz w:val="24"/>
          <w:szCs w:val="24"/>
        </w:rPr>
        <w:lastRenderedPageBreak/>
        <w:t>stečajni sudac</w:t>
      </w:r>
    </w:p>
    <w:p w:rsidRDefault="002937FE" w:rsidP="002937FE" w:rsidR="002937FE" w:rsidRPr="00995CC0">
      <w:pPr>
        <w:jc w:val="center"/>
        <w:rPr>
          <w:bCs/>
          <w:sz w:val="24"/>
          <w:szCs w:val="24"/>
        </w:rPr>
      </w:pPr>
    </w:p>
    <w:p w:rsidRDefault="002937FE" w:rsidP="002937FE" w:rsidR="002937FE" w:rsidRPr="00995CC0">
      <w:pPr>
        <w:jc w:val="center"/>
        <w:rPr>
          <w:bCs/>
          <w:sz w:val="24"/>
          <w:szCs w:val="24"/>
        </w:rPr>
      </w:pPr>
    </w:p>
    <w:p w:rsidRDefault="00D30574" w:rsidP="002937FE" w:rsidR="002937FE" w:rsidRPr="00995CC0">
      <w:pPr>
        <w:jc w:val="center"/>
        <w:rPr>
          <w:bCs/>
          <w:sz w:val="24"/>
          <w:szCs w:val="24"/>
        </w:rPr>
      </w:pPr>
      <w:r w:rsidRPr="00995CC0">
        <w:rPr>
          <w:bCs/>
          <w:sz w:val="24"/>
          <w:szCs w:val="24"/>
        </w:rPr>
        <w:t>z</w:t>
      </w:r>
      <w:r w:rsidR="002937FE" w:rsidRPr="00995CC0">
        <w:rPr>
          <w:bCs/>
          <w:sz w:val="24"/>
          <w:szCs w:val="24"/>
        </w:rPr>
        <w:t>apisničar</w:t>
      </w:r>
    </w:p>
    <w:p w:rsidRDefault="002937FE" w:rsidP="003651B5" w:rsidR="002937FE" w:rsidRPr="00995CC0">
      <w:pPr>
        <w:ind w:firstLine="720" w:left="6480"/>
        <w:jc w:val="both"/>
        <w:rPr>
          <w:bCs/>
          <w:sz w:val="24"/>
          <w:szCs w:val="24"/>
        </w:rPr>
      </w:pPr>
      <w:r w:rsidRPr="00995CC0">
        <w:rPr>
          <w:bCs/>
          <w:sz w:val="24"/>
          <w:szCs w:val="24"/>
        </w:rPr>
        <w:t>vjerovnici</w:t>
      </w:r>
    </w:p>
    <w:p w:rsidRDefault="00D30574" w:rsidP="002937FE" w:rsidR="002937FE" w:rsidRPr="00995CC0">
      <w:pPr>
        <w:jc w:val="both"/>
        <w:rPr>
          <w:bCs/>
          <w:sz w:val="24"/>
          <w:szCs w:val="24"/>
        </w:rPr>
      </w:pPr>
      <w:r w:rsidRPr="00995CC0">
        <w:rPr>
          <w:bCs/>
          <w:sz w:val="24"/>
          <w:szCs w:val="24"/>
        </w:rPr>
        <w:t>s</w:t>
      </w:r>
      <w:r w:rsidR="002937FE" w:rsidRPr="00995CC0">
        <w:rPr>
          <w:bCs/>
          <w:sz w:val="24"/>
          <w:szCs w:val="24"/>
        </w:rPr>
        <w:t>tečajni upravitelj:</w:t>
      </w:r>
    </w:p>
    <w:sectPr w:rsidSect="002E1476" w:rsidR="002937FE" w:rsidRPr="00995CC0">
      <w:headerReference w:type="even" r:id="rId9"/>
      <w:headerReference w:type="default" r:id="rId10"/>
      <w:footerReference w:type="even" r:id="rId11"/>
      <w:footerReference w:type="default" r:id="rId12"/>
      <w:headerReference w:type="first" r:id="rId13"/>
      <w:footerReference w:type="first" r:id="rId14"/>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5CC0" w:rsidR="00995CC0">
      <w:r>
        <w:separator/>
      </w:r>
    </w:p>
  </w:endnote>
  <w:endnote w:id="0" w:type="continuationSeparator">
    <w:p w:rsidRDefault="00995CC0" w:rsidR="00995C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51A3" w:rsidR="00B151A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51A3" w:rsidR="00B151A3">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51A3" w:rsidR="00B151A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5CC0" w:rsidR="00995CC0">
      <w:r>
        <w:separator/>
      </w:r>
    </w:p>
  </w:footnote>
  <w:footnote w:id="0" w:type="continuationSeparator">
    <w:p w:rsidRDefault="00995CC0" w:rsidR="00995C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5CC0" w:rsidP="009200D8" w:rsidR="00995CC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95CC0" w:rsidR="00995CC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5CC0" w:rsidP="009200D8" w:rsidR="00995CC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4266">
      <w:rPr>
        <w:rStyle w:val="Brojstranice"/>
        <w:noProof/>
      </w:rPr>
      <w:t>15</w:t>
    </w:r>
    <w:r>
      <w:rPr>
        <w:rStyle w:val="Brojstranice"/>
      </w:rPr>
      <w:fldChar w:fldCharType="end"/>
    </w:r>
  </w:p>
  <w:p w:rsidRDefault="00995CC0" w:rsidP="00B01808" w:rsidR="00995CC0" w:rsidRPr="0095162B">
    <w:pPr>
      <w:ind w:firstLine="720" w:left="6480"/>
      <w:rPr>
        <w:bCs/>
        <w:sz w:val="24"/>
        <w:szCs w:val="24"/>
      </w:rPr>
    </w:pPr>
    <w:r w:rsidRPr="0095162B">
      <w:rPr>
        <w:bCs/>
        <w:sz w:val="24"/>
        <w:szCs w:val="24"/>
      </w:rPr>
      <w:t>St-</w:t>
    </w:r>
    <w:r w:rsidR="00B151A3">
      <w:rPr>
        <w:bCs/>
        <w:sz w:val="24"/>
        <w:szCs w:val="24"/>
      </w:rPr>
      <w:t>11</w:t>
    </w:r>
    <w:r>
      <w:rPr>
        <w:bCs/>
        <w:sz w:val="24"/>
        <w:szCs w:val="24"/>
      </w:rPr>
      <w:t>05/14</w:t>
    </w:r>
  </w:p>
  <w:p w:rsidRDefault="00995CC0" w:rsidP="00B01808" w:rsidR="00995CC0">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51A3" w:rsidR="00B151A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5E0D"/>
    <w:multiLevelType w:val="hybridMultilevel"/>
    <w:tmpl w:val="3F587096"/>
    <w:lvl w:tplc="041A0001" w:ilvl="0">
      <w:start w:val="1"/>
      <w:numFmt w:val="bullet"/>
      <w:lvlText w:val=""/>
      <w:lvlJc w:val="left"/>
      <w:pPr>
        <w:ind w:hanging="360" w:left="1080"/>
      </w:pPr>
      <w:rPr>
        <w:rFonts w:hAnsi="Symbol" w:ascii="Symbol"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5CE52A7"/>
    <w:multiLevelType w:val="hybridMultilevel"/>
    <w:tmpl w:val="7272DFA8"/>
    <w:lvl w:tplc="FFFFFFFF" w:ilvl="0">
      <w:start w:val="1"/>
      <w:numFmt w:val="decimal"/>
      <w:lvlText w:val="%1."/>
      <w:lvlJc w:val="left"/>
      <w:pPr>
        <w:tabs>
          <w:tab w:pos="750" w:val="num"/>
        </w:tabs>
        <w:ind w:hanging="390" w:left="750"/>
      </w:pPr>
    </w:lvl>
    <w:lvl w:tplc="B0A05D16" w:ilvl="1">
      <w:start w:val="1"/>
      <w:numFmt w:val="decimal"/>
      <w:lvlText w:val="%2."/>
      <w:lvlJc w:val="left"/>
      <w:pPr>
        <w:tabs>
          <w:tab w:pos="1440" w:val="num"/>
        </w:tabs>
        <w:ind w:hanging="360" w:left="1440"/>
      </w:pPr>
      <w:rPr>
        <w:rFonts w:cstheme="minorBidi" w:eastAsiaTheme="minorHAnsi" w:hAnsiTheme="minorHAnsi" w:asciiTheme="minorHAnsi"/>
        <w:b/>
      </w:r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3">
    <w:nsid w:val="0D203774"/>
    <w:multiLevelType w:val="hybridMultilevel"/>
    <w:tmpl w:val="A2DEB19A"/>
    <w:lvl w:tplc="D76E5042" w:ilvl="0">
      <w:start w:val="1"/>
      <w:numFmt w:val="decimal"/>
      <w:lvlText w:val="%1."/>
      <w:lvlJc w:val="left"/>
      <w:pPr>
        <w:ind w:hanging="360" w:left="720"/>
      </w:pPr>
      <w:rPr>
        <w:rFonts w:cstheme="minorHAnsi" w:hAnsiTheme="minorHAnsi" w:ascii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51A3020"/>
    <w:multiLevelType w:val="hybridMultilevel"/>
    <w:tmpl w:val="D2E4F354"/>
    <w:lvl w:tplc="7FFEB62E" w:ilvl="0">
      <w:start w:val="1"/>
      <w:numFmt w:val="upperLetter"/>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18C03DAA"/>
    <w:multiLevelType w:val="hybridMultilevel"/>
    <w:tmpl w:val="312A7586"/>
    <w:lvl w:tplc="AEB6F2EE" w:ilvl="0">
      <w:numFmt w:val="bullet"/>
      <w:lvlText w:val="-"/>
      <w:lvlJc w:val="left"/>
      <w:pPr>
        <w:tabs>
          <w:tab w:pos="384" w:val="num"/>
        </w:tabs>
        <w:ind w:hanging="360" w:left="384"/>
      </w:pPr>
      <w:rPr>
        <w:rFonts w:cs="Times New Roman" w:eastAsia="Times New Roman" w:hAnsi="Times New Roman" w:ascii="Times New Roman" w:hint="default"/>
      </w:rPr>
    </w:lvl>
    <w:lvl w:tplc="041A0003" w:ilvl="1">
      <w:start w:val="1"/>
      <w:numFmt w:val="bullet"/>
      <w:lvlText w:val="o"/>
      <w:lvlJc w:val="left"/>
      <w:pPr>
        <w:tabs>
          <w:tab w:pos="1104" w:val="num"/>
        </w:tabs>
        <w:ind w:hanging="360" w:left="1104"/>
      </w:pPr>
      <w:rPr>
        <w:rFonts w:cs="Courier New" w:hAnsi="Courier New" w:ascii="Courier New" w:hint="default"/>
      </w:rPr>
    </w:lvl>
    <w:lvl w:tplc="041A0005" w:ilvl="2">
      <w:start w:val="1"/>
      <w:numFmt w:val="bullet"/>
      <w:lvlText w:val=""/>
      <w:lvlJc w:val="left"/>
      <w:pPr>
        <w:tabs>
          <w:tab w:pos="1824" w:val="num"/>
        </w:tabs>
        <w:ind w:hanging="360" w:left="1824"/>
      </w:pPr>
      <w:rPr>
        <w:rFonts w:hAnsi="Wingdings" w:ascii="Wingdings" w:hint="default"/>
      </w:rPr>
    </w:lvl>
    <w:lvl w:tplc="041A0001" w:ilvl="3">
      <w:start w:val="1"/>
      <w:numFmt w:val="bullet"/>
      <w:lvlText w:val=""/>
      <w:lvlJc w:val="left"/>
      <w:pPr>
        <w:tabs>
          <w:tab w:pos="2544" w:val="num"/>
        </w:tabs>
        <w:ind w:hanging="360" w:left="2544"/>
      </w:pPr>
      <w:rPr>
        <w:rFonts w:hAnsi="Symbol" w:ascii="Symbol" w:hint="default"/>
      </w:rPr>
    </w:lvl>
    <w:lvl w:tplc="041A0003" w:ilvl="4">
      <w:start w:val="1"/>
      <w:numFmt w:val="bullet"/>
      <w:lvlText w:val="o"/>
      <w:lvlJc w:val="left"/>
      <w:pPr>
        <w:tabs>
          <w:tab w:pos="3264" w:val="num"/>
        </w:tabs>
        <w:ind w:hanging="360" w:left="3264"/>
      </w:pPr>
      <w:rPr>
        <w:rFonts w:cs="Courier New" w:hAnsi="Courier New" w:ascii="Courier New" w:hint="default"/>
      </w:rPr>
    </w:lvl>
    <w:lvl w:tplc="041A0005" w:ilvl="5">
      <w:start w:val="1"/>
      <w:numFmt w:val="bullet"/>
      <w:lvlText w:val=""/>
      <w:lvlJc w:val="left"/>
      <w:pPr>
        <w:tabs>
          <w:tab w:pos="3984" w:val="num"/>
        </w:tabs>
        <w:ind w:hanging="360" w:left="3984"/>
      </w:pPr>
      <w:rPr>
        <w:rFonts w:hAnsi="Wingdings" w:ascii="Wingdings" w:hint="default"/>
      </w:rPr>
    </w:lvl>
    <w:lvl w:tplc="041A0001" w:ilvl="6">
      <w:start w:val="1"/>
      <w:numFmt w:val="bullet"/>
      <w:lvlText w:val=""/>
      <w:lvlJc w:val="left"/>
      <w:pPr>
        <w:tabs>
          <w:tab w:pos="4704" w:val="num"/>
        </w:tabs>
        <w:ind w:hanging="360" w:left="4704"/>
      </w:pPr>
      <w:rPr>
        <w:rFonts w:hAnsi="Symbol" w:ascii="Symbol" w:hint="default"/>
      </w:rPr>
    </w:lvl>
    <w:lvl w:tplc="041A0003" w:ilvl="7">
      <w:start w:val="1"/>
      <w:numFmt w:val="bullet"/>
      <w:lvlText w:val="o"/>
      <w:lvlJc w:val="left"/>
      <w:pPr>
        <w:tabs>
          <w:tab w:pos="5424" w:val="num"/>
        </w:tabs>
        <w:ind w:hanging="360" w:left="5424"/>
      </w:pPr>
      <w:rPr>
        <w:rFonts w:cs="Courier New" w:hAnsi="Courier New" w:ascii="Courier New" w:hint="default"/>
      </w:rPr>
    </w:lvl>
    <w:lvl w:tplc="041A0005" w:ilvl="8">
      <w:start w:val="1"/>
      <w:numFmt w:val="bullet"/>
      <w:lvlText w:val=""/>
      <w:lvlJc w:val="left"/>
      <w:pPr>
        <w:tabs>
          <w:tab w:pos="6144" w:val="num"/>
        </w:tabs>
        <w:ind w:hanging="360" w:left="6144"/>
      </w:pPr>
      <w:rPr>
        <w:rFonts w:hAnsi="Wingdings" w:ascii="Wingdings" w:hint="default"/>
      </w:rPr>
    </w:lvl>
  </w:abstractNum>
  <w:abstractNum w:abstractNumId="6">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7">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8">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plc="041A0005" w:ilvl="2">
      <w:start w:val="1"/>
      <w:numFmt w:val="bullet"/>
      <w:lvlText w:val=""/>
      <w:lvlJc w:val="left"/>
      <w:pPr>
        <w:tabs>
          <w:tab w:pos="2174" w:val="num"/>
        </w:tabs>
        <w:ind w:hanging="360" w:left="2174"/>
      </w:pPr>
      <w:rPr>
        <w:rFonts w:hAnsi="Wingdings" w:ascii="Wingdings" w:hint="default"/>
      </w:rPr>
    </w:lvl>
    <w:lvl w:tplc="041A0001" w:ilvl="3">
      <w:start w:val="1"/>
      <w:numFmt w:val="bullet"/>
      <w:lvlText w:val=""/>
      <w:lvlJc w:val="left"/>
      <w:pPr>
        <w:tabs>
          <w:tab w:pos="2894" w:val="num"/>
        </w:tabs>
        <w:ind w:hanging="360" w:left="2894"/>
      </w:pPr>
      <w:rPr>
        <w:rFonts w:hAnsi="Symbol" w:ascii="Symbol" w:hint="default"/>
      </w:rPr>
    </w:lvl>
    <w:lvl w:tplc="041A0003" w:ilvl="4">
      <w:start w:val="1"/>
      <w:numFmt w:val="bullet"/>
      <w:lvlText w:val="o"/>
      <w:lvlJc w:val="left"/>
      <w:pPr>
        <w:tabs>
          <w:tab w:pos="3614" w:val="num"/>
        </w:tabs>
        <w:ind w:hanging="360" w:left="3614"/>
      </w:pPr>
      <w:rPr>
        <w:rFonts w:cs="Courier New" w:hAnsi="Courier New" w:ascii="Courier New" w:hint="default"/>
      </w:rPr>
    </w:lvl>
    <w:lvl w:tplc="041A0005" w:ilvl="5">
      <w:start w:val="1"/>
      <w:numFmt w:val="bullet"/>
      <w:lvlText w:val=""/>
      <w:lvlJc w:val="left"/>
      <w:pPr>
        <w:tabs>
          <w:tab w:pos="4334" w:val="num"/>
        </w:tabs>
        <w:ind w:hanging="360" w:left="4334"/>
      </w:pPr>
      <w:rPr>
        <w:rFonts w:hAnsi="Wingdings" w:ascii="Wingdings" w:hint="default"/>
      </w:rPr>
    </w:lvl>
    <w:lvl w:tplc="041A0001" w:ilvl="6">
      <w:start w:val="1"/>
      <w:numFmt w:val="bullet"/>
      <w:lvlText w:val=""/>
      <w:lvlJc w:val="left"/>
      <w:pPr>
        <w:tabs>
          <w:tab w:pos="5054" w:val="num"/>
        </w:tabs>
        <w:ind w:hanging="360" w:left="5054"/>
      </w:pPr>
      <w:rPr>
        <w:rFonts w:hAnsi="Symbol" w:ascii="Symbol" w:hint="default"/>
      </w:rPr>
    </w:lvl>
    <w:lvl w:tplc="041A0003" w:ilvl="7">
      <w:start w:val="1"/>
      <w:numFmt w:val="bullet"/>
      <w:lvlText w:val="o"/>
      <w:lvlJc w:val="left"/>
      <w:pPr>
        <w:tabs>
          <w:tab w:pos="5774" w:val="num"/>
        </w:tabs>
        <w:ind w:hanging="360" w:left="5774"/>
      </w:pPr>
      <w:rPr>
        <w:rFonts w:cs="Courier New" w:hAnsi="Courier New" w:ascii="Courier New" w:hint="default"/>
      </w:rPr>
    </w:lvl>
    <w:lvl w:tplc="041A0005" w:ilvl="8">
      <w:start w:val="1"/>
      <w:numFmt w:val="bullet"/>
      <w:lvlText w:val=""/>
      <w:lvlJc w:val="left"/>
      <w:pPr>
        <w:tabs>
          <w:tab w:pos="6494" w:val="num"/>
        </w:tabs>
        <w:ind w:hanging="360" w:left="6494"/>
      </w:pPr>
      <w:rPr>
        <w:rFonts w:hAnsi="Wingdings" w:ascii="Wingdings" w:hint="default"/>
      </w:rPr>
    </w:lvl>
  </w:abstractNum>
  <w:abstractNum w:abstractNumId="9">
    <w:nsid w:val="349451E4"/>
    <w:multiLevelType w:val="singleLevel"/>
    <w:tmpl w:val="DED41B4E"/>
    <w:lvl w:ilvl="0">
      <w:start w:val="1"/>
      <w:numFmt w:val="decimal"/>
      <w:lvlText w:val="%1."/>
      <w:lvlJc w:val="left"/>
      <w:pPr>
        <w:tabs>
          <w:tab w:pos="930" w:val="num"/>
        </w:tabs>
        <w:ind w:hanging="375" w:left="930"/>
      </w:pPr>
    </w:lvl>
  </w:abstractNum>
  <w:abstractNum w:abstractNumId="10">
    <w:nsid w:val="4B6D4B04"/>
    <w:multiLevelType w:val="hybridMultilevel"/>
    <w:tmpl w:val="E9F063FC"/>
    <w:lvl w:tplc="800238D0" w:ilvl="0">
      <w:start w:val="1"/>
      <w:numFmt w:val="decimal"/>
      <w:lvlText w:val="%1."/>
      <w:lvlJc w:val="left"/>
      <w:pPr>
        <w:ind w:hanging="360" w:left="720"/>
      </w:pPr>
      <w:rPr>
        <w:rFonts w:cs="Times New Roman" w:hAnsi="Calibri" w:ascii="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BC7542C"/>
    <w:multiLevelType w:val="hybridMultilevel"/>
    <w:tmpl w:val="DC4AACD4"/>
    <w:lvl w:tplc="DED41B4E" w:ilvl="0">
      <w:start w:val="1"/>
      <w:numFmt w:val="decimal"/>
      <w:lvlText w:val="%1."/>
      <w:lvlJc w:val="left"/>
      <w:pPr>
        <w:tabs>
          <w:tab w:pos="930" w:val="num"/>
        </w:tabs>
        <w:ind w:hanging="375" w:left="93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EB805BD"/>
    <w:multiLevelType w:val="hybridMultilevel"/>
    <w:tmpl w:val="A2DEB19A"/>
    <w:lvl w:tplc="D76E5042" w:ilvl="0">
      <w:start w:val="1"/>
      <w:numFmt w:val="decimal"/>
      <w:lvlText w:val="%1."/>
      <w:lvlJc w:val="left"/>
      <w:pPr>
        <w:ind w:hanging="360" w:left="720"/>
      </w:pPr>
      <w:rPr>
        <w:rFonts w:cstheme="minorHAnsi" w:hAnsiTheme="minorHAnsi" w:ascii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AE19BB"/>
    <w:multiLevelType w:val="singleLevel"/>
    <w:tmpl w:val="0C09000F"/>
    <w:lvl w:ilvl="0">
      <w:start w:val="1"/>
      <w:numFmt w:val="decimal"/>
      <w:lvlText w:val="%1."/>
      <w:lvlJc w:val="left"/>
      <w:pPr>
        <w:tabs>
          <w:tab w:pos="360" w:val="num"/>
        </w:tabs>
        <w:ind w:hanging="360" w:left="360"/>
      </w:pPr>
    </w:lvl>
  </w:abstractNum>
  <w:abstractNum w:abstractNumId="14">
    <w:nsid w:val="63904FC2"/>
    <w:multiLevelType w:val="hybridMultilevel"/>
    <w:tmpl w:val="ABC087AC"/>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39A4564"/>
    <w:multiLevelType w:val="hybridMultilevel"/>
    <w:tmpl w:val="28D6EA0E"/>
    <w:lvl w:tplc="7A4C2CE8" w:ilvl="0">
      <w:numFmt w:val="bullet"/>
      <w:lvlText w:val="-"/>
      <w:lvlJc w:val="left"/>
      <w:pPr>
        <w:tabs>
          <w:tab w:pos="644" w:val="num"/>
        </w:tabs>
        <w:ind w:hanging="360" w:left="644"/>
      </w:pPr>
      <w:rPr>
        <w:rFonts w:cs="Times New Roman" w:eastAsia="Times New Roman" w:hAnsi="Times New Roman" w:ascii="Times New Roman" w:hint="default"/>
      </w:rPr>
    </w:lvl>
    <w:lvl w:tentative="true" w:tplc="041A0003" w:ilvl="1">
      <w:start w:val="1"/>
      <w:numFmt w:val="bullet"/>
      <w:lvlText w:val="o"/>
      <w:lvlJc w:val="left"/>
      <w:pPr>
        <w:tabs>
          <w:tab w:pos="1364" w:val="num"/>
        </w:tabs>
        <w:ind w:hanging="360" w:left="1364"/>
      </w:pPr>
      <w:rPr>
        <w:rFonts w:cs="Courier New" w:hAnsi="Courier New" w:ascii="Courier New" w:hint="default"/>
      </w:rPr>
    </w:lvl>
    <w:lvl w:tentative="true" w:tplc="041A0005" w:ilvl="2">
      <w:start w:val="1"/>
      <w:numFmt w:val="bullet"/>
      <w:lvlText w:val=""/>
      <w:lvlJc w:val="left"/>
      <w:pPr>
        <w:tabs>
          <w:tab w:pos="2084" w:val="num"/>
        </w:tabs>
        <w:ind w:hanging="360" w:left="2084"/>
      </w:pPr>
      <w:rPr>
        <w:rFonts w:hAnsi="Wingdings" w:ascii="Wingdings" w:hint="default"/>
      </w:rPr>
    </w:lvl>
    <w:lvl w:tentative="true" w:tplc="041A0001" w:ilvl="3">
      <w:start w:val="1"/>
      <w:numFmt w:val="bullet"/>
      <w:lvlText w:val=""/>
      <w:lvlJc w:val="left"/>
      <w:pPr>
        <w:tabs>
          <w:tab w:pos="2804" w:val="num"/>
        </w:tabs>
        <w:ind w:hanging="360" w:left="2804"/>
      </w:pPr>
      <w:rPr>
        <w:rFonts w:hAnsi="Symbol" w:ascii="Symbol" w:hint="default"/>
      </w:rPr>
    </w:lvl>
    <w:lvl w:tentative="true" w:tplc="041A0003" w:ilvl="4">
      <w:start w:val="1"/>
      <w:numFmt w:val="bullet"/>
      <w:lvlText w:val="o"/>
      <w:lvlJc w:val="left"/>
      <w:pPr>
        <w:tabs>
          <w:tab w:pos="3524" w:val="num"/>
        </w:tabs>
        <w:ind w:hanging="360" w:left="3524"/>
      </w:pPr>
      <w:rPr>
        <w:rFonts w:cs="Courier New" w:hAnsi="Courier New" w:ascii="Courier New" w:hint="default"/>
      </w:rPr>
    </w:lvl>
    <w:lvl w:tentative="true" w:tplc="041A0005" w:ilvl="5">
      <w:start w:val="1"/>
      <w:numFmt w:val="bullet"/>
      <w:lvlText w:val=""/>
      <w:lvlJc w:val="left"/>
      <w:pPr>
        <w:tabs>
          <w:tab w:pos="4244" w:val="num"/>
        </w:tabs>
        <w:ind w:hanging="360" w:left="4244"/>
      </w:pPr>
      <w:rPr>
        <w:rFonts w:hAnsi="Wingdings" w:ascii="Wingdings" w:hint="default"/>
      </w:rPr>
    </w:lvl>
    <w:lvl w:tentative="true" w:tplc="041A0001" w:ilvl="6">
      <w:start w:val="1"/>
      <w:numFmt w:val="bullet"/>
      <w:lvlText w:val=""/>
      <w:lvlJc w:val="left"/>
      <w:pPr>
        <w:tabs>
          <w:tab w:pos="4964" w:val="num"/>
        </w:tabs>
        <w:ind w:hanging="360" w:left="4964"/>
      </w:pPr>
      <w:rPr>
        <w:rFonts w:hAnsi="Symbol" w:ascii="Symbol" w:hint="default"/>
      </w:rPr>
    </w:lvl>
    <w:lvl w:tentative="true" w:tplc="041A0003" w:ilvl="7">
      <w:start w:val="1"/>
      <w:numFmt w:val="bullet"/>
      <w:lvlText w:val="o"/>
      <w:lvlJc w:val="left"/>
      <w:pPr>
        <w:tabs>
          <w:tab w:pos="5684" w:val="num"/>
        </w:tabs>
        <w:ind w:hanging="360" w:left="5684"/>
      </w:pPr>
      <w:rPr>
        <w:rFonts w:cs="Courier New" w:hAnsi="Courier New" w:ascii="Courier New" w:hint="default"/>
      </w:rPr>
    </w:lvl>
    <w:lvl w:tentative="true" w:tplc="041A0005" w:ilvl="8">
      <w:start w:val="1"/>
      <w:numFmt w:val="bullet"/>
      <w:lvlText w:val=""/>
      <w:lvlJc w:val="left"/>
      <w:pPr>
        <w:tabs>
          <w:tab w:pos="6404" w:val="num"/>
        </w:tabs>
        <w:ind w:hanging="360" w:left="6404"/>
      </w:pPr>
      <w:rPr>
        <w:rFonts w:hAnsi="Wingdings" w:ascii="Wingdings" w:hint="default"/>
      </w:rPr>
    </w:lvl>
  </w:abstractNum>
  <w:abstractNum w:abstractNumId="16">
    <w:nsid w:val="66121797"/>
    <w:multiLevelType w:val="singleLevel"/>
    <w:tmpl w:val="DED41B4E"/>
    <w:lvl w:ilvl="0">
      <w:start w:val="1"/>
      <w:numFmt w:val="decimal"/>
      <w:lvlText w:val="%1."/>
      <w:lvlJc w:val="left"/>
      <w:pPr>
        <w:tabs>
          <w:tab w:pos="930" w:val="num"/>
        </w:tabs>
        <w:ind w:hanging="375" w:left="930"/>
      </w:pPr>
    </w:lvl>
  </w:abstractNum>
  <w:abstractNum w:abstractNumId="17">
    <w:nsid w:val="6D331961"/>
    <w:multiLevelType w:val="hybridMultilevel"/>
    <w:tmpl w:val="511AE512"/>
    <w:lvl w:tplc="C6486AE6" w:ilvl="0">
      <w:start w:val="1"/>
      <w:numFmt w:val="upperRoman"/>
      <w:lvlText w:val="%1."/>
      <w:lvlJc w:val="left"/>
      <w:pPr>
        <w:ind w:hanging="720" w:left="144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6F19593E"/>
    <w:multiLevelType w:val="hybridMultilevel"/>
    <w:tmpl w:val="BA4EBCDC"/>
    <w:lvl w:tplc="54E41E6E" w:ilvl="0">
      <w:start w:val="4"/>
      <w:numFmt w:val="bullet"/>
      <w:lvlText w:val="-"/>
      <w:lvlJc w:val="left"/>
      <w:pPr>
        <w:ind w:hanging="360" w:left="1440"/>
      </w:pPr>
      <w:rPr>
        <w:rFonts w:cs="Times New Roman" w:eastAsia="Times New Roman"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9">
    <w:nsid w:val="77844A6C"/>
    <w:multiLevelType w:val="hybridMultilevel"/>
    <w:tmpl w:val="F000BAB4"/>
    <w:lvl w:tplc="041A000F"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0">
    <w:nsid w:val="7BAA7136"/>
    <w:multiLevelType w:val="hybridMultilevel"/>
    <w:tmpl w:val="F000BAB4"/>
    <w:lvl w:tplc="041A000F"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6"/>
  </w:num>
  <w:num w:numId="2">
    <w:abstractNumId w:val="15"/>
  </w:num>
  <w:num w:numId="3">
    <w:abstractNumId w:val="2"/>
  </w:num>
  <w:num w:numId="4">
    <w:abstractNumId w:val="7"/>
  </w:num>
  <w:num w:numId="5">
    <w:abstractNumId w:val="3"/>
  </w:num>
  <w:num w:numId="6">
    <w:abstractNumId w:val="10"/>
  </w:num>
  <w:num w:numId="7">
    <w:abstractNumId w:val="17"/>
  </w:num>
  <w:num w:numId="8">
    <w:abstractNumId w:val="0"/>
  </w:num>
  <w:num w:numId="9">
    <w:abstractNumId w:val="18"/>
  </w:num>
  <w:num w:numId="10">
    <w:abstractNumId w:val="12"/>
  </w:num>
  <w:num w:numId="11">
    <w:abstractNumId w:val="20"/>
  </w:num>
  <w:num w:numId="12">
    <w:abstractNumId w:val="14"/>
  </w:num>
  <w:num w:numId="13">
    <w:abstractNumId w:val="19"/>
  </w:num>
  <w:num w:numId="14">
    <w:abstractNumId w:val="13"/>
    <w:lvlOverride w:ilvl="0">
      <w:startOverride w:val="1"/>
    </w:lvlOverride>
  </w:num>
  <w:num w:numId="15">
    <w:abstractNumId w:val="5"/>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num>
  <w:num w:numId="20">
    <w:abstractNumId w:val="5"/>
  </w:num>
  <w:num w:numId="21">
    <w:abstractNumId w:val="16"/>
  </w:num>
  <w:num w:numId="22">
    <w:abstractNumId w:val="11"/>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25964"/>
    <w:rsid w:val="00031AC5"/>
    <w:rsid w:val="0003240A"/>
    <w:rsid w:val="00036EBC"/>
    <w:rsid w:val="0004671A"/>
    <w:rsid w:val="00061371"/>
    <w:rsid w:val="00065174"/>
    <w:rsid w:val="000676C2"/>
    <w:rsid w:val="00071014"/>
    <w:rsid w:val="0007592C"/>
    <w:rsid w:val="0008405A"/>
    <w:rsid w:val="000C7515"/>
    <w:rsid w:val="000D11FD"/>
    <w:rsid w:val="000D566A"/>
    <w:rsid w:val="000E51A4"/>
    <w:rsid w:val="001334E6"/>
    <w:rsid w:val="0013391C"/>
    <w:rsid w:val="00136E20"/>
    <w:rsid w:val="001579BD"/>
    <w:rsid w:val="00170907"/>
    <w:rsid w:val="001801B7"/>
    <w:rsid w:val="00182FF9"/>
    <w:rsid w:val="00197076"/>
    <w:rsid w:val="00197B32"/>
    <w:rsid w:val="001A2BBA"/>
    <w:rsid w:val="001A6FC8"/>
    <w:rsid w:val="001B2A4C"/>
    <w:rsid w:val="001B3FBA"/>
    <w:rsid w:val="001C3902"/>
    <w:rsid w:val="001D14B2"/>
    <w:rsid w:val="001D1D51"/>
    <w:rsid w:val="001D54B2"/>
    <w:rsid w:val="001D650E"/>
    <w:rsid w:val="001F44A9"/>
    <w:rsid w:val="001F7E59"/>
    <w:rsid w:val="00200C14"/>
    <w:rsid w:val="00201CF7"/>
    <w:rsid w:val="0020662F"/>
    <w:rsid w:val="00210D5B"/>
    <w:rsid w:val="002173C7"/>
    <w:rsid w:val="002306B2"/>
    <w:rsid w:val="0023108E"/>
    <w:rsid w:val="00235B83"/>
    <w:rsid w:val="002426E0"/>
    <w:rsid w:val="00252B9B"/>
    <w:rsid w:val="0027434E"/>
    <w:rsid w:val="002858DA"/>
    <w:rsid w:val="002922A1"/>
    <w:rsid w:val="002937FE"/>
    <w:rsid w:val="002A0F58"/>
    <w:rsid w:val="002C04EC"/>
    <w:rsid w:val="002C070D"/>
    <w:rsid w:val="002D25B3"/>
    <w:rsid w:val="002D2D2F"/>
    <w:rsid w:val="002D3D97"/>
    <w:rsid w:val="002E1476"/>
    <w:rsid w:val="002E4AF5"/>
    <w:rsid w:val="002E75AA"/>
    <w:rsid w:val="002F3BBC"/>
    <w:rsid w:val="00313D9A"/>
    <w:rsid w:val="00314110"/>
    <w:rsid w:val="00315707"/>
    <w:rsid w:val="00316C2D"/>
    <w:rsid w:val="00324A56"/>
    <w:rsid w:val="00332F74"/>
    <w:rsid w:val="00333E18"/>
    <w:rsid w:val="00347B89"/>
    <w:rsid w:val="003635C6"/>
    <w:rsid w:val="003651B5"/>
    <w:rsid w:val="00366E4A"/>
    <w:rsid w:val="00385C13"/>
    <w:rsid w:val="00397918"/>
    <w:rsid w:val="003B2C82"/>
    <w:rsid w:val="003C0AAF"/>
    <w:rsid w:val="003C4C54"/>
    <w:rsid w:val="003F7C0A"/>
    <w:rsid w:val="00402B07"/>
    <w:rsid w:val="00406FCB"/>
    <w:rsid w:val="00410DD9"/>
    <w:rsid w:val="00412576"/>
    <w:rsid w:val="00425DF4"/>
    <w:rsid w:val="00432142"/>
    <w:rsid w:val="00433AE1"/>
    <w:rsid w:val="00441593"/>
    <w:rsid w:val="00442E1B"/>
    <w:rsid w:val="004520B8"/>
    <w:rsid w:val="0045647C"/>
    <w:rsid w:val="0047013F"/>
    <w:rsid w:val="00470DE3"/>
    <w:rsid w:val="00480BF8"/>
    <w:rsid w:val="00483F06"/>
    <w:rsid w:val="004864B8"/>
    <w:rsid w:val="004907A9"/>
    <w:rsid w:val="004916CB"/>
    <w:rsid w:val="00492760"/>
    <w:rsid w:val="00497F51"/>
    <w:rsid w:val="004A3E09"/>
    <w:rsid w:val="004A7BD8"/>
    <w:rsid w:val="004B37DD"/>
    <w:rsid w:val="004B6D4B"/>
    <w:rsid w:val="004C71F5"/>
    <w:rsid w:val="004D4F80"/>
    <w:rsid w:val="004E3AE9"/>
    <w:rsid w:val="004E5469"/>
    <w:rsid w:val="004F022B"/>
    <w:rsid w:val="004F0B91"/>
    <w:rsid w:val="004F2A2B"/>
    <w:rsid w:val="004F2BF6"/>
    <w:rsid w:val="004F5E06"/>
    <w:rsid w:val="005062CB"/>
    <w:rsid w:val="00507523"/>
    <w:rsid w:val="005105F0"/>
    <w:rsid w:val="00524933"/>
    <w:rsid w:val="00524FE6"/>
    <w:rsid w:val="00531326"/>
    <w:rsid w:val="00540A0E"/>
    <w:rsid w:val="0056109D"/>
    <w:rsid w:val="00562C59"/>
    <w:rsid w:val="00563888"/>
    <w:rsid w:val="00566AF3"/>
    <w:rsid w:val="00577D8C"/>
    <w:rsid w:val="00582540"/>
    <w:rsid w:val="00584C48"/>
    <w:rsid w:val="005A487E"/>
    <w:rsid w:val="005B7927"/>
    <w:rsid w:val="005C2024"/>
    <w:rsid w:val="005E37B5"/>
    <w:rsid w:val="006122D7"/>
    <w:rsid w:val="00614C4C"/>
    <w:rsid w:val="00632C10"/>
    <w:rsid w:val="00633A2F"/>
    <w:rsid w:val="0063787F"/>
    <w:rsid w:val="00643948"/>
    <w:rsid w:val="00645723"/>
    <w:rsid w:val="006601DB"/>
    <w:rsid w:val="0067532C"/>
    <w:rsid w:val="006830F7"/>
    <w:rsid w:val="006A74B9"/>
    <w:rsid w:val="006B317D"/>
    <w:rsid w:val="006B57EE"/>
    <w:rsid w:val="006C5A61"/>
    <w:rsid w:val="006C78C0"/>
    <w:rsid w:val="006D2270"/>
    <w:rsid w:val="006F4A19"/>
    <w:rsid w:val="00702B5E"/>
    <w:rsid w:val="007158E6"/>
    <w:rsid w:val="00720F54"/>
    <w:rsid w:val="00727585"/>
    <w:rsid w:val="007317F6"/>
    <w:rsid w:val="00743A0C"/>
    <w:rsid w:val="007516C1"/>
    <w:rsid w:val="00753615"/>
    <w:rsid w:val="0076717F"/>
    <w:rsid w:val="0077398D"/>
    <w:rsid w:val="00774C8D"/>
    <w:rsid w:val="007802DF"/>
    <w:rsid w:val="00782F0A"/>
    <w:rsid w:val="00791066"/>
    <w:rsid w:val="00791CFF"/>
    <w:rsid w:val="007A25E1"/>
    <w:rsid w:val="007A583A"/>
    <w:rsid w:val="007A6843"/>
    <w:rsid w:val="007A68E4"/>
    <w:rsid w:val="007B13A0"/>
    <w:rsid w:val="007B3F07"/>
    <w:rsid w:val="007C700B"/>
    <w:rsid w:val="007D1570"/>
    <w:rsid w:val="007D2F24"/>
    <w:rsid w:val="007E1966"/>
    <w:rsid w:val="007E5CBE"/>
    <w:rsid w:val="007E75F7"/>
    <w:rsid w:val="007F178A"/>
    <w:rsid w:val="007F50B0"/>
    <w:rsid w:val="00802743"/>
    <w:rsid w:val="00803704"/>
    <w:rsid w:val="008038C2"/>
    <w:rsid w:val="008231DA"/>
    <w:rsid w:val="00844266"/>
    <w:rsid w:val="00844386"/>
    <w:rsid w:val="00847F80"/>
    <w:rsid w:val="008533B4"/>
    <w:rsid w:val="00854E27"/>
    <w:rsid w:val="00857C0B"/>
    <w:rsid w:val="0086101A"/>
    <w:rsid w:val="00866389"/>
    <w:rsid w:val="008766A7"/>
    <w:rsid w:val="00877A07"/>
    <w:rsid w:val="008806D0"/>
    <w:rsid w:val="008807FF"/>
    <w:rsid w:val="00882DBB"/>
    <w:rsid w:val="00893798"/>
    <w:rsid w:val="008A3648"/>
    <w:rsid w:val="008A7285"/>
    <w:rsid w:val="008B05F8"/>
    <w:rsid w:val="008B18CB"/>
    <w:rsid w:val="008B4269"/>
    <w:rsid w:val="008C264F"/>
    <w:rsid w:val="008C3F1A"/>
    <w:rsid w:val="008C5727"/>
    <w:rsid w:val="008C7A5D"/>
    <w:rsid w:val="008D16DA"/>
    <w:rsid w:val="008D24FC"/>
    <w:rsid w:val="008D626F"/>
    <w:rsid w:val="008E0C6B"/>
    <w:rsid w:val="008F0248"/>
    <w:rsid w:val="008F0A37"/>
    <w:rsid w:val="008F4222"/>
    <w:rsid w:val="00901506"/>
    <w:rsid w:val="00910CB4"/>
    <w:rsid w:val="0091218E"/>
    <w:rsid w:val="009124B9"/>
    <w:rsid w:val="0091590F"/>
    <w:rsid w:val="009200D8"/>
    <w:rsid w:val="009249A4"/>
    <w:rsid w:val="00925140"/>
    <w:rsid w:val="00942FFB"/>
    <w:rsid w:val="00943C24"/>
    <w:rsid w:val="0095162B"/>
    <w:rsid w:val="00967B24"/>
    <w:rsid w:val="00970965"/>
    <w:rsid w:val="00995755"/>
    <w:rsid w:val="00995CC0"/>
    <w:rsid w:val="009973CE"/>
    <w:rsid w:val="009A102C"/>
    <w:rsid w:val="009A29AA"/>
    <w:rsid w:val="009A62F0"/>
    <w:rsid w:val="009B6295"/>
    <w:rsid w:val="009C11C7"/>
    <w:rsid w:val="009D0BA5"/>
    <w:rsid w:val="009F093B"/>
    <w:rsid w:val="009F1D27"/>
    <w:rsid w:val="00A177C6"/>
    <w:rsid w:val="00A23BC8"/>
    <w:rsid w:val="00A279FB"/>
    <w:rsid w:val="00A30142"/>
    <w:rsid w:val="00A35E12"/>
    <w:rsid w:val="00A418CD"/>
    <w:rsid w:val="00A5058B"/>
    <w:rsid w:val="00A533E2"/>
    <w:rsid w:val="00A54A28"/>
    <w:rsid w:val="00A602FE"/>
    <w:rsid w:val="00A6090C"/>
    <w:rsid w:val="00A6609A"/>
    <w:rsid w:val="00A71553"/>
    <w:rsid w:val="00A75E2B"/>
    <w:rsid w:val="00A844F7"/>
    <w:rsid w:val="00AA0E7B"/>
    <w:rsid w:val="00AA1DC9"/>
    <w:rsid w:val="00AA44B4"/>
    <w:rsid w:val="00AC4988"/>
    <w:rsid w:val="00AC5398"/>
    <w:rsid w:val="00AD17F9"/>
    <w:rsid w:val="00AD3D15"/>
    <w:rsid w:val="00AD6A8F"/>
    <w:rsid w:val="00AD74BB"/>
    <w:rsid w:val="00AE2F90"/>
    <w:rsid w:val="00AF366E"/>
    <w:rsid w:val="00B01808"/>
    <w:rsid w:val="00B05825"/>
    <w:rsid w:val="00B1095D"/>
    <w:rsid w:val="00B123EA"/>
    <w:rsid w:val="00B151A3"/>
    <w:rsid w:val="00B16170"/>
    <w:rsid w:val="00B21E56"/>
    <w:rsid w:val="00B22EE6"/>
    <w:rsid w:val="00B3327A"/>
    <w:rsid w:val="00B3448B"/>
    <w:rsid w:val="00B3462A"/>
    <w:rsid w:val="00B43431"/>
    <w:rsid w:val="00B439F5"/>
    <w:rsid w:val="00B54B27"/>
    <w:rsid w:val="00B639DE"/>
    <w:rsid w:val="00B7030C"/>
    <w:rsid w:val="00B71500"/>
    <w:rsid w:val="00B740E7"/>
    <w:rsid w:val="00B766E0"/>
    <w:rsid w:val="00B77001"/>
    <w:rsid w:val="00B83606"/>
    <w:rsid w:val="00B85BAA"/>
    <w:rsid w:val="00B9009F"/>
    <w:rsid w:val="00BA3800"/>
    <w:rsid w:val="00BA79B6"/>
    <w:rsid w:val="00BB13AF"/>
    <w:rsid w:val="00BB34B3"/>
    <w:rsid w:val="00BB53CD"/>
    <w:rsid w:val="00BB7DA9"/>
    <w:rsid w:val="00BC354A"/>
    <w:rsid w:val="00BC5DAC"/>
    <w:rsid w:val="00BD1B3A"/>
    <w:rsid w:val="00BD3D8E"/>
    <w:rsid w:val="00BD6429"/>
    <w:rsid w:val="00BE378F"/>
    <w:rsid w:val="00BE3D40"/>
    <w:rsid w:val="00BE64DE"/>
    <w:rsid w:val="00C015EB"/>
    <w:rsid w:val="00C06CD6"/>
    <w:rsid w:val="00C10EC8"/>
    <w:rsid w:val="00C24D1F"/>
    <w:rsid w:val="00C317BA"/>
    <w:rsid w:val="00C3199F"/>
    <w:rsid w:val="00C45A19"/>
    <w:rsid w:val="00C6202E"/>
    <w:rsid w:val="00C622AF"/>
    <w:rsid w:val="00C77A5D"/>
    <w:rsid w:val="00C82F49"/>
    <w:rsid w:val="00C869FD"/>
    <w:rsid w:val="00C86D7B"/>
    <w:rsid w:val="00C94A31"/>
    <w:rsid w:val="00C97F42"/>
    <w:rsid w:val="00CA0CB6"/>
    <w:rsid w:val="00CA5D6A"/>
    <w:rsid w:val="00CC0832"/>
    <w:rsid w:val="00CE6867"/>
    <w:rsid w:val="00CF5A10"/>
    <w:rsid w:val="00D01371"/>
    <w:rsid w:val="00D11C7E"/>
    <w:rsid w:val="00D13E04"/>
    <w:rsid w:val="00D1529C"/>
    <w:rsid w:val="00D25FEA"/>
    <w:rsid w:val="00D26B8D"/>
    <w:rsid w:val="00D30574"/>
    <w:rsid w:val="00D34EEA"/>
    <w:rsid w:val="00D369D1"/>
    <w:rsid w:val="00D37149"/>
    <w:rsid w:val="00D442A3"/>
    <w:rsid w:val="00D44A63"/>
    <w:rsid w:val="00D50178"/>
    <w:rsid w:val="00D5233A"/>
    <w:rsid w:val="00D5345C"/>
    <w:rsid w:val="00D550AB"/>
    <w:rsid w:val="00D56BCF"/>
    <w:rsid w:val="00D640B3"/>
    <w:rsid w:val="00D6779A"/>
    <w:rsid w:val="00D71D38"/>
    <w:rsid w:val="00D80F6B"/>
    <w:rsid w:val="00D82C33"/>
    <w:rsid w:val="00D85F7F"/>
    <w:rsid w:val="00D87AB3"/>
    <w:rsid w:val="00DA28F6"/>
    <w:rsid w:val="00DB03F8"/>
    <w:rsid w:val="00DC5109"/>
    <w:rsid w:val="00DE5D46"/>
    <w:rsid w:val="00DF2F36"/>
    <w:rsid w:val="00E07898"/>
    <w:rsid w:val="00E165B6"/>
    <w:rsid w:val="00E373D6"/>
    <w:rsid w:val="00E508C3"/>
    <w:rsid w:val="00E6318A"/>
    <w:rsid w:val="00E648EA"/>
    <w:rsid w:val="00E65DAD"/>
    <w:rsid w:val="00E70270"/>
    <w:rsid w:val="00E73F22"/>
    <w:rsid w:val="00E84901"/>
    <w:rsid w:val="00EA0897"/>
    <w:rsid w:val="00EB54CF"/>
    <w:rsid w:val="00EC4D44"/>
    <w:rsid w:val="00EC67B9"/>
    <w:rsid w:val="00EE7BAB"/>
    <w:rsid w:val="00EF0A8F"/>
    <w:rsid w:val="00EF577E"/>
    <w:rsid w:val="00F131F5"/>
    <w:rsid w:val="00F22A9D"/>
    <w:rsid w:val="00F25EC7"/>
    <w:rsid w:val="00F33EFA"/>
    <w:rsid w:val="00F41B8B"/>
    <w:rsid w:val="00F53EDD"/>
    <w:rsid w:val="00F57B71"/>
    <w:rsid w:val="00F75B6B"/>
    <w:rsid w:val="00F80BE7"/>
    <w:rsid w:val="00F93811"/>
    <w:rsid w:val="00F94D5C"/>
    <w:rsid w:val="00FB39F4"/>
    <w:rsid w:val="00FC1337"/>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qFormat="true" w:unhideWhenUsed="true" w:semiHidden="true" w:name="caption"/>
    <w:lsdException w:uiPriority="99" w:name="footnote reference"/>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rsid w:val="00B01808"/>
    <w:pPr>
      <w:tabs>
        <w:tab w:pos="4536" w:val="center"/>
        <w:tab w:pos="9072" w:val="right"/>
      </w:tabs>
    </w:pPr>
  </w:style>
  <w:style w:styleId="Tekstbalonia" w:type="paragraph">
    <w:name w:val="Balloon Text"/>
    <w:basedOn w:val="Normal"/>
    <w:link w:val="TekstbaloniaChar"/>
    <w:uiPriority w:val="99"/>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uiPriority w:val="99"/>
    <w:rsid w:val="00B21E56"/>
  </w:style>
  <w:style w:customStyle="true" w:styleId="PodnojeChar" w:type="character">
    <w:name w:val="Podnožje Char"/>
    <w:basedOn w:val="Zadanifontodlomka"/>
    <w:link w:val="Podnoje"/>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uiPriority w:val="99"/>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4A3E09"/>
    <w:rPr>
      <w:rFonts w:eastAsia="Calibri" w:hAnsi="Calibri" w:ascii="Calibri"/>
      <w:lang w:eastAsia="en-US"/>
    </w:rPr>
  </w:style>
  <w:style w:styleId="Referencafusnote" w:type="character">
    <w:name w:val="footnote reference"/>
    <w:uiPriority w:val="99"/>
    <w:unhideWhenUsed/>
    <w:rsid w:val="004A3E09"/>
    <w:rPr>
      <w:rFonts w:cs="Times New Roman" w:hAnsi="Times New Roman" w:ascii="Times New Roman" w:hint="default"/>
      <w:vertAlign w:val="superscript"/>
    </w:rPr>
  </w:style>
  <w:style w:customStyle="true" w:styleId="x-fieldset-header-text" w:type="character">
    <w:name w:val="x-fieldset-header-text"/>
    <w:rsid w:val="00E508C3"/>
  </w:style>
  <w:style w:customStyle="true" w:styleId="Srednjareetka21" w:type="paragraph">
    <w:name w:val="Srednja rešetka 21"/>
    <w:uiPriority w:val="1"/>
    <w:qFormat/>
    <w:rsid w:val="002306B2"/>
    <w:rPr>
      <w:rFonts w:eastAsia="Calibri" w:hAnsi="Calibri" w:ascii="Calibri"/>
      <w:sz w:val="22"/>
      <w:szCs w:val="22"/>
      <w:lang w:eastAsia="en-US"/>
    </w:rPr>
  </w:style>
  <w:style w:styleId="Tekstrezerviranogmjesta" w:type="character">
    <w:name w:val="Placeholder Text"/>
    <w:basedOn w:val="Zadanifontodlomka"/>
    <w:uiPriority w:val="99"/>
    <w:semiHidden/>
    <w:rsid w:val="00844266"/>
    <w:rPr>
      <w:color w:val="808080"/>
      <w:bdr w:space="0" w:sz="0" w:color="auto" w:val="none"/>
      <w:shd w:fill="auto" w:color="auto" w:val="clear"/>
    </w:rPr>
  </w:style>
  <w:style w:customStyle="true" w:styleId="eSPISCCParagraphDefaultFont" w:type="character">
    <w:name w:val="eSPIS_CC_Paragraph Default Font"/>
    <w:basedOn w:val="Zadanifontodlomka"/>
    <w:rsid w:val="00844266"/>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844266"/>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44266"/>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44266"/>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caption" w:qFormat="1" w:semiHidden="1" w:unhideWhenUsed="1"/>
    <w:lsdException w:name="footnote reference" w:uiPriority="99"/>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rsid w:val="00B01808"/>
    <w:pPr>
      <w:tabs>
        <w:tab w:pos="4536" w:val="center"/>
        <w:tab w:pos="9072" w:val="right"/>
      </w:tabs>
    </w:pPr>
  </w:style>
  <w:style w:styleId="Tekstbalonia" w:type="paragraph">
    <w:name w:val="Balloon Text"/>
    <w:basedOn w:val="Normal"/>
    <w:link w:val="TekstbaloniaChar"/>
    <w:uiPriority w:val="99"/>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uiPriority w:val="99"/>
    <w:rsid w:val="00B21E56"/>
  </w:style>
  <w:style w:customStyle="1" w:styleId="PodnojeChar" w:type="character">
    <w:name w:val="Podnožje Char"/>
    <w:basedOn w:val="Zadanifontodlomka"/>
    <w:link w:val="Podnoje"/>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uiPriority w:val="99"/>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4A3E09"/>
    <w:rPr>
      <w:rFonts w:ascii="Calibri" w:eastAsia="Calibri" w:hAnsi="Calibri"/>
      <w:lang w:eastAsia="en-US"/>
    </w:rPr>
  </w:style>
  <w:style w:styleId="Referencafusnote" w:type="character">
    <w:name w:val="footnote reference"/>
    <w:uiPriority w:val="99"/>
    <w:unhideWhenUsed/>
    <w:rsid w:val="004A3E09"/>
    <w:rPr>
      <w:rFonts w:ascii="Times New Roman" w:cs="Times New Roman" w:hAnsi="Times New Roman" w:hint="default"/>
      <w:vertAlign w:val="superscript"/>
    </w:rPr>
  </w:style>
  <w:style w:customStyle="1" w:styleId="x-fieldset-header-text" w:type="character">
    <w:name w:val="x-fieldset-header-text"/>
    <w:rsid w:val="00E508C3"/>
  </w:style>
  <w:style w:customStyle="1" w:styleId="Srednjareetka21" w:type="paragraph">
    <w:name w:val="Srednja rešetka 21"/>
    <w:uiPriority w:val="1"/>
    <w:qFormat/>
    <w:rsid w:val="002306B2"/>
    <w:rPr>
      <w:rFonts w:ascii="Calibri" w:eastAsia="Calibri" w:hAnsi="Calibri"/>
      <w:sz w:val="22"/>
      <w:szCs w:val="22"/>
      <w:lang w:eastAsia="en-US"/>
    </w:rPr>
  </w:style>
  <w:style w:styleId="Tekstrezerviranogmjesta" w:type="character">
    <w:name w:val="Placeholder Text"/>
    <w:basedOn w:val="Zadanifontodlomka"/>
    <w:uiPriority w:val="99"/>
    <w:semiHidden/>
    <w:rsid w:val="00844266"/>
    <w:rPr>
      <w:color w:val="808080"/>
      <w:bdr w:color="auto" w:space="0" w:sz="0" w:val="none"/>
      <w:shd w:color="auto" w:fill="auto" w:val="clear"/>
    </w:rPr>
  </w:style>
  <w:style w:customStyle="1" w:styleId="eSPISCCParagraphDefaultFont" w:type="character">
    <w:name w:val="eSPIS_CC_Paragraph Default Font"/>
    <w:basedOn w:val="Zadanifontodlomka"/>
    <w:rsid w:val="00844266"/>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844266"/>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44266"/>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44266"/>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054072">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14271828">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662513785">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34879561">
      <w:bodyDiv w:val="true"/>
      <w:marLeft w:val="0"/>
      <w:marRight w:val="0"/>
      <w:marTop w:val="0"/>
      <w:marBottom w:val="0"/>
      <w:divBdr>
        <w:top w:space="0" w:sz="0" w:color="auto" w:val="none"/>
        <w:left w:space="0" w:sz="0" w:color="auto" w:val="none"/>
        <w:bottom w:space="0" w:sz="0" w:color="auto" w:val="none"/>
        <w:right w:space="0" w:sz="0" w:color="auto" w:val="none"/>
      </w:divBdr>
    </w:div>
    <w:div w:id="856698171">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34005928">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4892878">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17463398">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15. studenog 2017.</izvorni_sadrzaj>
    <derivirana_varijabla naziv="DomainObject.StvarniPocetakDatum_1">15. studenog 2017.</derivirana_varijabla>
  </DomainObject.StvarniPocetakDatum>
  <DomainObject.StvarniZavrsetakDatum>
    <izvorni_sadrzaj>15. studenog 2017.</izvorni_sadrzaj>
    <derivirana_varijabla naziv="DomainObject.StvarniZavrsetakDatum_1">15. studenog 2017.</derivirana_varijabla>
  </DomainObject.StvarniZavrsetakDatum>
  <DomainObject.PlaniraniZavrsetakDatum>
    <izvorni_sadrzaj>15. studenog 2017.</izvorni_sadrzaj>
    <derivirana_varijabla naziv="DomainObject.PlaniraniZavrsetakDatum_1">15. studenog 2017.</derivirana_varijabla>
  </DomainObject.PlaniraniZavrsetakDatum>
  <DomainObject.PlaniraniPocetakDatum>
    <izvorni_sadrzaj>15. studenog 2017.</izvorni_sadrzaj>
    <derivirana_varijabla naziv="DomainObject.PlaniraniPocetakDatum_1">15. studenog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studenog 2017.</izvorni_sadrzaj>
    <derivirana_varijabla naziv="DomainObject.Zapisnik.DatumKreiranja_1">15. studenog 2017.</derivirana_varijabla>
  </DomainObject.Zapisnik.DatumKreiranja>
  <DomainObject.Zapisnik.ImovinskaKorist>
    <izvorni_sadrzaj/>
    <derivirana_varijabla naziv="DomainObject.Zapisnik.ImovinskaKorist_1"/>
  </DomainObject.Zapisnik.ImovinskaKorist>
  <DomainObject.Zapisnik.Oznaka>
    <izvorni_sadrzaj>St-1105/2014-25</izvorni_sadrzaj>
    <derivirana_varijabla naziv="DomainObject.Zapisnik.Oznaka_1">St-1105/2014-25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1105</izvorni_sadrzaj>
    <derivirana_varijabla naziv="DomainObject.Predmet.Broj_1">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2014.</izvorni_sadrzaj>
    <derivirana_varijabla naziv="DomainObject.Predmet.DatumOsnivanja_1">22.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St-1105/2014</izvorni_sadrzaj>
    <derivirana_varijabla naziv="DomainObject.Predmet.OznakaBroj_1">St-1105/2014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REGATA, d.o.o. za marketing, trgovinu i usluge</izvorni_sadrzaj>
    <derivirana_varijabla naziv="DomainObject.Predmet.ProtustrankaFormated_1">  REGATA, d.o.o. za marketing, trgovinu i usluge</derivirana_varijabla>
  </DomainObject.Predmet.ProtustrankaFormated>
  <DomainObject.Predmet.ProtustrankaFormatedOIB>
    <izvorni_sadrzaj>  REGATA, d.o.o. za marketing, trgovinu i usluge, OIB 79629726461</izvorni_sadrzaj>
    <derivirana_varijabla naziv="DomainObject.Predmet.ProtustrankaFormatedOIB_1">  REGATA, d.o.o. za marketing, trgovinu i usluge, OIB 79629726461</derivirana_varijabla>
  </DomainObject.Predmet.ProtustrankaFormatedOIB>
  <DomainObject.Predmet.ProtustrankaFormatedWithAdress>
    <izvorni_sadrzaj> REGATA, d.o.o. za marketing, trgovinu i usluge, Barutanski breg 35, 10000 Zagreb</izvorni_sadrzaj>
    <derivirana_varijabla naziv="DomainObject.Predmet.ProtustrankaFormatedWithAdress_1"> REGATA, d.o.o. za marketing, trgovinu i usluge, Barutanski breg 35, 10000 Zagreb</derivirana_varijabla>
  </DomainObject.Predmet.ProtustrankaFormatedWithAdress>
  <DomainObject.Predmet.ProtustrankaFormatedWithAdressOIB>
    <izvorni_sadrzaj> REGATA, d.o.o. za marketing, trgovinu i usluge, OIB 79629726461, Barutanski breg 35, 10000 Zagreb</izvorni_sadrzaj>
    <derivirana_varijabla naziv="DomainObject.Predmet.ProtustrankaFormatedWithAdressOIB_1"> REGATA, d.o.o. za marketing, trgovinu i usluge, OIB 79629726461, Barutanski breg 35, 10000 Zagreb</derivirana_varijabla>
  </DomainObject.Predmet.ProtustrankaFormatedWithAdressOIB>
  <DomainObject.Predmet.ProtustrankaWithAdress>
    <izvorni_sadrzaj>REGATA, d.o.o. za marketing, trgovinu i usluge Barutanski breg 35, 10000 Zagreb</izvorni_sadrzaj>
    <derivirana_varijabla naziv="DomainObject.Predmet.ProtustrankaWithAdress_1">REGATA, d.o.o. za marketing, trgovinu i usluge Barutanski breg 35, 10000 Zagreb</derivirana_varijabla>
  </DomainObject.Predmet.ProtustrankaWithAdress>
  <DomainObject.Predmet.ProtustrankaWithAdressOIB>
    <izvorni_sadrzaj>REGATA, d.o.o. za marketing, trgovinu i usluge, OIB 79629726461, Barutanski breg 35, 10000 Zagreb</izvorni_sadrzaj>
    <derivirana_varijabla naziv="DomainObject.Predmet.ProtustrankaWithAdressOIB_1">REGATA, d.o.o. za marketing, trgovinu i usluge, OIB 79629726461, Barutanski breg 35, 10000 Zagreb</derivirana_varijabla>
  </DomainObject.Predmet.ProtustrankaWithAdressOIB>
  <DomainObject.Predmet.ProtustrankaNazivFormated>
    <izvorni_sadrzaj>REGATA, d.o.o. za marketing, trgovinu i usluge</izvorni_sadrzaj>
    <derivirana_varijabla naziv="DomainObject.Predmet.ProtustrankaNazivFormated_1">REGATA, d.o.o. za marketing, trgovinu i usluge</derivirana_varijabla>
  </DomainObject.Predmet.ProtustrankaNazivFormated>
  <DomainObject.Predmet.ProtustrankaNazivFormatedOIB>
    <izvorni_sadrzaj>REGATA, d.o.o. za marketing, trgovinu i usluge, OIB 79629726461</izvorni_sadrzaj>
    <derivirana_varijabla naziv="DomainObject.Predmet.ProtustrankaNazivFormatedOIB_1">REGATA, d.o.o. za marketing, trgovinu i usluge, OIB 79629726461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Kristijan Prevolšek</izvorni_sadrzaj>
    <derivirana_varijabla naziv="DomainObject.Predmet.StrankaFormated_1">  Kristijan Prevolšek</derivirana_varijabla>
  </DomainObject.Predmet.StrankaFormated>
  <DomainObject.Predmet.StrankaFormatedOIB>
    <izvorni_sadrzaj>  Kristijan Prevolšek, OIB 26549446959</izvorni_sadrzaj>
    <derivirana_varijabla naziv="DomainObject.Predmet.StrankaFormatedOIB_1">  Kristijan Prevolšek, OIB 26549446959</derivirana_varijabla>
  </DomainObject.Predmet.StrankaFormatedOIB>
  <DomainObject.Predmet.StrankaFormatedWithAdress>
    <izvorni_sadrzaj> Kristijan Prevolšek, Vjenceslava Novaka 11, 51000 Rijeka</izvorni_sadrzaj>
    <derivirana_varijabla naziv="DomainObject.Predmet.StrankaFormatedWithAdress_1"> Kristijan Prevolšek, Vjenceslava Novaka 11, 51000 Rijeka</derivirana_varijabla>
  </DomainObject.Predmet.StrankaFormatedWithAdress>
  <DomainObject.Predmet.StrankaFormatedWithAdressOIB>
    <izvorni_sadrzaj> Kristijan Prevolšek, OIB 26549446959, Vjenceslava Novaka 11, 51000 Rijeka</izvorni_sadrzaj>
    <derivirana_varijabla naziv="DomainObject.Predmet.StrankaFormatedWithAdressOIB_1"> Kristijan Prevolšek, OIB 26549446959, Vjenceslava Novaka 11, 51000 Rijeka</derivirana_varijabla>
  </DomainObject.Predmet.StrankaFormatedWithAdressOIB>
  <DomainObject.Predmet.StrankaWithAdress>
    <izvorni_sadrzaj>Kristijan Prevolšek Vjenceslava Novaka 11,51000 Rijeka</izvorni_sadrzaj>
    <derivirana_varijabla naziv="DomainObject.Predmet.StrankaWithAdress_1">Kristijan Prevolšek Vjenceslava Novaka 11,51000 Rijeka</derivirana_varijabla>
  </DomainObject.Predmet.StrankaWithAdress>
  <DomainObject.Predmet.StrankaWithAdressOIB>
    <izvorni_sadrzaj>Kristijan Prevolšek, OIB 26549446959, Vjenceslava Novaka 11,51000 Rijeka</izvorni_sadrzaj>
    <derivirana_varijabla naziv="DomainObject.Predmet.StrankaWithAdressOIB_1">Kristijan Prevolšek, OIB 26549446959, Vjenceslava Novaka 11,51000 Rijeka</derivirana_varijabla>
  </DomainObject.Predmet.StrankaWithAdressOIB>
  <DomainObject.Predmet.StrankaNazivFormated>
    <izvorni_sadrzaj>Kristijan Prevolšek</izvorni_sadrzaj>
    <derivirana_varijabla naziv="DomainObject.Predmet.StrankaNazivFormated_1">Kristijan Prevolšek</derivirana_varijabla>
  </DomainObject.Predmet.StrankaNazivFormated>
  <DomainObject.Predmet.StrankaNazivFormatedOIB>
    <izvorni_sadrzaj>Kristijan Prevolšek, OIB 26549446959</izvorni_sadrzaj>
    <derivirana_varijabla naziv="DomainObject.Predmet.StrankaNazivFormatedOIB_1">Kristijan Prevolšek, OIB 26549446959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Kristijan Prevolšek</item>
    </izvorni_sadrzaj>
    <derivirana_varijabla naziv="DomainObject.Predmet.StrankaListFormated_1">
      <item>Kristijan Prevolšek</item>
    </derivirana_varijabla>
  </DomainObject.Predmet.StrankaListFormated>
  <DomainObject.Predmet.StrankaListFormatedOIB>
    <izvorni_sadrzaj>
      <item>Kristijan Prevolšek, OIB 26549446959</item>
    </izvorni_sadrzaj>
    <derivirana_varijabla naziv="DomainObject.Predmet.StrankaListFormatedOIB_1">
      <item>Kristijan Prevolšek, OIB 26549446959</item>
    </derivirana_varijabla>
  </DomainObject.Predmet.StrankaListFormatedOIB>
  <DomainObject.Predmet.StrankaListFormatedWithAdress>
    <izvorni_sadrzaj>
      <item>Kristijan Prevolšek, Vjenceslava Novaka 11, 51000 Rijeka</item>
    </izvorni_sadrzaj>
    <derivirana_varijabla naziv="DomainObject.Predmet.StrankaListFormatedWithAdress_1">
      <item>Kristijan Prevolšek, Vjenceslava Novaka 11, 51000 Rijeka</item>
    </derivirana_varijabla>
  </DomainObject.Predmet.StrankaListFormatedWithAdress>
  <DomainObject.Predmet.StrankaListFormatedWithAdressOIB>
    <izvorni_sadrzaj>
      <item>Kristijan Prevolšek, OIB 26549446959, Vjenceslava Novaka 11, 51000 Rijeka</item>
    </izvorni_sadrzaj>
    <derivirana_varijabla naziv="DomainObject.Predmet.StrankaListFormatedWithAdressOIB_1">
      <item>Kristijan Prevolšek, OIB 26549446959, Vjenceslava Novaka 11, 51000 Rijeka</item>
    </derivirana_varijabla>
  </DomainObject.Predmet.StrankaListFormatedWithAdressOIB>
  <DomainObject.Predmet.StrankaListNazivFormated>
    <izvorni_sadrzaj>
      <item>Kristijan Prevolšek</item>
    </izvorni_sadrzaj>
    <derivirana_varijabla naziv="DomainObject.Predmet.StrankaListNazivFormated_1">
      <item>Kristijan Prevolšek</item>
    </derivirana_varijabla>
  </DomainObject.Predmet.StrankaListNazivFormated>
  <DomainObject.Predmet.StrankaListNazivFormatedOIB>
    <izvorni_sadrzaj>
      <item>Kristijan Prevolšek, OIB 26549446959</item>
    </izvorni_sadrzaj>
    <derivirana_varijabla naziv="DomainObject.Predmet.StrankaListNazivFormatedOIB_1">
      <item>Kristijan Prevolšek, OIB 26549446959</item>
    </derivirana_varijabla>
  </DomainObject.Predmet.StrankaListNazivFormatedOIB>
  <DomainObject.Predmet.ProtuStrankaListFormated>
    <izvorni_sadrzaj>
      <item>REGATA, d.o.o. za marketing, trgovinu i usluge</item>
    </izvorni_sadrzaj>
    <derivirana_varijabla naziv="DomainObject.Predmet.ProtuStrankaListFormated_1">
      <item>REGATA, d.o.o. za marketing, trgovinu i usluge</item>
    </derivirana_varijabla>
  </DomainObject.Predmet.ProtuStrankaListFormated>
  <DomainObject.Predmet.ProtuStrankaListFormatedOIB>
    <izvorni_sadrzaj>
      <item>REGATA, d.o.o. za marketing, trgovinu i usluge, OIB 79629726461</item>
    </izvorni_sadrzaj>
    <derivirana_varijabla naziv="DomainObject.Predmet.ProtuStrankaListFormatedOIB_1">
      <item>REGATA, d.o.o. za marketing, trgovinu i usluge, OIB 79629726461</item>
    </derivirana_varijabla>
  </DomainObject.Predmet.ProtuStrankaListFormatedOIB>
  <DomainObject.Predmet.ProtuStrankaListFormatedWithAdress>
    <izvorni_sadrzaj>
      <item>REGATA, d.o.o. za marketing, trgovinu i usluge, Barutanski breg 35, 10000 Zagreb</item>
    </izvorni_sadrzaj>
    <derivirana_varijabla naziv="DomainObject.Predmet.ProtuStrankaListFormatedWithAdress_1">
      <item>REGATA, d.o.o. za marketing, trgovinu i usluge, Barutanski breg 35, 10000 Zagreb</item>
    </derivirana_varijabla>
  </DomainObject.Predmet.ProtuStrankaListFormatedWithAdress>
  <DomainObject.Predmet.ProtuStrankaListFormatedWithAdressOIB>
    <izvorni_sadrzaj>
      <item>REGATA, d.o.o. za marketing, trgovinu i usluge, OIB 79629726461, Barutanski breg 35, 10000 Zagreb</item>
    </izvorni_sadrzaj>
    <derivirana_varijabla naziv="DomainObject.Predmet.ProtuStrankaListFormatedWithAdressOIB_1">
      <item>REGATA, d.o.o. za marketing, trgovinu i usluge, OIB 79629726461, Barutanski breg 35, 10000 Zagreb</item>
    </derivirana_varijabla>
  </DomainObject.Predmet.ProtuStrankaListFormatedWithAdressOIB>
  <DomainObject.Predmet.ProtuStrankaListNazivFormated>
    <izvorni_sadrzaj>
      <item>REGATA, d.o.o. za marketing, trgovinu i usluge</item>
    </izvorni_sadrzaj>
    <derivirana_varijabla naziv="DomainObject.Predmet.ProtuStrankaListNazivFormated_1">
      <item>REGATA, d.o.o. za marketing, trgovinu i usluge</item>
    </derivirana_varijabla>
  </DomainObject.Predmet.ProtuStrankaListNazivFormated>
  <DomainObject.Predmet.ProtuStrankaListNazivFormatedOIB>
    <izvorni_sadrzaj>
      <item>REGATA, d.o.o. za marketing, trgovinu i usluge, OIB 79629726461</item>
    </izvorni_sadrzaj>
    <derivirana_varijabla naziv="DomainObject.Predmet.ProtuStrankaListNazivFormatedOIB_1">
      <item>REGATA, d.o.o. za marketing, trgovinu i usluge, OIB 79629726461</item>
    </derivirana_varijabla>
  </DomainObject.Predmet.ProtuStrankaListNazivFormatedOIB>
  <DomainObject.Predmet.OstaliListFormated>
    <izvorni_sadrzaj>
      <item>IVICA LOVRIĆ</item>
      <item>Davorka Huljev</item>
    </izvorni_sadrzaj>
    <derivirana_varijabla naziv="DomainObject.Predmet.OstaliListFormated_1">
      <item>IVICA LOVRIĆ</item>
      <item>Davorka Huljev</item>
    </derivirana_varijabla>
  </DomainObject.Predmet.OstaliListFormated>
  <DomainObject.Predmet.OstaliListFormatedOIB>
    <izvorni_sadrzaj>
      <item>IVICA LOVRIĆ, OIB 64144862315</item>
      <item>Davorka Huljev, OIB 34743014377</item>
    </izvorni_sadrzaj>
    <derivirana_varijabla naziv="DomainObject.Predmet.OstaliListFormatedOIB_1">
      <item>IVICA LOVRIĆ, OIB 64144862315</item>
      <item>Davorka Huljev, OIB 34743014377</item>
    </derivirana_varijabla>
  </DomainObject.Predmet.OstaliListFormatedOIB>
  <DomainObject.Predmet.OstaliListFormatedWithAdress>
    <izvorni_sadrzaj>
      <item>IVICA LOVRIĆ, Barutanski breg 35, 10000 Zagreb</item>
      <item>Davorka Huljev, Miramarska 13d, 10000 Zagreb</item>
    </izvorni_sadrzaj>
    <derivirana_varijabla naziv="DomainObject.Predmet.OstaliListFormatedWithAdress_1">
      <item>IVICA LOVRIĆ, Barutanski breg 35, 10000 Zagreb</item>
      <item>Davorka Huljev, Miramarska 13d, 10000 Zagreb</item>
    </derivirana_varijabla>
  </DomainObject.Predmet.OstaliListFormatedWithAdress>
  <DomainObject.Predmet.OstaliListFormatedWithAdressOIB>
    <izvorni_sadrzaj>
      <item>IVICA LOVRIĆ, OIB 64144862315, Barutanski breg 35, 10000 Zagreb</item>
      <item>Davorka Huljev, OIB 34743014377, Miramarska 13d, 10000 Zagreb</item>
    </izvorni_sadrzaj>
    <derivirana_varijabla naziv="DomainObject.Predmet.OstaliListFormatedWithAdressOIB_1">
      <item>IVICA LOVRIĆ, OIB 64144862315, Barutanski breg 35, 10000 Zagreb</item>
      <item>Davorka Huljev, OIB 34743014377, Miramarska 13d, 10000 Zagreb</item>
    </derivirana_varijabla>
  </DomainObject.Predmet.OstaliListFormatedWithAdressOIB>
  <DomainObject.Predmet.OstaliListNazivFormated>
    <izvorni_sadrzaj>
      <item>IVICA LOVRIĆ</item>
      <item>Davorka Huljev</item>
    </izvorni_sadrzaj>
    <derivirana_varijabla naziv="DomainObject.Predmet.OstaliListNazivFormated_1">
      <item>IVICA LOVRIĆ</item>
      <item>Davorka Huljev</item>
    </derivirana_varijabla>
  </DomainObject.Predmet.OstaliListNazivFormated>
  <DomainObject.Predmet.OstaliListNazivFormatedOIB>
    <izvorni_sadrzaj>
      <item>IVICA LOVRIĆ, OIB 64144862315</item>
      <item>Davorka Huljev, OIB 34743014377</item>
    </izvorni_sadrzaj>
    <derivirana_varijabla naziv="DomainObject.Predmet.OstaliListNazivFormatedOIB_1">
      <item>IVICA LOVRIĆ, OIB 64144862315</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St-1105/2014-25</izvorni_sadrzaj>
    <derivirana_varijabla naziv="DomainObject.PoslovniBrojDokumenta_1">St-1105/2014-25</derivirana_varijabla>
  </DomainObject.PoslovniBrojDokumenta>
  <DomainObject.Predmet.StrankaIDrugi>
    <izvorni_sadrzaj>Kristijan Prevolšek</izvorni_sadrzaj>
    <derivirana_varijabla naziv="DomainObject.Predmet.StrankaIDrugi_1">Kristijan Prevolšek</derivirana_varijabla>
  </DomainObject.Predmet.StrankaIDrugi>
  <DomainObject.Predmet.ProtustrankaIDrugi>
    <izvorni_sadrzaj>REGATA, d.o.o. za marketing, trgovinu i usluge</izvorni_sadrzaj>
    <derivirana_varijabla naziv="DomainObject.Predmet.ProtustrankaIDrugi_1">REGATA, d.o.o. za marketing, trgovinu i usluge</derivirana_varijabla>
  </DomainObject.Predmet.ProtustrankaIDrugi>
  <DomainObject.Predmet.StrankaIDrugiAdressOIB>
    <izvorni_sadrzaj>Kristijan Prevolšek, OIB 26549446959, Vjenceslava Novaka 11, 51000 Rijeka</izvorni_sadrzaj>
    <derivirana_varijabla naziv="DomainObject.Predmet.StrankaIDrugiAdressOIB_1">Kristijan Prevolšek, OIB 26549446959, Vjenceslava Novaka 11, 51000 Rijeka</derivirana_varijabla>
  </DomainObject.Predmet.StrankaIDrugiAdressOIB>
  <DomainObject.Predmet.ProtustrankaIDrugiAdressOIB>
    <izvorni_sadrzaj>REGATA, d.o.o. za marketing, trgovinu i usluge, OIB 79629726461, Barutanski breg 35, 10000 Zagreb</izvorni_sadrzaj>
    <derivirana_varijabla naziv="DomainObject.Predmet.ProtustrankaIDrugiAdressOIB_1">REGATA, d.o.o. za marketing, trgovinu i usluge, OIB 79629726461, Barutanski breg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Kristijan Prevolšek</item>
      <item>REGATA, d.o.o. za marketing, trgovinu i usluge</item>
      <item>IVICA LOVRIĆ</item>
      <item>Davorka Huljev</item>
    </izvorni_sadrzaj>
    <derivirana_varijabla naziv="DomainObject.Predmet.SudioniciListNaziv_1">
      <item>Kristijan Prevolšek</item>
      <item>REGATA, d.o.o. za marketing, trgovinu i usluge</item>
      <item>IVICA LOVRIĆ</item>
      <item>Davorka Huljev</item>
    </derivirana_varijabla>
  </DomainObject.Predmet.SudioniciListNaziv>
  <DomainObject.Predmet.SudioniciListAdressOIB>
    <izvorni_sadrzaj>
      <item>Kristijan Prevolšek, OIB 26549446959, Vjenceslava Novaka 11,51000 Rijeka</item>
      <item>REGATA, d.o.o. za marketing, trgovinu i usluge, OIB 79629726461, Barutanski breg 35,10000 Zagreb</item>
      <item>IVICA LOVRIĆ, OIB 64144862315, Barutanski breg 35,10000 Zagreb</item>
      <item>Davorka Huljev, OIB 34743014377, Miramarska 13d,10000 Zagreb</item>
    </izvorni_sadrzaj>
    <derivirana_varijabla naziv="DomainObject.Predmet.SudioniciListAdressOIB_1">
      <item>Kristijan Prevolšek, OIB 26549446959, Vjenceslava Novaka 11,51000 Rijeka</item>
      <item>REGATA, d.o.o. za marketing, trgovinu i usluge, OIB 79629726461, Barutanski breg 35,10000 Zagreb</item>
      <item>IVICA LOVRIĆ, OIB 64144862315, Barutanski breg 35,10000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26549446959</item>
      <item>, OIB 79629726461</item>
      <item>, OIB 64144862315</item>
      <item>, OIB 34743014377</item>
    </izvorni_sadrzaj>
    <derivirana_varijabla naziv="DomainObject.Predmet.SudioniciListNazivOIB_1">
      <item>, OIB 26549446959</item>
      <item>, OIB 79629726461</item>
      <item>, OIB 64144862315</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15</properties:Pages>
  <properties:Words>4850</properties:Words>
  <properties:Characters>28222</properties:Characters>
  <properties:Lines>1081</properties:Lines>
  <properties:Paragraphs>435</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2017-11-15T08:06:00Z</dcterms:created>
  <dc:creator>nmarkovic</dc:creator>
  <cp:lastModifiedBy>Ivana Stampf</cp:lastModifiedBy>
  <cp:lastPrinted>2017-09-04T10:55:00Z</cp:lastPrinted>
  <dcterms:modified xmlns:xsi="http://www.w3.org/2001/XMLSchema-instance" xsi:type="dcterms:W3CDTF">2017-11-15T09:33:00Z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St-1105/2014-25 / Zapisnik - Ispitno ročište</vt:lpwstr>
  </prop:property>
  <prop:property name="CC_coloring" pid="4" fmtid="{D5CDD505-2E9C-101B-9397-08002B2CF9AE}">
    <vt:bool>false</vt:bool>
  </prop:property>
  <prop:property name="BrojStranica" pid="5" fmtid="{D5CDD505-2E9C-101B-9397-08002B2CF9AE}">
    <vt:i4>15</vt:i4>
  </prop:property>
</prop:Properties>
</file>