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C3D04" w:rsidRPr="002C3D04">
        <w:trPr>
          <w:trHeight w:val="2231"/>
        </w:trPr>
        <w:tc>
          <w:tcPr>
            <w:tcW w:type="dxa" w:w="3369"/>
            <w:vAlign w:val="center"/>
          </w:tcPr>
          <w:p w:rsidRDefault="002C3D04" w:rsidP="00A66C00" w:rsidR="002C3D04" w:rsidRPr="002C3D04">
            <w:pPr>
              <w:spacing w:before="100"/>
              <w:jc w:val="center"/>
              <w:rPr>
                <w:lang w:val="hr-HR"/>
              </w:rPr>
            </w:pPr>
            <w:bookmarkStart w:name="_GoBack" w:id="0"/>
            <w:bookmarkEnd w:id="0"/>
            <w:r w:rsidRPr="002C3D04">
              <w:rPr>
                <w:noProof/>
                <w:lang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C3D04" w:rsidP="00A66C00" w:rsidR="002C3D04" w:rsidRPr="002C3D04">
            <w:pPr>
              <w:spacing w:before="100"/>
              <w:rPr>
                <w:sz w:val="24"/>
                <w:lang w:val="hr-HR"/>
              </w:rPr>
            </w:pPr>
            <w:r w:rsidRPr="002C3D04">
              <w:rPr>
                <w:sz w:val="24"/>
                <w:lang w:val="hr-HR"/>
              </w:rPr>
              <w:t>REPUBLIKA HRVATSKA</w:t>
            </w:r>
          </w:p>
          <w:p w:rsidRDefault="002C3D04" w:rsidP="00A66C00" w:rsidR="002C3D04" w:rsidRPr="002C3D04">
            <w:pPr>
              <w:rPr>
                <w:sz w:val="24"/>
                <w:lang w:val="hr-HR"/>
              </w:rPr>
            </w:pPr>
            <w:r w:rsidRPr="002C3D04">
              <w:rPr>
                <w:sz w:val="24"/>
                <w:lang w:val="hr-HR"/>
              </w:rPr>
              <w:t>TRGOVAČKI SUD U SPLITU</w:t>
            </w:r>
          </w:p>
          <w:p w:rsidRDefault="002C3D04" w:rsidP="00DA5B9D" w:rsidR="002C3D04" w:rsidRPr="002C3D04">
            <w:pPr>
              <w:rPr>
                <w:lang w:val="hr-HR"/>
              </w:rPr>
            </w:pPr>
            <w:r w:rsidRPr="002C3D04">
              <w:rPr>
                <w:sz w:val="24"/>
                <w:lang w:val="hr-HR"/>
              </w:rPr>
              <w:t>Split, Sukoišanska 6</w:t>
            </w:r>
          </w:p>
        </w:tc>
        <w:tc>
          <w:tcPr>
            <w:tcW w:type="dxa" w:w="5811"/>
          </w:tcPr>
          <w:p w:rsidRDefault="002C3D04" w:rsidP="00DA5B9D" w:rsidR="002C3D04" w:rsidRPr="002C3D04">
            <w:pPr>
              <w:jc w:val="both"/>
              <w:rPr>
                <w:lang w:val="hr-HR"/>
              </w:rPr>
            </w:pPr>
          </w:p>
          <w:p w:rsidRDefault="002C3D04" w:rsidP="00DA5B9D" w:rsidR="002C3D04" w:rsidRPr="002C3D04">
            <w:pPr>
              <w:jc w:val="both"/>
              <w:rPr>
                <w:lang w:val="hr-HR"/>
              </w:rPr>
            </w:pPr>
          </w:p>
          <w:p w:rsidRDefault="002C3D04" w:rsidP="00DA5B9D" w:rsidR="002C3D04" w:rsidRPr="002C3D04">
            <w:pPr>
              <w:jc w:val="both"/>
              <w:rPr>
                <w:lang w:val="hr-HR"/>
              </w:rPr>
            </w:pPr>
          </w:p>
          <w:p w:rsidRDefault="002C3D04" w:rsidP="00DA5B9D" w:rsidR="002C3D04" w:rsidRPr="002C3D04">
            <w:pPr>
              <w:jc w:val="right"/>
              <w:rPr>
                <w:lang w:val="hr-HR"/>
              </w:rPr>
            </w:pPr>
          </w:p>
          <w:p w:rsidRDefault="002C3D04" w:rsidP="00DA5B9D" w:rsidR="002C3D04" w:rsidRPr="002C3D04">
            <w:pPr>
              <w:jc w:val="right"/>
              <w:rPr>
                <w:lang w:val="hr-HR"/>
              </w:rPr>
            </w:pPr>
          </w:p>
          <w:p w:rsidRDefault="002C3D04" w:rsidP="00DA5B9D" w:rsidR="002C3D04" w:rsidRPr="002C3D04">
            <w:pPr>
              <w:jc w:val="right"/>
              <w:rPr>
                <w:lang w:val="hr-HR"/>
              </w:rPr>
            </w:pPr>
          </w:p>
          <w:p w:rsidRDefault="002C3D04" w:rsidP="00DA5B9D" w:rsidR="002C3D04" w:rsidRPr="002C3D04">
            <w:pPr>
              <w:jc w:val="right"/>
              <w:rPr>
                <w:lang w:val="hr-HR"/>
              </w:rPr>
            </w:pPr>
          </w:p>
          <w:p w:rsidRDefault="002C3D04" w:rsidP="00DA5B9D" w:rsidR="002C3D04" w:rsidRPr="002C3D04">
            <w:pPr>
              <w:jc w:val="right"/>
              <w:rPr>
                <w:sz w:val="24"/>
                <w:lang w:val="hr-HR"/>
              </w:rPr>
            </w:pPr>
          </w:p>
          <w:p w:rsidRDefault="002C3D04" w:rsidP="002C3D04" w:rsidR="002C3D04" w:rsidRPr="002C3D04">
            <w:pPr>
              <w:jc w:val="right"/>
              <w:rPr>
                <w:sz w:val="24"/>
                <w:lang w:val="hr-HR"/>
              </w:rPr>
            </w:pPr>
            <w:r w:rsidRPr="002C3D04">
              <w:rPr>
                <w:sz w:val="24"/>
                <w:lang w:val="hr-HR"/>
              </w:rPr>
              <w:t>Poslovni broj: 11.St-1157/2017</w:t>
            </w:r>
          </w:p>
        </w:tc>
      </w:tr>
    </w:tbl>
    <w:p w14:textId="d8e8919" w14:paraId="d8e8919" w:rsidRDefault="005A454A" w:rsidP="005A454A" w:rsidR="005A454A" w:rsidRPr="002C3D04">
      <w:pPr>
        <w15:collapsed w:val="false"/>
        <w:rPr>
          <w:lang w:val="hr-HR"/>
        </w:rPr>
      </w:pPr>
    </w:p>
    <w:p w:rsidRDefault="005A454A" w:rsidP="005A454A" w:rsidR="005A454A" w:rsidRPr="002C3D04">
      <w:pPr>
        <w:rPr>
          <w:lang w:val="hr-HR"/>
        </w:rPr>
      </w:pPr>
    </w:p>
    <w:p w:rsidRDefault="005A454A" w:rsidP="005A454A" w:rsidR="005A454A" w:rsidRPr="002C3D04">
      <w:pPr>
        <w:pStyle w:val="Naslov1"/>
        <w:rPr>
          <w:b w:val="false"/>
        </w:rPr>
      </w:pPr>
      <w:r w:rsidRPr="002C3D04">
        <w:rPr>
          <w:b w:val="false"/>
        </w:rPr>
        <w:t>U   I M E   R E P U B L I K E   H R V A T S K E</w:t>
      </w:r>
    </w:p>
    <w:p w:rsidRDefault="005A454A" w:rsidP="005A454A" w:rsidR="005A454A" w:rsidRPr="002C3D04">
      <w:pPr>
        <w:rPr>
          <w:lang w:eastAsia="hr-HR" w:val="hr-HR"/>
        </w:rPr>
      </w:pPr>
    </w:p>
    <w:p w:rsidRDefault="005A454A" w:rsidP="005A454A" w:rsidR="005A454A" w:rsidRPr="002C3D04">
      <w:pPr>
        <w:pStyle w:val="Naslov2"/>
        <w:rPr>
          <w:bCs/>
          <w:szCs w:val="24"/>
        </w:rPr>
      </w:pPr>
      <w:r w:rsidRPr="002C3D04">
        <w:rPr>
          <w:bCs/>
          <w:szCs w:val="24"/>
        </w:rPr>
        <w:t>R J E Š E NJ E</w:t>
      </w:r>
    </w:p>
    <w:p w:rsidRDefault="005A454A" w:rsidP="005469BB" w:rsidR="005A454A" w:rsidRPr="002C3D04">
      <w:pPr>
        <w:jc w:val="both"/>
        <w:rPr>
          <w:color w:val="FF0000"/>
          <w:lang w:val="hr-HR"/>
        </w:rPr>
      </w:pPr>
    </w:p>
    <w:p w:rsidRDefault="005A454A" w:rsidP="005469BB" w:rsidR="005A454A" w:rsidRPr="002C3D04">
      <w:pPr>
        <w:pStyle w:val="Tijeloteksta"/>
        <w:rPr>
          <w:lang w:val="hr-HR"/>
        </w:rPr>
      </w:pPr>
      <w:r w:rsidRPr="002C3D04">
        <w:rPr>
          <w:lang w:val="hr-HR"/>
        </w:rPr>
        <w:tab/>
      </w:r>
      <w:r w:rsidR="00CA3B17" w:rsidRPr="00EF321D">
        <w:rPr>
          <w:rFonts w:eastAsiaTheme="minorHAnsi"/>
          <w:lang w:val="hr-HR"/>
        </w:rPr>
        <w:t xml:space="preserve">Trgovački sud u Splitu, po sutkinji Ani Golub Gruić, </w:t>
      </w:r>
      <w:r w:rsidR="002C3D04" w:rsidRPr="00EF321D">
        <w:rPr>
          <w:rFonts w:eastAsiaTheme="minorHAnsi"/>
          <w:lang w:val="hr-HR"/>
        </w:rPr>
        <w:t xml:space="preserve">u stečajnom postupku nad dužnikom MALEX SISTEM d.o.o., OIB: 68331859939, Imotski, Ulica Kralja Tomislava 13, </w:t>
      </w:r>
      <w:r w:rsidR="00EF321D" w:rsidRPr="00EF321D">
        <w:rPr>
          <w:rFonts w:eastAsiaTheme="minorHAnsi"/>
          <w:lang w:val="hr-HR"/>
        </w:rPr>
        <w:t>1</w:t>
      </w:r>
      <w:r w:rsidR="00683CDB">
        <w:rPr>
          <w:rFonts w:eastAsiaTheme="minorHAnsi"/>
          <w:lang w:val="hr-HR"/>
        </w:rPr>
        <w:t>8</w:t>
      </w:r>
      <w:r w:rsidR="00EF321D" w:rsidRPr="00EF321D">
        <w:rPr>
          <w:rFonts w:eastAsiaTheme="minorHAnsi"/>
          <w:lang w:val="hr-HR"/>
        </w:rPr>
        <w:t>. travnja</w:t>
      </w:r>
      <w:r w:rsidR="002C3D04" w:rsidRPr="00EF321D">
        <w:rPr>
          <w:rFonts w:eastAsiaTheme="minorHAnsi"/>
          <w:lang w:val="hr-HR"/>
        </w:rPr>
        <w:t xml:space="preserve"> 2018.</w:t>
      </w:r>
    </w:p>
    <w:p w:rsidRDefault="005A454A" w:rsidP="0064053A" w:rsidR="005A454A" w:rsidRPr="002C3D04">
      <w:pPr>
        <w:pStyle w:val="Tijeloteksta"/>
        <w:spacing w:after="240" w:before="180"/>
        <w:jc w:val="center"/>
        <w:rPr>
          <w:lang w:val="hr-HR"/>
        </w:rPr>
      </w:pPr>
      <w:r w:rsidRPr="002C3D04">
        <w:rPr>
          <w:lang w:val="hr-HR"/>
        </w:rPr>
        <w:t xml:space="preserve">r i j e </w:t>
      </w:r>
      <w:r w:rsidR="003C588B" w:rsidRPr="002C3D04">
        <w:rPr>
          <w:lang w:val="hr-HR"/>
        </w:rPr>
        <w:t>š</w:t>
      </w:r>
      <w:r w:rsidRPr="002C3D04">
        <w:rPr>
          <w:lang w:val="hr-HR"/>
        </w:rPr>
        <w:t xml:space="preserve"> i o  j e</w:t>
      </w:r>
    </w:p>
    <w:p w:rsidRDefault="00CA3B17" w:rsidP="002C3D04" w:rsidR="002C3D04" w:rsidRPr="00C4535D">
      <w:pPr>
        <w:pStyle w:val="Tijeloteksta"/>
        <w:rPr>
          <w:lang w:val="hr-HR"/>
        </w:rPr>
      </w:pPr>
      <w:r w:rsidRPr="002C3D04">
        <w:rPr>
          <w:lang w:val="hr-HR"/>
        </w:rPr>
        <w:tab/>
        <w:t>Odb</w:t>
      </w:r>
      <w:r w:rsidR="007E3E7F">
        <w:rPr>
          <w:lang w:val="hr-HR"/>
        </w:rPr>
        <w:t>ija</w:t>
      </w:r>
      <w:r w:rsidR="00197F80" w:rsidRPr="002C3D04">
        <w:rPr>
          <w:lang w:val="hr-HR"/>
        </w:rPr>
        <w:t xml:space="preserve"> se </w:t>
      </w:r>
      <w:r w:rsidRPr="002C3D04">
        <w:rPr>
          <w:lang w:val="hr-HR"/>
        </w:rPr>
        <w:t xml:space="preserve">prijedlog </w:t>
      </w:r>
      <w:r w:rsidR="002C3D04">
        <w:rPr>
          <w:lang w:val="hr-HR"/>
        </w:rPr>
        <w:t>stečajnog upravitelja</w:t>
      </w:r>
      <w:r w:rsidR="007E3E7F">
        <w:rPr>
          <w:lang w:val="hr-HR"/>
        </w:rPr>
        <w:t xml:space="preserve"> </w:t>
      </w:r>
      <w:r w:rsidR="002C3D04">
        <w:rPr>
          <w:lang w:val="hr-HR"/>
        </w:rPr>
        <w:t xml:space="preserve">za </w:t>
      </w:r>
      <w:r w:rsidR="00734C80">
        <w:rPr>
          <w:lang w:val="hr-HR"/>
        </w:rPr>
        <w:t>određivanje nastavka</w:t>
      </w:r>
      <w:r w:rsidR="002C3D04">
        <w:rPr>
          <w:lang w:val="hr-HR"/>
        </w:rPr>
        <w:t xml:space="preserve"> postupka</w:t>
      </w:r>
      <w:r w:rsidR="00734C80">
        <w:rPr>
          <w:lang w:val="hr-HR"/>
        </w:rPr>
        <w:t xml:space="preserve"> radi naknadne diobe.</w:t>
      </w:r>
    </w:p>
    <w:p w:rsidRDefault="002C3D04" w:rsidP="0064053A" w:rsidR="002C3D04">
      <w:pPr>
        <w:pStyle w:val="Tijeloteksta"/>
        <w:spacing w:after="100" w:before="160"/>
        <w:jc w:val="center"/>
        <w:rPr>
          <w:lang w:val="hr-HR"/>
        </w:rPr>
      </w:pPr>
      <w:r w:rsidRPr="00C4535D">
        <w:rPr>
          <w:lang w:val="hr-HR"/>
        </w:rPr>
        <w:t>Obrazloženje</w:t>
      </w:r>
    </w:p>
    <w:p w:rsidRDefault="002C3D04" w:rsidP="002C3D04" w:rsidR="002C3D04" w:rsidRPr="00753F18">
      <w:pPr>
        <w:pStyle w:val="Tijeloteksta"/>
        <w:spacing w:before="200"/>
        <w:rPr>
          <w:szCs w:val="24"/>
          <w:lang w:val="hr-HR"/>
        </w:rPr>
      </w:pPr>
      <w:r w:rsidRPr="00C4535D">
        <w:rPr>
          <w:lang w:val="hr-HR"/>
        </w:rPr>
        <w:tab/>
      </w:r>
      <w:r w:rsidRPr="00753F18">
        <w:rPr>
          <w:szCs w:val="24"/>
          <w:lang w:val="hr-HR"/>
        </w:rPr>
        <w:t>Rješenjem ovog suda 11.St-1303/2015od 3. svibnja 2016. otvoren je skraćeni stečajni postupak nad dužnikom Malex sistem d.o.o. Imotski (točka I. izreke), stečajnim upraviteljem imenovan je Mateo Erceg (točka II. izreke), zaključen je skraćeni stečajni postupak nad dužnikom Malex sistem d.o.o. Imotski (točka III. izreke) i odlučeno je da će se nakon pravomoćnosti tog rješenja dužnik brisati iz sudskog registra (točka IV. izreke).</w:t>
      </w:r>
    </w:p>
    <w:p w:rsidRDefault="002C3D04" w:rsidP="002C3D04" w:rsidR="002C3D04" w:rsidRPr="00753F18">
      <w:pPr>
        <w:pStyle w:val="Tijeloteksta"/>
        <w:spacing w:before="200"/>
        <w:rPr>
          <w:szCs w:val="24"/>
          <w:lang w:val="hr-HR"/>
        </w:rPr>
      </w:pPr>
      <w:r w:rsidRPr="00753F18">
        <w:rPr>
          <w:szCs w:val="24"/>
          <w:lang w:val="hr-HR"/>
        </w:rPr>
        <w:tab/>
        <w:t>Dana 26. kolovoza 2016. kod ovog suda zaprimljen je dopis kojeg je Županijsko državno odvjetništvo u Splitu istoga dana uputilo stečajnom upravitelju. Tim dopisom stečajni upravitelj je izviješten da je Ministarstvo financija - Porezna uprava - Područni ured Dalmacija uvidom u raspoloživu dokumentaciju i podatke utvrdilo da je dužnik vlasnik imovine veće vrijednosti od one koja bi bila dostatna za plaćanje troškova stečajnog postupka, odnosno da posjeduje imovinu čiji su troškovi unovčenja manji od njezine tržišne vrijednosti, slijedom čega je predloženo da stečajni upravitelj provjeri navedene podatke te poduzme potrebne radnje radi unovčenja stečajne mase u smislu odredbe čl. 133., a u vezi sa čl. 298. Stečajnog zakona.</w:t>
      </w:r>
    </w:p>
    <w:p w:rsidRDefault="002C3D04" w:rsidP="002C3D04" w:rsidR="002C3D04" w:rsidRPr="00753F18">
      <w:pPr>
        <w:pStyle w:val="Tijeloteksta"/>
        <w:spacing w:before="200"/>
        <w:ind w:firstLine="708"/>
        <w:rPr>
          <w:szCs w:val="24"/>
          <w:lang w:val="hr-HR"/>
        </w:rPr>
      </w:pPr>
      <w:r w:rsidRPr="00753F18">
        <w:rPr>
          <w:szCs w:val="24"/>
          <w:lang w:val="hr-HR"/>
        </w:rPr>
        <w:t>Dana 31. kolovoza 2017.kod ovog suda zaprimljen je novi dopis kojeg je Županijsko državno odvjetništvo u Splitu istoga dana uputilo stečajnom upravitelju. Tim dopisom stečajni upravitelj je ponovno pozvan da dostavi izvješće o stanju stečajne mase i poduzetim radnjama po dopisima od 26. kolovoza 2016. i 3. veljače 2017. uz napomenu da je stečajni dužnik 2003. kupio zemljište označeno kao 795/1 K.O. Imotski – Glavina od otuđivatelja Vlatka Vučemilovića koji je još upisan u zemljišnoj knjizi kao vlasnik predmetne čestice.</w:t>
      </w:r>
    </w:p>
    <w:p w:rsidRDefault="002C3D04" w:rsidP="002C3D04" w:rsidR="002C3D04" w:rsidRPr="00753F18">
      <w:pPr>
        <w:pStyle w:val="Tijeloteksta"/>
        <w:spacing w:before="200"/>
        <w:ind w:firstLine="708"/>
        <w:rPr>
          <w:szCs w:val="24"/>
          <w:lang w:val="hr-HR"/>
        </w:rPr>
      </w:pPr>
      <w:r w:rsidRPr="00753F18">
        <w:rPr>
          <w:szCs w:val="24"/>
          <w:lang w:val="hr-HR"/>
        </w:rPr>
        <w:t xml:space="preserve">Umjesto da u sklopu svoje dužnosti iz članka 89. SZ-a postupi po pozivu ŽDO-a i ispita sve podatke koji upućuju na postojanje imovine dužnika i utvrdi njenu vrijednost (te da u slučaju naknadnog utvrđenja dužnikove imovine o istom dokumentirano izvijesti ovaj sud podnošenjem prijedloga za donošenje rješenja radi naknadne diobe stečajne mase dužnika)  </w:t>
      </w:r>
      <w:r w:rsidRPr="00753F18">
        <w:rPr>
          <w:szCs w:val="24"/>
          <w:lang w:val="hr-HR"/>
        </w:rPr>
        <w:lastRenderedPageBreak/>
        <w:t>stečajni upravitelj 21. rujna 2017. dostavlja ovom sudu podnesak nazvan ˝Prijedlog za nastavak postupka i naknadu diobu˝ u kojem tek navodi ˝da je 4. rujna 2017. primio dopis ŽDO-a u Splitu od 30. kolovoza 2017., a kojim ga se izvještava kako je stečajni dužnik 2003. od Vlatka Vučemilovića kupio poseban dio nekretnine označene kao ZK č. br. 795/1 zgr. K.O. Imotski – Glavina, a koju do danas nije prenio u svoje vlasništvo u zemljišnim knjigama. Slijedom navedenog, predložio je sudu da u smislu odredbe čl. 289. SZ-a donese rješenje kojim se određuje nastavak postupka radi naknade diobe, posebno ističući da nije na listi stečajnih upravitelja za područje Trgovačkog suda u Splitu i predlažući da sud imenuje novog stečajnog upravitelja u konkretnom predmetu.</w:t>
      </w:r>
    </w:p>
    <w:p w:rsidRDefault="002C3D04" w:rsidP="002C3D04" w:rsidR="002C3D04" w:rsidRPr="00753F18">
      <w:pPr>
        <w:pStyle w:val="Tijeloteksta"/>
        <w:spacing w:before="200"/>
        <w:rPr>
          <w:szCs w:val="24"/>
          <w:lang w:val="hr-HR"/>
        </w:rPr>
      </w:pPr>
      <w:r w:rsidRPr="00753F18">
        <w:rPr>
          <w:szCs w:val="24"/>
          <w:lang w:val="hr-HR"/>
        </w:rPr>
        <w:tab/>
        <w:t xml:space="preserve">Zaključkom od 26. rujna 2017. ovaj sud naložio je stečajnom upravitelju dostaviti Ugovor o kupoprodaji kat. čest. 795/1 K.O. Imotski – Glavina sklopljen između stečajnog dužnika i Vlatka Vučemilovića. </w:t>
      </w:r>
    </w:p>
    <w:p w:rsidRDefault="002C3D04" w:rsidP="0094251E" w:rsidR="00734C80" w:rsidRPr="00753F18">
      <w:pPr>
        <w:pStyle w:val="Tijeloteksta"/>
        <w:spacing w:beforeLines="60" w:before="144"/>
        <w:ind w:firstLine="708"/>
        <w:rPr>
          <w:szCs w:val="24"/>
          <w:lang w:val="hr-HR"/>
        </w:rPr>
      </w:pPr>
      <w:r w:rsidRPr="00753F18">
        <w:rPr>
          <w:szCs w:val="24"/>
          <w:lang w:val="hr-HR"/>
        </w:rPr>
        <w:t>Podneskom od 4. listopada 2017. stečajni upravitelj izvijestio je sud da je o postojanju predmetnog Ugovora obaviješten od strane Porezne uprave te da naknadnim kontaktom sa prijašnjim vlasnicima taj Ugovor nije uspio pribaviti, a time ni udovoljiti nalogu suda.</w:t>
      </w:r>
    </w:p>
    <w:p w:rsidRDefault="002C3D04" w:rsidP="0094251E" w:rsidR="00734C80" w:rsidRPr="00753F18">
      <w:pPr>
        <w:pStyle w:val="Tijeloteksta"/>
        <w:spacing w:beforeLines="60" w:before="144"/>
        <w:ind w:firstLine="709"/>
        <w:rPr>
          <w:szCs w:val="24"/>
          <w:lang w:val="hr-HR"/>
        </w:rPr>
      </w:pPr>
      <w:r w:rsidRPr="00753F18">
        <w:rPr>
          <w:szCs w:val="24"/>
          <w:lang w:val="hr-HR"/>
        </w:rPr>
        <w:t>Na traženje ovoga suda Ministarstvo financija-Porezna uprava - Područni ured Split, Ispostava Imotski dostavilo je ovom sudu 7. studenog 2017.:</w:t>
      </w:r>
    </w:p>
    <w:p w:rsidRDefault="002C3D04" w:rsidP="0064053A" w:rsidR="002C3D04" w:rsidRPr="00753F18">
      <w:pPr>
        <w:pStyle w:val="Tijeloteksta"/>
        <w:spacing w:before="100"/>
        <w:ind w:firstLine="709"/>
        <w:rPr>
          <w:szCs w:val="24"/>
          <w:lang w:val="hr-HR"/>
        </w:rPr>
      </w:pPr>
      <w:r w:rsidRPr="00753F18">
        <w:rPr>
          <w:szCs w:val="24"/>
          <w:lang w:val="hr-HR"/>
        </w:rPr>
        <w:t>a) Predugovor o kupoprodaji nekretnine od 10. studenog 2003. sklopljen između Vlatka Vučemilovića (kao prodavatelja) i Malex A. M. d.o.o.(kao kupca) iz kojeg u bitnom proizlazi da:</w:t>
      </w:r>
    </w:p>
    <w:p w:rsidRDefault="007E3E7F" w:rsidP="0064053A" w:rsidR="002C3D04" w:rsidRPr="00753F18">
      <w:pPr>
        <w:pStyle w:val="Tijeloteksta"/>
        <w:ind w:firstLine="709"/>
        <w:rPr>
          <w:szCs w:val="24"/>
          <w:lang w:val="hr-HR"/>
        </w:rPr>
      </w:pPr>
      <w:r>
        <w:rPr>
          <w:szCs w:val="24"/>
          <w:lang w:val="hr-HR"/>
        </w:rPr>
        <w:t xml:space="preserve">- </w:t>
      </w:r>
      <w:r w:rsidR="002C3D04" w:rsidRPr="00753F18">
        <w:rPr>
          <w:szCs w:val="24"/>
          <w:lang w:val="hr-HR"/>
        </w:rPr>
        <w:t>prodavatelj prodaje, a kupac kupuje, u viđenom stanju poslovni prostor u prizemlju zgrade u vlasništvu prodavatelja, koji se nalazi u Imotskom, Šetalište Stjepana Radića br. 13, površine 56 m</w:t>
      </w:r>
      <w:r w:rsidR="002C3D04" w:rsidRPr="00753F18">
        <w:rPr>
          <w:szCs w:val="24"/>
          <w:vertAlign w:val="superscript"/>
          <w:lang w:val="hr-HR"/>
        </w:rPr>
        <w:t>2</w:t>
      </w:r>
      <w:r w:rsidR="002C3D04" w:rsidRPr="00753F18">
        <w:rPr>
          <w:szCs w:val="24"/>
          <w:lang w:val="hr-HR"/>
        </w:rPr>
        <w:t xml:space="preserve"> i pomoćne prostorije od 46 m</w:t>
      </w:r>
      <w:r w:rsidR="002C3D04" w:rsidRPr="00753F18">
        <w:rPr>
          <w:szCs w:val="24"/>
          <w:vertAlign w:val="superscript"/>
          <w:lang w:val="hr-HR"/>
        </w:rPr>
        <w:t>2</w:t>
      </w:r>
      <w:r w:rsidR="002C3D04" w:rsidRPr="00753F18">
        <w:rPr>
          <w:szCs w:val="24"/>
          <w:lang w:val="hr-HR"/>
        </w:rPr>
        <w:t>, neuređene, ukupno 102 m</w:t>
      </w:r>
      <w:r w:rsidR="002C3D04" w:rsidRPr="00753F18">
        <w:rPr>
          <w:szCs w:val="24"/>
          <w:vertAlign w:val="superscript"/>
          <w:lang w:val="hr-HR"/>
        </w:rPr>
        <w:t>2</w:t>
      </w:r>
      <w:r w:rsidR="002C3D04" w:rsidRPr="00753F18">
        <w:rPr>
          <w:szCs w:val="24"/>
          <w:lang w:val="hr-HR"/>
        </w:rPr>
        <w:t>, te čemer od 57 m</w:t>
      </w:r>
      <w:r w:rsidR="002C3D04" w:rsidRPr="00753F18">
        <w:rPr>
          <w:szCs w:val="24"/>
          <w:vertAlign w:val="superscript"/>
          <w:lang w:val="hr-HR"/>
        </w:rPr>
        <w:t xml:space="preserve">2 </w:t>
      </w:r>
      <w:r w:rsidR="002C3D04" w:rsidRPr="00753F18">
        <w:rPr>
          <w:szCs w:val="24"/>
          <w:lang w:val="hr-HR"/>
        </w:rPr>
        <w:t>koji se nalazi na k. č. 795/1, upisan u Z.K. ul. 286 i k. č. 3125/2, upisane u Z.K. ul. 1030, oba u K.O. Imotski – Glavina (čl. 1.) za ukupnu kupoprodajnu cijenu od 95.000,00 EUR-a (čl. 2./1.)</w:t>
      </w:r>
    </w:p>
    <w:p w:rsidRDefault="007E3E7F" w:rsidP="0064053A" w:rsidR="002C3D04" w:rsidRPr="00753F18">
      <w:pPr>
        <w:pStyle w:val="Tijeloteksta"/>
        <w:ind w:firstLine="709"/>
        <w:rPr>
          <w:szCs w:val="24"/>
          <w:lang w:val="hr-HR"/>
        </w:rPr>
      </w:pPr>
      <w:r>
        <w:rPr>
          <w:szCs w:val="24"/>
          <w:lang w:val="hr-HR"/>
        </w:rPr>
        <w:t xml:space="preserve">- </w:t>
      </w:r>
      <w:r w:rsidR="002C3D04" w:rsidRPr="00753F18">
        <w:rPr>
          <w:szCs w:val="24"/>
          <w:lang w:val="hr-HR"/>
        </w:rPr>
        <w:t>da je u trenutku zaključenja predugovora kupac isplatio prodavatelju iznos od 10.000,00 EUR-a u kunskoj protuvrijednosti, a na ime kapare kao odustatnine te da se cjelokupni ostatak kupoprodajne cijene u iznosu od 85.000,00 EUR-a u kunskoj protuvrijednosti kupac obvezuje isplatiti u gotovini i to najkasnije do 10. siječnja 2004. (čl. 2.)</w:t>
      </w:r>
    </w:p>
    <w:p w:rsidRDefault="007E3E7F" w:rsidP="0064053A" w:rsidR="002C3D04" w:rsidRPr="00753F18">
      <w:pPr>
        <w:pStyle w:val="Tijeloteksta"/>
        <w:ind w:firstLine="709"/>
        <w:rPr>
          <w:szCs w:val="24"/>
          <w:lang w:val="hr-HR"/>
        </w:rPr>
      </w:pPr>
      <w:r>
        <w:rPr>
          <w:szCs w:val="24"/>
          <w:lang w:val="hr-HR"/>
        </w:rPr>
        <w:t xml:space="preserve">- </w:t>
      </w:r>
      <w:r w:rsidR="002C3D04" w:rsidRPr="00753F18">
        <w:rPr>
          <w:szCs w:val="24"/>
          <w:lang w:val="hr-HR"/>
        </w:rPr>
        <w:t>da se ugovorne strane obvezuju zaključiti glavni kupoprodajni ugovor sa danom većinske isplate, odnosno najkasnije na dan 10. siječnja 2004. (čl. 3. )</w:t>
      </w:r>
    </w:p>
    <w:p w:rsidRDefault="007E3E7F" w:rsidP="0064053A" w:rsidR="00734C80" w:rsidRPr="00753F18">
      <w:pPr>
        <w:pStyle w:val="Tijeloteksta"/>
        <w:ind w:firstLine="709"/>
        <w:rPr>
          <w:szCs w:val="24"/>
          <w:lang w:val="hr-HR"/>
        </w:rPr>
      </w:pPr>
      <w:r>
        <w:rPr>
          <w:szCs w:val="24"/>
          <w:lang w:val="hr-HR"/>
        </w:rPr>
        <w:t xml:space="preserve">- </w:t>
      </w:r>
      <w:r w:rsidR="002C3D04" w:rsidRPr="00753F18">
        <w:rPr>
          <w:szCs w:val="24"/>
          <w:lang w:val="hr-HR"/>
        </w:rPr>
        <w:t>da će prodavatelj glavnim ugovorom izdati kupcu tabularnu ispravu kojom će ga ovlastiti na prijenos prava vlasništva (čl. 5.)</w:t>
      </w:r>
    </w:p>
    <w:p w:rsidRDefault="002C3D04" w:rsidP="0064053A" w:rsidR="002C3D04" w:rsidRPr="00753F18">
      <w:pPr>
        <w:pStyle w:val="Tijeloteksta"/>
        <w:spacing w:before="100"/>
        <w:ind w:firstLine="709"/>
        <w:rPr>
          <w:szCs w:val="24"/>
          <w:lang w:val="hr-HR"/>
        </w:rPr>
      </w:pPr>
      <w:r w:rsidRPr="00753F18">
        <w:rPr>
          <w:szCs w:val="24"/>
          <w:lang w:val="hr-HR"/>
        </w:rPr>
        <w:t>b) Anex predugovora o kupoprodaji nekretnine od 7. siječnja 2004. sklopljen između Vlatka Vučemilovića, Edmundova (kao prodavatelja) i Malex A. M. d.o.o.(kao kupca) iz kojeg u bitnom proizlazi da je produljen rok za isplatu preostalog iznosa kupoprodajne cijene do 10. veljače 2004. (čl. 2. Anexa)</w:t>
      </w:r>
    </w:p>
    <w:p w:rsidRDefault="002C3D04" w:rsidP="0064053A" w:rsidR="002C3D04" w:rsidRPr="00753F18">
      <w:pPr>
        <w:pStyle w:val="Tijeloteksta"/>
        <w:spacing w:before="100"/>
        <w:ind w:firstLine="709"/>
        <w:rPr>
          <w:szCs w:val="24"/>
          <w:lang w:val="hr-HR"/>
        </w:rPr>
      </w:pPr>
      <w:r w:rsidRPr="00753F18">
        <w:rPr>
          <w:szCs w:val="24"/>
          <w:lang w:val="hr-HR"/>
        </w:rPr>
        <w:t>c) Kupoprodajni ugovor (bez nadnevka)</w:t>
      </w:r>
      <w:r w:rsidR="00647F55">
        <w:rPr>
          <w:szCs w:val="24"/>
          <w:lang w:val="hr-HR"/>
        </w:rPr>
        <w:t xml:space="preserve"> </w:t>
      </w:r>
      <w:r w:rsidRPr="00753F18">
        <w:rPr>
          <w:szCs w:val="24"/>
          <w:lang w:val="hr-HR"/>
        </w:rPr>
        <w:t>sklopljen između Vlatka Vučemilovića pok. Edmonda (kao prodavatelja) i Matije Malenice (kao kupca), ovjerenog u potpisu Vlatka Vučemilovića pred javnim bilježnikom iz Rijeke Veliborem Panjkovićem pod br. Ov-26732/04 od 23. prosinca 2004. iz kojeg u bitnom proizlazi da:</w:t>
      </w:r>
    </w:p>
    <w:p w:rsidRDefault="007E3E7F" w:rsidP="00734C80" w:rsidR="002C3D04" w:rsidRPr="00753F18">
      <w:pPr>
        <w:pStyle w:val="Tijeloteksta"/>
        <w:ind w:firstLine="708"/>
        <w:rPr>
          <w:szCs w:val="24"/>
          <w:lang w:val="hr-HR"/>
        </w:rPr>
      </w:pPr>
      <w:r>
        <w:rPr>
          <w:szCs w:val="24"/>
          <w:lang w:val="hr-HR"/>
        </w:rPr>
        <w:t xml:space="preserve">- </w:t>
      </w:r>
      <w:r w:rsidR="002C3D04" w:rsidRPr="00753F18">
        <w:rPr>
          <w:szCs w:val="24"/>
          <w:lang w:val="hr-HR"/>
        </w:rPr>
        <w:t>prodavatelj prodaje, a kupac kupuje poslovni prostor u prizemlju i podrumu koji se sastoji od polivalentnog prostora površine 56,20 m</w:t>
      </w:r>
      <w:r w:rsidR="002C3D04" w:rsidRPr="00753F18">
        <w:rPr>
          <w:szCs w:val="24"/>
          <w:vertAlign w:val="superscript"/>
          <w:lang w:val="hr-HR"/>
        </w:rPr>
        <w:t>2</w:t>
      </w:r>
      <w:r w:rsidR="002C3D04" w:rsidRPr="00753F18">
        <w:rPr>
          <w:szCs w:val="24"/>
          <w:lang w:val="hr-HR"/>
        </w:rPr>
        <w:t>, spremišta površine 21,40 m</w:t>
      </w:r>
      <w:r w:rsidR="002C3D04" w:rsidRPr="00753F18">
        <w:rPr>
          <w:szCs w:val="24"/>
          <w:vertAlign w:val="superscript"/>
          <w:lang w:val="hr-HR"/>
        </w:rPr>
        <w:t>2</w:t>
      </w:r>
      <w:r w:rsidR="002C3D04" w:rsidRPr="00753F18">
        <w:rPr>
          <w:szCs w:val="24"/>
          <w:lang w:val="hr-HR"/>
        </w:rPr>
        <w:t>, drvarnice površine 17,83 m</w:t>
      </w:r>
      <w:r w:rsidR="002C3D04" w:rsidRPr="00753F18">
        <w:rPr>
          <w:szCs w:val="24"/>
          <w:vertAlign w:val="superscript"/>
          <w:lang w:val="hr-HR"/>
        </w:rPr>
        <w:t>2</w:t>
      </w:r>
      <w:r w:rsidR="002C3D04" w:rsidRPr="00753F18">
        <w:rPr>
          <w:szCs w:val="24"/>
          <w:lang w:val="hr-HR"/>
        </w:rPr>
        <w:t>, podruma 44,70 m</w:t>
      </w:r>
      <w:r w:rsidR="002C3D04" w:rsidRPr="00753F18">
        <w:rPr>
          <w:szCs w:val="24"/>
          <w:vertAlign w:val="superscript"/>
          <w:lang w:val="hr-HR"/>
        </w:rPr>
        <w:t>2</w:t>
      </w:r>
      <w:r w:rsidR="002C3D04" w:rsidRPr="00753F18">
        <w:rPr>
          <w:szCs w:val="24"/>
          <w:lang w:val="hr-HR"/>
        </w:rPr>
        <w:t>, ukupne površine unutar zgrade neto 140,13 m</w:t>
      </w:r>
      <w:r w:rsidR="002C3D04" w:rsidRPr="00753F18">
        <w:rPr>
          <w:szCs w:val="24"/>
          <w:vertAlign w:val="superscript"/>
          <w:lang w:val="hr-HR"/>
        </w:rPr>
        <w:t>2</w:t>
      </w:r>
      <w:r w:rsidR="002C3D04" w:rsidRPr="00753F18">
        <w:rPr>
          <w:szCs w:val="24"/>
          <w:lang w:val="hr-HR"/>
        </w:rPr>
        <w:t>, vanjski prostor ˝Klakara˝ 4,34 m</w:t>
      </w:r>
      <w:r w:rsidR="002C3D04" w:rsidRPr="00753F18">
        <w:rPr>
          <w:szCs w:val="24"/>
          <w:vertAlign w:val="superscript"/>
          <w:lang w:val="hr-HR"/>
        </w:rPr>
        <w:t>2</w:t>
      </w:r>
      <w:r w:rsidR="002C3D04" w:rsidRPr="00753F18">
        <w:rPr>
          <w:szCs w:val="24"/>
          <w:lang w:val="hr-HR"/>
        </w:rPr>
        <w:t>, sve navedeno prema Elaboratu o etažiranju od 24. studenog 2003. vještaka Daria Vučka u Imotskom, upisan kao ZK tijelo č. zgr. 795/1, upisan u Z.K. ul. 2596 K.O. Imotski – Glavina za ugovorenu cijenu od 40.000,00 EUR-a u kunskoj protuvrijednosti prema srednjem tečaju HNB-a koji iznos kupac isplaćuje prodavatelju u trenutku potpisa tog ugovora (čl. 1. i 2. )</w:t>
      </w:r>
    </w:p>
    <w:p w:rsidRDefault="007E3E7F" w:rsidP="0064053A" w:rsidR="002C3D04" w:rsidRPr="00753F18">
      <w:pPr>
        <w:pStyle w:val="Tijeloteksta"/>
        <w:ind w:firstLine="709"/>
        <w:rPr>
          <w:szCs w:val="24"/>
          <w:lang w:val="hr-HR"/>
        </w:rPr>
      </w:pPr>
      <w:r>
        <w:rPr>
          <w:szCs w:val="24"/>
          <w:lang w:val="hr-HR"/>
        </w:rPr>
        <w:t xml:space="preserve">- </w:t>
      </w:r>
      <w:r w:rsidR="002C3D04" w:rsidRPr="00753F18">
        <w:rPr>
          <w:szCs w:val="24"/>
          <w:lang w:val="hr-HR"/>
        </w:rPr>
        <w:t>da je prodavatelj potpisivanjem tog Ugovora kupcu izdao bezuvjetnu tabularnu ispravu kojom ga je ovlastio na uknjižbu prava vlasništva na predmetnu nekretninu (čl. 5.)</w:t>
      </w:r>
    </w:p>
    <w:p w:rsidRDefault="002C3D04" w:rsidP="0094251E" w:rsidR="00734C80" w:rsidRPr="00753F18">
      <w:pPr>
        <w:pStyle w:val="Tijeloteksta"/>
        <w:spacing w:beforeLines="60" w:before="144"/>
        <w:ind w:firstLine="708"/>
        <w:rPr>
          <w:szCs w:val="24"/>
          <w:lang w:val="hr-HR"/>
        </w:rPr>
      </w:pPr>
      <w:r w:rsidRPr="00753F18">
        <w:rPr>
          <w:szCs w:val="24"/>
          <w:lang w:val="hr-HR"/>
        </w:rPr>
        <w:t>Iz neslužbenog izvatka iz zemljišne knjige za K.O. Imotski – Glavina proizlazi da je Vučemilović Vlatko pok. Edmonda uknjiženi vlasnik nekretnine označene kao kat. čest. zgr. 795/1 ZU 2596, stambeno-poslovne zgrade u Ulici Šetalište Stjepana Radića b 11, koja se sastoji od podruma, prizemlja i kata – Po + P1 + 1 i to za ¼ dijela.</w:t>
      </w:r>
    </w:p>
    <w:p w:rsidRDefault="002C3D04" w:rsidP="0094251E" w:rsidR="002C3D04" w:rsidRPr="002C3D04">
      <w:pPr>
        <w:pStyle w:val="Tijeloteksta"/>
        <w:spacing w:beforeLines="40" w:before="96"/>
        <w:rPr>
          <w:szCs w:val="24"/>
          <w:lang w:val="hr-HR"/>
        </w:rPr>
      </w:pPr>
      <w:r w:rsidRPr="00753F18">
        <w:rPr>
          <w:szCs w:val="24"/>
          <w:lang w:val="hr-HR"/>
        </w:rPr>
        <w:tab/>
        <w:t xml:space="preserve">Kako iz navedenih isprava ne proizlazi da stečajni dužnik ima titulus (naslov) stjecanja prava vlasništva nekretnine označene kao kat. čest. zgr. 795/1 ZU 2596, stambeno-poslovne zgrade u Ulici Šetalište Stjepana Radića b 11, koja se sastoji od podruma, prizemlja i kata – Po + P1 + 1, a iz prijedloga stečajnog upravitelja nije razvidno raspolaže li stečajni dužnik (i) nekom drugom imovinom (stečajnom masom), </w:t>
      </w:r>
      <w:r>
        <w:rPr>
          <w:szCs w:val="24"/>
          <w:lang w:val="hr-HR"/>
        </w:rPr>
        <w:t>sud je zaključkom 11.St-1157/2017 od 18. prosinca 2017. naložio stečajnom upravitelju da</w:t>
      </w:r>
      <w:r w:rsidR="007E3E7F">
        <w:rPr>
          <w:szCs w:val="24"/>
          <w:lang w:val="hr-HR"/>
        </w:rPr>
        <w:t xml:space="preserve"> </w:t>
      </w:r>
      <w:r w:rsidRPr="002C3D04">
        <w:rPr>
          <w:szCs w:val="24"/>
          <w:lang w:val="hr-HR"/>
        </w:rPr>
        <w:t>dopuni prijedlog za nastavak postupka radi naknadne diobe zaprimljen kod ovoga suda 21. rujna 2017. na način:</w:t>
      </w:r>
    </w:p>
    <w:p w:rsidRDefault="002C3D04" w:rsidP="0064053A" w:rsidR="002C3D04" w:rsidRPr="002C3D04">
      <w:pPr>
        <w:pStyle w:val="Tijeloteksta"/>
        <w:ind w:firstLine="709"/>
        <w:rPr>
          <w:szCs w:val="24"/>
          <w:lang w:val="hr-HR"/>
        </w:rPr>
      </w:pPr>
      <w:r w:rsidRPr="002C3D04">
        <w:rPr>
          <w:szCs w:val="24"/>
          <w:lang w:val="hr-HR"/>
        </w:rPr>
        <w:t>- da dostavi jasan pregled naknadno pronađene imovine stečajnog dužnika i navede osnov stjecanja te imovine</w:t>
      </w:r>
    </w:p>
    <w:p w:rsidRDefault="002C3D04" w:rsidP="0064053A" w:rsidR="002C3D04" w:rsidRPr="002C3D04">
      <w:pPr>
        <w:pStyle w:val="Tijeloteksta"/>
        <w:ind w:firstLine="709"/>
        <w:rPr>
          <w:szCs w:val="24"/>
          <w:lang w:val="hr-HR"/>
        </w:rPr>
      </w:pPr>
      <w:r w:rsidRPr="002C3D04">
        <w:rPr>
          <w:szCs w:val="24"/>
          <w:lang w:val="hr-HR"/>
        </w:rPr>
        <w:t xml:space="preserve">- da se izjasni o mogućnosti uknjižbe prava vlasništva posebnog dijela nekretnine označene kao kat. čest zgr. 795/1 K.O. Imotski-Glavina </w:t>
      </w:r>
    </w:p>
    <w:p w:rsidRDefault="002C3D04" w:rsidP="0064053A" w:rsidR="002C3D04" w:rsidRPr="002C3D04">
      <w:pPr>
        <w:pStyle w:val="Tijeloteksta"/>
        <w:ind w:firstLine="709"/>
        <w:rPr>
          <w:szCs w:val="24"/>
          <w:lang w:val="hr-HR"/>
        </w:rPr>
      </w:pPr>
      <w:r w:rsidRPr="002C3D04">
        <w:rPr>
          <w:szCs w:val="24"/>
          <w:lang w:val="hr-HR"/>
        </w:rPr>
        <w:t>- da naznači sve radnje koje je poduzeo u smislu iznalaženja i utvrđenja naknadno pronađene imovine (komunikacija sa zakonskim zastupnicima prije otvaranja stečaja, poslovna dokumentacija i dr.)</w:t>
      </w:r>
    </w:p>
    <w:p w:rsidRDefault="002C3D04" w:rsidP="0064053A" w:rsidR="002C3D04">
      <w:pPr>
        <w:pStyle w:val="Tijeloteksta"/>
        <w:ind w:firstLine="709"/>
        <w:rPr>
          <w:szCs w:val="24"/>
          <w:lang w:val="hr-HR"/>
        </w:rPr>
      </w:pPr>
      <w:r w:rsidRPr="002C3D04">
        <w:rPr>
          <w:szCs w:val="24"/>
          <w:lang w:val="hr-HR"/>
        </w:rPr>
        <w:t>- da dostavi procjenu svih troškova koji će nastati u slučaju nastavka postupka radi naknadne diobe.</w:t>
      </w:r>
    </w:p>
    <w:p w:rsidRDefault="002C3D04" w:rsidP="007E3E7F" w:rsidR="007E3E7F">
      <w:pPr>
        <w:pStyle w:val="Tijeloteksta"/>
        <w:spacing w:before="200"/>
        <w:rPr>
          <w:szCs w:val="24"/>
          <w:lang w:val="hr-HR"/>
        </w:rPr>
      </w:pPr>
      <w:r>
        <w:rPr>
          <w:szCs w:val="24"/>
          <w:lang w:val="hr-HR"/>
        </w:rPr>
        <w:tab/>
        <w:t xml:space="preserve">Dana </w:t>
      </w:r>
      <w:r w:rsidR="00772C19">
        <w:rPr>
          <w:szCs w:val="24"/>
          <w:lang w:val="hr-HR"/>
        </w:rPr>
        <w:t>31. siječnja</w:t>
      </w:r>
      <w:r>
        <w:rPr>
          <w:szCs w:val="24"/>
          <w:lang w:val="hr-HR"/>
        </w:rPr>
        <w:t xml:space="preserve"> 2018. kod ovog suda zaprimljen je podnesak stečajnog upravitelja u kojem u bitnom navodi:</w:t>
      </w:r>
    </w:p>
    <w:p w:rsidRDefault="007E3E7F" w:rsidP="0064053A" w:rsidR="00772C19">
      <w:pPr>
        <w:pStyle w:val="Tijeloteksta"/>
        <w:ind w:firstLine="709"/>
        <w:rPr>
          <w:szCs w:val="24"/>
          <w:lang w:val="hr-HR"/>
        </w:rPr>
      </w:pPr>
      <w:r>
        <w:rPr>
          <w:szCs w:val="24"/>
          <w:lang w:val="hr-HR"/>
        </w:rPr>
        <w:t xml:space="preserve">- </w:t>
      </w:r>
      <w:r w:rsidR="00772C19">
        <w:rPr>
          <w:szCs w:val="24"/>
          <w:lang w:val="hr-HR"/>
        </w:rPr>
        <w:t>da je uvidom u dokumentaciju dostavljenu od strane Državne geodetske uprave te Ministarstva unutarnjih poslova utvrdio da stečajni dužnik nema u vlasništvu nekretnina ni vozila</w:t>
      </w:r>
    </w:p>
    <w:p w:rsidRDefault="007E3E7F" w:rsidP="0064053A" w:rsidR="00772C19">
      <w:pPr>
        <w:pStyle w:val="Tijeloteksta"/>
        <w:ind w:firstLine="709"/>
        <w:rPr>
          <w:szCs w:val="24"/>
          <w:lang w:val="hr-HR"/>
        </w:rPr>
      </w:pPr>
      <w:r>
        <w:rPr>
          <w:szCs w:val="24"/>
          <w:lang w:val="hr-HR"/>
        </w:rPr>
        <w:t xml:space="preserve">- </w:t>
      </w:r>
      <w:r w:rsidR="00772C19">
        <w:rPr>
          <w:szCs w:val="24"/>
          <w:lang w:val="hr-HR"/>
        </w:rPr>
        <w:t>da od bivšeg zastupnika po zakonu dužnika nije dobio nikakve informacije o eventualnoj imovini dužnika</w:t>
      </w:r>
    </w:p>
    <w:p w:rsidRDefault="007E3E7F" w:rsidP="0064053A" w:rsidR="001E396A">
      <w:pPr>
        <w:pStyle w:val="Tijeloteksta"/>
        <w:ind w:firstLine="709"/>
        <w:rPr>
          <w:szCs w:val="24"/>
          <w:lang w:val="hr-HR"/>
        </w:rPr>
      </w:pPr>
      <w:r>
        <w:rPr>
          <w:szCs w:val="24"/>
          <w:lang w:val="hr-HR"/>
        </w:rPr>
        <w:t xml:space="preserve">- </w:t>
      </w:r>
      <w:r w:rsidR="00772C19" w:rsidRPr="007E3E7F">
        <w:rPr>
          <w:szCs w:val="24"/>
          <w:lang w:val="hr-HR"/>
        </w:rPr>
        <w:t xml:space="preserve">da </w:t>
      </w:r>
      <w:r w:rsidR="00772C19" w:rsidRPr="00EF321D">
        <w:rPr>
          <w:szCs w:val="24"/>
          <w:lang w:val="hr-HR"/>
        </w:rPr>
        <w:t>je primitkom cjelokupne dokumentacije vezane za kupoprodaju nekretnine označene kao čest. zgr. 795/1 K.O. Imotski – Glavina utvrdio kako tu nekretninu od Vlatka Vučemilovića nije kupio stečajni dužnik već Matije Malenica iz čega proizlazi da stečajni dužnik nikada nije bi vlasnik te nekretnine</w:t>
      </w:r>
      <w:r w:rsidR="00647F55" w:rsidRPr="00EF321D">
        <w:rPr>
          <w:b/>
          <w:szCs w:val="24"/>
          <w:lang w:val="hr-HR"/>
        </w:rPr>
        <w:t>,</w:t>
      </w:r>
    </w:p>
    <w:p w:rsidRDefault="00647F55" w:rsidP="0064053A" w:rsidR="00772C19" w:rsidRPr="00B50F4D">
      <w:pPr>
        <w:pStyle w:val="Tijeloteksta"/>
        <w:rPr>
          <w:b/>
          <w:szCs w:val="24"/>
          <w:lang w:val="hr-HR"/>
        </w:rPr>
      </w:pPr>
      <w:r w:rsidRPr="00EF321D">
        <w:rPr>
          <w:szCs w:val="24"/>
          <w:lang w:val="hr-HR"/>
        </w:rPr>
        <w:t>n</w:t>
      </w:r>
      <w:r w:rsidR="00772C19" w:rsidRPr="00EF321D">
        <w:rPr>
          <w:szCs w:val="24"/>
          <w:lang w:val="hr-HR"/>
        </w:rPr>
        <w:t>akon čega zaključuje da nema osnove za naknadnom diobom pa povlači prijedlog za nastavak postupka i naknadnu diobu.</w:t>
      </w:r>
    </w:p>
    <w:p w:rsidRDefault="00947761" w:rsidP="00947761" w:rsidR="00947761" w:rsidRPr="00947761">
      <w:pPr>
        <w:pStyle w:val="Tijeloteksta"/>
        <w:spacing w:before="200"/>
        <w:ind w:firstLine="708"/>
        <w:rPr>
          <w:szCs w:val="24"/>
          <w:lang w:val="hr-HR"/>
        </w:rPr>
      </w:pPr>
      <w:r w:rsidRPr="00EF321D">
        <w:rPr>
          <w:szCs w:val="24"/>
          <w:lang w:val="hr-HR"/>
        </w:rPr>
        <w:t>Odredbom čl. 289. st.1. Stečajnog</w:t>
      </w:r>
      <w:r w:rsidRPr="00947761">
        <w:rPr>
          <w:szCs w:val="24"/>
          <w:lang w:val="hr-HR"/>
        </w:rPr>
        <w:t xml:space="preserve"> zakona („Narodne novine“ broj 71/15</w:t>
      </w:r>
      <w:r>
        <w:rPr>
          <w:szCs w:val="24"/>
          <w:lang w:val="hr-HR"/>
        </w:rPr>
        <w:t xml:space="preserve"> i 104/2017</w:t>
      </w:r>
      <w:r w:rsidRPr="00947761">
        <w:rPr>
          <w:szCs w:val="24"/>
          <w:lang w:val="hr-HR"/>
        </w:rPr>
        <w:t>; dalje SZ)</w:t>
      </w:r>
      <w:r w:rsidR="007E3E7F">
        <w:rPr>
          <w:szCs w:val="24"/>
          <w:lang w:val="hr-HR"/>
        </w:rPr>
        <w:t xml:space="preserve"> </w:t>
      </w:r>
      <w:r w:rsidRPr="00947761">
        <w:rPr>
          <w:szCs w:val="24"/>
          <w:lang w:val="hr-HR"/>
        </w:rPr>
        <w:t>propisano je da će sud na prijedlog stečajnoga upravitelja, kojega od stečajnih vjerovnika ili po službenoj dužnosti odrediti nastavljanje postupka radi naknadne diobe ako se nakon završnoga ročišta:</w:t>
      </w:r>
    </w:p>
    <w:p w:rsidRDefault="00947761" w:rsidP="0064053A" w:rsidR="00947761" w:rsidRPr="00947761">
      <w:pPr>
        <w:pStyle w:val="Tijeloteksta"/>
        <w:ind w:firstLine="709"/>
        <w:rPr>
          <w:szCs w:val="24"/>
          <w:lang w:val="hr-HR"/>
        </w:rPr>
      </w:pPr>
      <w:r w:rsidRPr="00947761">
        <w:rPr>
          <w:szCs w:val="24"/>
          <w:lang w:val="hr-HR"/>
        </w:rPr>
        <w:t>1. ostvare pretpostavke da se zadržani iznosi podijele stečajnim vjerovnicima</w:t>
      </w:r>
    </w:p>
    <w:p w:rsidRDefault="00947761" w:rsidP="0064053A" w:rsidR="00947761" w:rsidRPr="00947761">
      <w:pPr>
        <w:pStyle w:val="Tijeloteksta"/>
        <w:ind w:firstLine="709"/>
        <w:rPr>
          <w:szCs w:val="24"/>
          <w:lang w:val="hr-HR"/>
        </w:rPr>
      </w:pPr>
      <w:r w:rsidRPr="00947761">
        <w:rPr>
          <w:szCs w:val="24"/>
          <w:lang w:val="hr-HR"/>
        </w:rPr>
        <w:t>2. iznosi koji su isplaćeni iz stečajne mase vrate u masu</w:t>
      </w:r>
    </w:p>
    <w:p w:rsidRDefault="00947761" w:rsidP="0064053A" w:rsidR="002C3D04">
      <w:pPr>
        <w:pStyle w:val="Tijeloteksta"/>
        <w:ind w:firstLine="709"/>
        <w:rPr>
          <w:szCs w:val="24"/>
          <w:lang w:val="hr-HR"/>
        </w:rPr>
      </w:pPr>
      <w:r w:rsidRPr="00947761">
        <w:rPr>
          <w:szCs w:val="24"/>
          <w:lang w:val="hr-HR"/>
        </w:rPr>
        <w:t>3. pronađe imovina koja ulazi u stečajnu masu.</w:t>
      </w:r>
    </w:p>
    <w:p w:rsidRDefault="007E3E7F" w:rsidP="00947761" w:rsidR="007E3E7F">
      <w:pPr>
        <w:pStyle w:val="Tijeloteksta"/>
        <w:spacing w:before="200"/>
        <w:rPr>
          <w:szCs w:val="24"/>
          <w:lang w:val="hr-HR"/>
        </w:rPr>
      </w:pPr>
      <w:r>
        <w:rPr>
          <w:szCs w:val="24"/>
          <w:lang w:val="hr-HR"/>
        </w:rPr>
        <w:tab/>
        <w:t xml:space="preserve">Kako, iz </w:t>
      </w:r>
      <w:r w:rsidRPr="00106524">
        <w:rPr>
          <w:szCs w:val="24"/>
          <w:lang w:val="hr-HR"/>
        </w:rPr>
        <w:t xml:space="preserve">provedenog postupka ne proizlaze da su se ostvarile pretpostavke iz čl. 289. st.1. SZ-a, </w:t>
      </w:r>
      <w:r w:rsidR="002A00C2" w:rsidRPr="00106524">
        <w:rPr>
          <w:szCs w:val="24"/>
          <w:lang w:val="hr-HR"/>
        </w:rPr>
        <w:t xml:space="preserve">a svoj prijedlog </w:t>
      </w:r>
      <w:r w:rsidRPr="00106524">
        <w:rPr>
          <w:szCs w:val="24"/>
          <w:lang w:val="hr-HR"/>
        </w:rPr>
        <w:t xml:space="preserve">za određivanje nastavka postupka radi naknadne </w:t>
      </w:r>
      <w:r w:rsidR="002A00C2" w:rsidRPr="00106524">
        <w:rPr>
          <w:szCs w:val="24"/>
          <w:lang w:val="hr-HR"/>
        </w:rPr>
        <w:t xml:space="preserve">diobe stečajni upravitelj je uz obrazloženje naknadno i povukao, to </w:t>
      </w:r>
      <w:r w:rsidRPr="00106524">
        <w:rPr>
          <w:szCs w:val="24"/>
          <w:lang w:val="hr-HR"/>
        </w:rPr>
        <w:t>je</w:t>
      </w:r>
      <w:r>
        <w:rPr>
          <w:szCs w:val="24"/>
          <w:lang w:val="hr-HR"/>
        </w:rPr>
        <w:t xml:space="preserve"> odlučeno kao u izreci ovog rješenja.</w:t>
      </w:r>
    </w:p>
    <w:p w:rsidRDefault="002C3D04" w:rsidP="002C3D04" w:rsidR="002C3D04" w:rsidRPr="002759A3">
      <w:pPr>
        <w:jc w:val="center"/>
        <w:rPr>
          <w:color w:val="FF0000"/>
          <w:lang w:val="hr-HR"/>
        </w:rPr>
      </w:pPr>
    </w:p>
    <w:p w:rsidRDefault="002C3D04" w:rsidP="002C3D04" w:rsidR="002C3D04" w:rsidRPr="00C4535D">
      <w:pPr>
        <w:jc w:val="center"/>
        <w:rPr>
          <w:lang w:val="hr-HR"/>
        </w:rPr>
      </w:pPr>
      <w:r w:rsidRPr="00106524">
        <w:rPr>
          <w:lang w:val="hr-HR"/>
        </w:rPr>
        <w:t xml:space="preserve">U Splitu </w:t>
      </w:r>
      <w:r w:rsidR="00106524" w:rsidRPr="00106524">
        <w:rPr>
          <w:lang w:val="hr-HR"/>
        </w:rPr>
        <w:t>1</w:t>
      </w:r>
      <w:r w:rsidR="00683CDB">
        <w:rPr>
          <w:lang w:val="hr-HR"/>
        </w:rPr>
        <w:t>8</w:t>
      </w:r>
      <w:r w:rsidR="00106524" w:rsidRPr="00106524">
        <w:rPr>
          <w:lang w:val="hr-HR"/>
        </w:rPr>
        <w:t>. travnja</w:t>
      </w:r>
      <w:r w:rsidRPr="00106524">
        <w:rPr>
          <w:lang w:val="hr-HR"/>
        </w:rPr>
        <w:t xml:space="preserve"> 2018.</w:t>
      </w:r>
    </w:p>
    <w:p w:rsidRDefault="002C3D04" w:rsidP="002C3D04" w:rsidR="002C3D04" w:rsidRPr="00C4535D">
      <w:pPr>
        <w:spacing w:before="240"/>
        <w:ind w:left="6480"/>
        <w:jc w:val="center"/>
        <w:rPr>
          <w:lang w:val="hr-HR"/>
        </w:rPr>
      </w:pPr>
      <w:r w:rsidRPr="00C4535D">
        <w:rPr>
          <w:lang w:val="hr-HR"/>
        </w:rPr>
        <w:t>Sutkinja</w:t>
      </w:r>
    </w:p>
    <w:p w:rsidRDefault="002C3D04" w:rsidP="002C3D04" w:rsidR="002C3D04" w:rsidRPr="00C4535D">
      <w:pPr>
        <w:ind w:left="6480"/>
        <w:jc w:val="center"/>
        <w:rPr>
          <w:lang w:val="hr-HR"/>
        </w:rPr>
      </w:pPr>
      <w:r w:rsidRPr="00C4535D">
        <w:rPr>
          <w:lang w:val="hr-HR"/>
        </w:rPr>
        <w:t>Ana Golub Gruić</w:t>
      </w:r>
    </w:p>
    <w:p w:rsidRDefault="002C3D04" w:rsidP="002C3D04" w:rsidR="002C3D04" w:rsidRPr="00C4535D">
      <w:pPr>
        <w:ind w:left="6480"/>
        <w:jc w:val="both"/>
        <w:rPr>
          <w:lang w:val="hr-HR"/>
        </w:rPr>
      </w:pPr>
    </w:p>
    <w:p w:rsidRDefault="002C3D04" w:rsidP="002C3D04" w:rsidR="002C3D04">
      <w:pPr>
        <w:numPr>
          <w:ilvl w:val="12"/>
          <w:numId w:val="0"/>
        </w:numPr>
        <w:jc w:val="both"/>
        <w:rPr>
          <w:lang w:val="hr-HR"/>
        </w:rPr>
      </w:pPr>
      <w:r>
        <w:rPr>
          <w:lang w:val="hr-HR"/>
        </w:rPr>
        <w:t>Uputa o pravnom lijeku</w:t>
      </w:r>
      <w:r w:rsidRPr="00F83474">
        <w:rPr>
          <w:lang w:val="hr-HR"/>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2C3D04" w:rsidP="002C3D04" w:rsidR="002C3D04" w:rsidRPr="00C4535D">
      <w:pPr>
        <w:numPr>
          <w:ilvl w:val="12"/>
          <w:numId w:val="0"/>
        </w:numPr>
        <w:jc w:val="both"/>
        <w:rPr>
          <w:lang w:val="hr-HR"/>
        </w:rPr>
      </w:pPr>
    </w:p>
    <w:p w:rsidRDefault="002C3D04" w:rsidP="002C3D04" w:rsidR="002C3D04" w:rsidRPr="00C4535D">
      <w:pPr>
        <w:numPr>
          <w:ilvl w:val="12"/>
          <w:numId w:val="0"/>
        </w:numPr>
        <w:spacing w:before="100"/>
        <w:jc w:val="both"/>
        <w:rPr>
          <w:lang w:val="hr-HR"/>
        </w:rPr>
      </w:pPr>
      <w:r w:rsidRPr="00C4535D">
        <w:rPr>
          <w:lang w:val="hr-HR"/>
        </w:rPr>
        <w:t>DNA:</w:t>
      </w:r>
    </w:p>
    <w:p w:rsidRDefault="002C3D04" w:rsidP="002C3D04" w:rsidR="002C3D04" w:rsidRPr="00C4535D">
      <w:pPr>
        <w:pStyle w:val="Bezproreda"/>
        <w:rPr>
          <w:lang w:val="hr-HR"/>
        </w:rPr>
      </w:pPr>
      <w:r>
        <w:rPr>
          <w:lang w:val="hr-HR"/>
        </w:rPr>
        <w:t>-  stečajnom upravitelju</w:t>
      </w:r>
    </w:p>
    <w:p w:rsidRDefault="002C3D04" w:rsidP="002C3D04" w:rsidR="002C3D04" w:rsidRPr="00C4535D">
      <w:pPr>
        <w:pStyle w:val="Bezproreda"/>
        <w:rPr>
          <w:lang w:val="hr-HR"/>
        </w:rPr>
      </w:pPr>
      <w:r w:rsidRPr="00C4535D">
        <w:rPr>
          <w:lang w:val="hr-HR"/>
        </w:rPr>
        <w:t xml:space="preserve">-  mrežna stranica e-Oglasna ploča sudova </w:t>
      </w:r>
    </w:p>
    <w:p w:rsidRDefault="002C3D04" w:rsidP="002C3D04" w:rsidR="002C3D04" w:rsidRPr="00C4535D">
      <w:pPr>
        <w:pStyle w:val="Bezproreda"/>
        <w:rPr>
          <w:lang w:val="hr-HR"/>
        </w:rPr>
      </w:pPr>
      <w:r w:rsidRPr="00C4535D">
        <w:rPr>
          <w:lang w:val="hr-HR"/>
        </w:rPr>
        <w:t>-  u spis</w:t>
      </w:r>
    </w:p>
    <w:p w:rsidRDefault="002C3D04" w:rsidP="002C3D04" w:rsidR="002C3D04" w:rsidRPr="00C4535D">
      <w:pPr>
        <w:pStyle w:val="Bezproreda"/>
        <w:rPr>
          <w:lang w:val="hr-HR"/>
        </w:rPr>
      </w:pPr>
    </w:p>
    <w:p w:rsidRDefault="002C3D04" w:rsidP="002C3D04" w:rsidR="002C3D04" w:rsidRPr="00C4535D">
      <w:pPr>
        <w:pStyle w:val="Bezproreda"/>
        <w:rPr>
          <w:lang w:val="hr-HR"/>
        </w:rPr>
      </w:pPr>
    </w:p>
    <w:p w:rsidRDefault="002C3D04" w:rsidP="002C3D04" w:rsidR="002C3D04" w:rsidRPr="00A55FA1">
      <w:pPr>
        <w:pStyle w:val="Bezproreda"/>
        <w:rPr>
          <w:color w:val="FF0000"/>
          <w:lang w:val="hr-HR"/>
        </w:rPr>
      </w:pPr>
      <w:r w:rsidRPr="00C4535D">
        <w:rPr>
          <w:lang w:val="hr-HR"/>
        </w:rPr>
        <w:tab/>
      </w:r>
    </w:p>
    <w:sectPr w:rsidSect="00F83474" w:rsidR="002C3D04" w:rsidRPr="00A55FA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5C16" w:rsidP="00361DD5" w:rsidR="001E5C16">
      <w:r>
        <w:separator/>
      </w:r>
    </w:p>
  </w:endnote>
  <w:endnote w:id="0" w:type="continuationSeparator">
    <w:p w:rsidRDefault="001E5C16" w:rsidP="00361DD5" w:rsidR="001E5C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5C16" w:rsidP="00361DD5" w:rsidR="001E5C16">
      <w:r>
        <w:separator/>
      </w:r>
    </w:p>
  </w:footnote>
  <w:footnote w:id="0" w:type="continuationSeparator">
    <w:p w:rsidRDefault="001E5C16" w:rsidP="00361DD5" w:rsidR="001E5C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09C0" w:rsidP="002C3D04" w:rsidR="00087D88" w:rsidRPr="002C3D04">
    <w:pPr>
      <w:pStyle w:val="Zaglavlje"/>
      <w:ind w:firstLine="1416"/>
      <w:jc w:val="right"/>
      <w:rPr>
        <w:noProof/>
        <w:lang w:val="hr-HR"/>
      </w:rPr>
    </w:pPr>
    <w:sdt>
      <w:sdtPr>
        <w:rPr>
          <w:noProof/>
          <w:lang w:val="hr-HR"/>
        </w:rPr>
        <w:id w:val="321327988"/>
        <w:docPartObj>
          <w:docPartGallery w:val="Page Numbers (Top of Page)"/>
          <w:docPartUnique/>
        </w:docPartObj>
      </w:sdtPr>
      <w:sdtEndPr/>
      <w:sdtContent>
        <w:r w:rsidR="00A96804" w:rsidRPr="002C3D04">
          <w:rPr>
            <w:noProof/>
            <w:lang w:val="hr-HR"/>
          </w:rPr>
          <w:fldChar w:fldCharType="begin"/>
        </w:r>
        <w:r w:rsidR="00066EAF" w:rsidRPr="002C3D04">
          <w:rPr>
            <w:noProof/>
            <w:lang w:val="hr-HR"/>
          </w:rPr>
          <w:instrText>PAGE   \* MERGEFORMAT</w:instrText>
        </w:r>
        <w:r w:rsidR="00A96804" w:rsidRPr="002C3D04">
          <w:rPr>
            <w:noProof/>
            <w:lang w:val="hr-HR"/>
          </w:rPr>
          <w:fldChar w:fldCharType="separate"/>
        </w:r>
        <w:r>
          <w:rPr>
            <w:noProof/>
            <w:lang w:val="hr-HR"/>
          </w:rPr>
          <w:t>4</w:t>
        </w:r>
        <w:r w:rsidR="00A96804" w:rsidRPr="002C3D04">
          <w:rPr>
            <w:noProof/>
            <w:lang w:val="hr-HR"/>
          </w:rPr>
          <w:fldChar w:fldCharType="end"/>
        </w:r>
        <w:r w:rsidR="002C3D04" w:rsidRPr="002C3D04">
          <w:rPr>
            <w:noProof/>
            <w:lang w:val="hr-HR"/>
          </w:rPr>
          <w:tab/>
        </w:r>
      </w:sdtContent>
    </w:sdt>
    <w:r w:rsidR="002C3D04" w:rsidRPr="002C3D04">
      <w:rPr>
        <w:noProof/>
        <w:lang w:val="hr-HR"/>
      </w:rPr>
      <w:t xml:space="preserve">Poslovni broj: </w:t>
    </w:r>
    <w:r w:rsidR="00CA3B17" w:rsidRPr="002C3D04">
      <w:rPr>
        <w:noProof/>
        <w:lang w:val="hr-HR"/>
      </w:rPr>
      <w:t>11.St-</w:t>
    </w:r>
    <w:r w:rsidR="002C3D04" w:rsidRPr="002C3D04">
      <w:rPr>
        <w:noProof/>
        <w:lang w:val="hr-HR"/>
      </w:rPr>
      <w:t>1157/2017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3F3982"/>
    <w:multiLevelType w:val="hybridMultilevel"/>
    <w:tmpl w:val="C89CAF0E"/>
    <w:lvl w:tplc="0922B736" w:ilvl="0">
      <w:start w:val="1"/>
      <w:numFmt w:val="bullet"/>
      <w:lvlText w:val=""/>
      <w:lvlJc w:val="left"/>
      <w:pPr>
        <w:ind w:hanging="360" w:left="1423"/>
      </w:pPr>
      <w:rPr>
        <w:rFonts w:hAnsi="Symbol" w:ascii="Symbol" w:hint="default"/>
      </w:rPr>
    </w:lvl>
    <w:lvl w:tentative="true" w:tplc="041A0003" w:ilvl="1">
      <w:start w:val="1"/>
      <w:numFmt w:val="bullet"/>
      <w:lvlText w:val="o"/>
      <w:lvlJc w:val="left"/>
      <w:pPr>
        <w:ind w:hanging="360" w:left="2143"/>
      </w:pPr>
      <w:rPr>
        <w:rFonts w:cs="Courier New" w:hAnsi="Courier New" w:ascii="Courier New" w:hint="default"/>
      </w:rPr>
    </w:lvl>
    <w:lvl w:tentative="true" w:tplc="041A0005" w:ilvl="2">
      <w:start w:val="1"/>
      <w:numFmt w:val="bullet"/>
      <w:lvlText w:val=""/>
      <w:lvlJc w:val="left"/>
      <w:pPr>
        <w:ind w:hanging="360" w:left="2863"/>
      </w:pPr>
      <w:rPr>
        <w:rFonts w:hAnsi="Wingdings" w:ascii="Wingdings" w:hint="default"/>
      </w:rPr>
    </w:lvl>
    <w:lvl w:tentative="true" w:tplc="041A0001" w:ilvl="3">
      <w:start w:val="1"/>
      <w:numFmt w:val="bullet"/>
      <w:lvlText w:val=""/>
      <w:lvlJc w:val="left"/>
      <w:pPr>
        <w:ind w:hanging="360" w:left="3583"/>
      </w:pPr>
      <w:rPr>
        <w:rFonts w:hAnsi="Symbol" w:ascii="Symbol" w:hint="default"/>
      </w:rPr>
    </w:lvl>
    <w:lvl w:tentative="true" w:tplc="041A0003" w:ilvl="4">
      <w:start w:val="1"/>
      <w:numFmt w:val="bullet"/>
      <w:lvlText w:val="o"/>
      <w:lvlJc w:val="left"/>
      <w:pPr>
        <w:ind w:hanging="360" w:left="4303"/>
      </w:pPr>
      <w:rPr>
        <w:rFonts w:cs="Courier New" w:hAnsi="Courier New" w:ascii="Courier New" w:hint="default"/>
      </w:rPr>
    </w:lvl>
    <w:lvl w:tentative="true" w:tplc="041A0005" w:ilvl="5">
      <w:start w:val="1"/>
      <w:numFmt w:val="bullet"/>
      <w:lvlText w:val=""/>
      <w:lvlJc w:val="left"/>
      <w:pPr>
        <w:ind w:hanging="360" w:left="5023"/>
      </w:pPr>
      <w:rPr>
        <w:rFonts w:hAnsi="Wingdings" w:ascii="Wingdings" w:hint="default"/>
      </w:rPr>
    </w:lvl>
    <w:lvl w:tentative="true" w:tplc="041A0001" w:ilvl="6">
      <w:start w:val="1"/>
      <w:numFmt w:val="bullet"/>
      <w:lvlText w:val=""/>
      <w:lvlJc w:val="left"/>
      <w:pPr>
        <w:ind w:hanging="360" w:left="5743"/>
      </w:pPr>
      <w:rPr>
        <w:rFonts w:hAnsi="Symbol" w:ascii="Symbol" w:hint="default"/>
      </w:rPr>
    </w:lvl>
    <w:lvl w:tentative="true" w:tplc="041A0003" w:ilvl="7">
      <w:start w:val="1"/>
      <w:numFmt w:val="bullet"/>
      <w:lvlText w:val="o"/>
      <w:lvlJc w:val="left"/>
      <w:pPr>
        <w:ind w:hanging="360" w:left="6463"/>
      </w:pPr>
      <w:rPr>
        <w:rFonts w:cs="Courier New" w:hAnsi="Courier New" w:ascii="Courier New" w:hint="default"/>
      </w:rPr>
    </w:lvl>
    <w:lvl w:tentative="true" w:tplc="041A0005" w:ilvl="8">
      <w:start w:val="1"/>
      <w:numFmt w:val="bullet"/>
      <w:lvlText w:val=""/>
      <w:lvlJc w:val="left"/>
      <w:pPr>
        <w:ind w:hanging="360" w:left="7183"/>
      </w:pPr>
      <w:rPr>
        <w:rFonts w:hAnsi="Wingdings" w:ascii="Wingdings" w:hint="default"/>
      </w:rPr>
    </w:lvl>
  </w:abstractNum>
  <w:abstractNum w:abstractNumId="1">
    <w:nsid w:val="0A5766A6"/>
    <w:multiLevelType w:val="hybridMultilevel"/>
    <w:tmpl w:val="2208E4FE"/>
    <w:lvl w:tplc="97C4A0C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64E97C08"/>
    <w:multiLevelType w:val="hybridMultilevel"/>
    <w:tmpl w:val="EA06B0E6"/>
    <w:lvl w:tplc="BA8E4EE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76F6AD9"/>
    <w:multiLevelType w:val="hybridMultilevel"/>
    <w:tmpl w:val="8AF66EEC"/>
    <w:lvl w:tplc="041A0001" w:ilvl="0">
      <w:start w:val="1"/>
      <w:numFmt w:val="bullet"/>
      <w:lvlText w:val=""/>
      <w:lvlJc w:val="left"/>
      <w:pPr>
        <w:ind w:hanging="360" w:left="766"/>
      </w:pPr>
      <w:rPr>
        <w:rFonts w:hAnsi="Symbol" w:ascii="Symbol" w:hint="default"/>
      </w:rPr>
    </w:lvl>
    <w:lvl w:tentative="true" w:tplc="041A0003" w:ilvl="1">
      <w:start w:val="1"/>
      <w:numFmt w:val="bullet"/>
      <w:lvlText w:val="o"/>
      <w:lvlJc w:val="left"/>
      <w:pPr>
        <w:ind w:hanging="360" w:left="1486"/>
      </w:pPr>
      <w:rPr>
        <w:rFonts w:cs="Courier New" w:hAnsi="Courier New" w:ascii="Courier New" w:hint="default"/>
      </w:rPr>
    </w:lvl>
    <w:lvl w:tentative="true" w:tplc="041A0005" w:ilvl="2">
      <w:start w:val="1"/>
      <w:numFmt w:val="bullet"/>
      <w:lvlText w:val=""/>
      <w:lvlJc w:val="left"/>
      <w:pPr>
        <w:ind w:hanging="360" w:left="2206"/>
      </w:pPr>
      <w:rPr>
        <w:rFonts w:hAnsi="Wingdings" w:ascii="Wingdings" w:hint="default"/>
      </w:rPr>
    </w:lvl>
    <w:lvl w:tentative="true" w:tplc="041A0001" w:ilvl="3">
      <w:start w:val="1"/>
      <w:numFmt w:val="bullet"/>
      <w:lvlText w:val=""/>
      <w:lvlJc w:val="left"/>
      <w:pPr>
        <w:ind w:hanging="360" w:left="2926"/>
      </w:pPr>
      <w:rPr>
        <w:rFonts w:hAnsi="Symbol" w:ascii="Symbol" w:hint="default"/>
      </w:rPr>
    </w:lvl>
    <w:lvl w:tentative="true" w:tplc="041A0003" w:ilvl="4">
      <w:start w:val="1"/>
      <w:numFmt w:val="bullet"/>
      <w:lvlText w:val="o"/>
      <w:lvlJc w:val="left"/>
      <w:pPr>
        <w:ind w:hanging="360" w:left="3646"/>
      </w:pPr>
      <w:rPr>
        <w:rFonts w:cs="Courier New" w:hAnsi="Courier New" w:ascii="Courier New" w:hint="default"/>
      </w:rPr>
    </w:lvl>
    <w:lvl w:tentative="true" w:tplc="041A0005" w:ilvl="5">
      <w:start w:val="1"/>
      <w:numFmt w:val="bullet"/>
      <w:lvlText w:val=""/>
      <w:lvlJc w:val="left"/>
      <w:pPr>
        <w:ind w:hanging="360" w:left="4366"/>
      </w:pPr>
      <w:rPr>
        <w:rFonts w:hAnsi="Wingdings" w:ascii="Wingdings" w:hint="default"/>
      </w:rPr>
    </w:lvl>
    <w:lvl w:tentative="true" w:tplc="041A0001" w:ilvl="6">
      <w:start w:val="1"/>
      <w:numFmt w:val="bullet"/>
      <w:lvlText w:val=""/>
      <w:lvlJc w:val="left"/>
      <w:pPr>
        <w:ind w:hanging="360" w:left="5086"/>
      </w:pPr>
      <w:rPr>
        <w:rFonts w:hAnsi="Symbol" w:ascii="Symbol" w:hint="default"/>
      </w:rPr>
    </w:lvl>
    <w:lvl w:tentative="true" w:tplc="041A0003" w:ilvl="7">
      <w:start w:val="1"/>
      <w:numFmt w:val="bullet"/>
      <w:lvlText w:val="o"/>
      <w:lvlJc w:val="left"/>
      <w:pPr>
        <w:ind w:hanging="360" w:left="5806"/>
      </w:pPr>
      <w:rPr>
        <w:rFonts w:cs="Courier New" w:hAnsi="Courier New" w:ascii="Courier New" w:hint="default"/>
      </w:rPr>
    </w:lvl>
    <w:lvl w:tentative="true" w:tplc="041A0005" w:ilvl="8">
      <w:start w:val="1"/>
      <w:numFmt w:val="bullet"/>
      <w:lvlText w:val=""/>
      <w:lvlJc w:val="left"/>
      <w:pPr>
        <w:ind w:hanging="360" w:left="6526"/>
      </w:pPr>
      <w:rPr>
        <w:rFonts w:hAnsi="Wingdings" w:ascii="Wingdings" w:hint="default"/>
      </w:rPr>
    </w:lvl>
  </w:abstractNum>
  <w:abstractNum w:abstractNumId="4">
    <w:nsid w:val="786A5330"/>
    <w:multiLevelType w:val="hybridMultilevel"/>
    <w:tmpl w:val="AF58539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ocumentProtection w:enforcement="false" w:edit="readOnly"/>
  <w:defaultTabStop w:val="708"/>
  <w:hyphenationZone w:val="425"/>
  <w:characterSpacingControl w:val="doNotCompress"/>
  <w:savePreviewPicture/>
  <w:hdrShapeDefaults>
    <o:shapedefaults v:ext="edit" spidmax="890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454A"/>
    <w:rsid w:val="000102E4"/>
    <w:rsid w:val="00042F09"/>
    <w:rsid w:val="00066EAF"/>
    <w:rsid w:val="00080217"/>
    <w:rsid w:val="00087D88"/>
    <w:rsid w:val="000A7D24"/>
    <w:rsid w:val="000B40F4"/>
    <w:rsid w:val="000D5FF0"/>
    <w:rsid w:val="000F13F1"/>
    <w:rsid w:val="00105B8A"/>
    <w:rsid w:val="00106524"/>
    <w:rsid w:val="0011589E"/>
    <w:rsid w:val="00116F69"/>
    <w:rsid w:val="0012463A"/>
    <w:rsid w:val="0013049D"/>
    <w:rsid w:val="00133A1A"/>
    <w:rsid w:val="00136441"/>
    <w:rsid w:val="00136551"/>
    <w:rsid w:val="001865AB"/>
    <w:rsid w:val="00192141"/>
    <w:rsid w:val="0019776C"/>
    <w:rsid w:val="00197F80"/>
    <w:rsid w:val="001A3955"/>
    <w:rsid w:val="001C2E12"/>
    <w:rsid w:val="001E09C0"/>
    <w:rsid w:val="001E396A"/>
    <w:rsid w:val="001E5C16"/>
    <w:rsid w:val="001E7A77"/>
    <w:rsid w:val="00231912"/>
    <w:rsid w:val="002759A3"/>
    <w:rsid w:val="00286B51"/>
    <w:rsid w:val="00295F2F"/>
    <w:rsid w:val="002A00C2"/>
    <w:rsid w:val="002C3D04"/>
    <w:rsid w:val="002F2F31"/>
    <w:rsid w:val="002F6D7B"/>
    <w:rsid w:val="00312090"/>
    <w:rsid w:val="00315F8F"/>
    <w:rsid w:val="0031600C"/>
    <w:rsid w:val="003261B8"/>
    <w:rsid w:val="00326604"/>
    <w:rsid w:val="00353D2A"/>
    <w:rsid w:val="00361DD5"/>
    <w:rsid w:val="003622E6"/>
    <w:rsid w:val="003716EB"/>
    <w:rsid w:val="00374941"/>
    <w:rsid w:val="00384DB2"/>
    <w:rsid w:val="00397F77"/>
    <w:rsid w:val="003A247C"/>
    <w:rsid w:val="003A2E77"/>
    <w:rsid w:val="003B33FC"/>
    <w:rsid w:val="003C588B"/>
    <w:rsid w:val="003F30A9"/>
    <w:rsid w:val="0040074A"/>
    <w:rsid w:val="00400ACD"/>
    <w:rsid w:val="004067BA"/>
    <w:rsid w:val="0041173F"/>
    <w:rsid w:val="004210A8"/>
    <w:rsid w:val="004313B9"/>
    <w:rsid w:val="00433AD8"/>
    <w:rsid w:val="004425C1"/>
    <w:rsid w:val="00442C00"/>
    <w:rsid w:val="00454A3D"/>
    <w:rsid w:val="00475AAD"/>
    <w:rsid w:val="00477620"/>
    <w:rsid w:val="0048175A"/>
    <w:rsid w:val="004907FB"/>
    <w:rsid w:val="004A07A5"/>
    <w:rsid w:val="004B02C9"/>
    <w:rsid w:val="004C46C0"/>
    <w:rsid w:val="004C47EB"/>
    <w:rsid w:val="004E1AD4"/>
    <w:rsid w:val="004E50D7"/>
    <w:rsid w:val="00515493"/>
    <w:rsid w:val="005231C1"/>
    <w:rsid w:val="005317F1"/>
    <w:rsid w:val="005402FF"/>
    <w:rsid w:val="005469BB"/>
    <w:rsid w:val="0055059C"/>
    <w:rsid w:val="00566EE1"/>
    <w:rsid w:val="005A454A"/>
    <w:rsid w:val="005C7EC2"/>
    <w:rsid w:val="005D04D6"/>
    <w:rsid w:val="006071A7"/>
    <w:rsid w:val="0061402D"/>
    <w:rsid w:val="00622AC9"/>
    <w:rsid w:val="00625033"/>
    <w:rsid w:val="006322D3"/>
    <w:rsid w:val="0064053A"/>
    <w:rsid w:val="006452EA"/>
    <w:rsid w:val="00647219"/>
    <w:rsid w:val="00647F55"/>
    <w:rsid w:val="00683CDB"/>
    <w:rsid w:val="0069700C"/>
    <w:rsid w:val="006A567C"/>
    <w:rsid w:val="006B025E"/>
    <w:rsid w:val="006B6BC2"/>
    <w:rsid w:val="006E4949"/>
    <w:rsid w:val="007022B5"/>
    <w:rsid w:val="00715AC7"/>
    <w:rsid w:val="00725140"/>
    <w:rsid w:val="00734C80"/>
    <w:rsid w:val="00765251"/>
    <w:rsid w:val="00772C19"/>
    <w:rsid w:val="00776024"/>
    <w:rsid w:val="007874BD"/>
    <w:rsid w:val="00797D62"/>
    <w:rsid w:val="007D1F3F"/>
    <w:rsid w:val="007E14AD"/>
    <w:rsid w:val="007E3E7F"/>
    <w:rsid w:val="007F1BAB"/>
    <w:rsid w:val="007F2941"/>
    <w:rsid w:val="00845765"/>
    <w:rsid w:val="00845AD6"/>
    <w:rsid w:val="00887B87"/>
    <w:rsid w:val="008B1846"/>
    <w:rsid w:val="008C5679"/>
    <w:rsid w:val="008E3711"/>
    <w:rsid w:val="00906AE4"/>
    <w:rsid w:val="009154AF"/>
    <w:rsid w:val="00916914"/>
    <w:rsid w:val="009207B5"/>
    <w:rsid w:val="0094251E"/>
    <w:rsid w:val="00947761"/>
    <w:rsid w:val="009714DC"/>
    <w:rsid w:val="009765D3"/>
    <w:rsid w:val="009A0195"/>
    <w:rsid w:val="009C0A84"/>
    <w:rsid w:val="009C444A"/>
    <w:rsid w:val="009F5C6A"/>
    <w:rsid w:val="00A06C06"/>
    <w:rsid w:val="00A17297"/>
    <w:rsid w:val="00A27EF8"/>
    <w:rsid w:val="00A477E7"/>
    <w:rsid w:val="00A50D47"/>
    <w:rsid w:val="00A55FA1"/>
    <w:rsid w:val="00A62C73"/>
    <w:rsid w:val="00A64177"/>
    <w:rsid w:val="00A96804"/>
    <w:rsid w:val="00AB004B"/>
    <w:rsid w:val="00AB0AB2"/>
    <w:rsid w:val="00AC3E6B"/>
    <w:rsid w:val="00AE075E"/>
    <w:rsid w:val="00B251ED"/>
    <w:rsid w:val="00B31D5A"/>
    <w:rsid w:val="00B32551"/>
    <w:rsid w:val="00B42DE6"/>
    <w:rsid w:val="00B50F4D"/>
    <w:rsid w:val="00B701B9"/>
    <w:rsid w:val="00B71FC9"/>
    <w:rsid w:val="00B729BE"/>
    <w:rsid w:val="00BB0A03"/>
    <w:rsid w:val="00BB1C64"/>
    <w:rsid w:val="00BE7FAE"/>
    <w:rsid w:val="00C17243"/>
    <w:rsid w:val="00C3082C"/>
    <w:rsid w:val="00C30ED1"/>
    <w:rsid w:val="00C34C27"/>
    <w:rsid w:val="00C4535D"/>
    <w:rsid w:val="00C45CE1"/>
    <w:rsid w:val="00C67C10"/>
    <w:rsid w:val="00C71893"/>
    <w:rsid w:val="00CA3B17"/>
    <w:rsid w:val="00CE4A19"/>
    <w:rsid w:val="00D10472"/>
    <w:rsid w:val="00D10DE8"/>
    <w:rsid w:val="00D501E8"/>
    <w:rsid w:val="00D5597D"/>
    <w:rsid w:val="00D63A8B"/>
    <w:rsid w:val="00D64CEF"/>
    <w:rsid w:val="00D659AE"/>
    <w:rsid w:val="00D716A2"/>
    <w:rsid w:val="00D72F26"/>
    <w:rsid w:val="00D93D91"/>
    <w:rsid w:val="00DB1AAE"/>
    <w:rsid w:val="00DC3515"/>
    <w:rsid w:val="00DE6512"/>
    <w:rsid w:val="00DF3304"/>
    <w:rsid w:val="00E03DFC"/>
    <w:rsid w:val="00E13E53"/>
    <w:rsid w:val="00E22E1D"/>
    <w:rsid w:val="00E26191"/>
    <w:rsid w:val="00E4060C"/>
    <w:rsid w:val="00E479AB"/>
    <w:rsid w:val="00E52DC3"/>
    <w:rsid w:val="00E64E10"/>
    <w:rsid w:val="00E77D5B"/>
    <w:rsid w:val="00E8652A"/>
    <w:rsid w:val="00E87204"/>
    <w:rsid w:val="00EF321D"/>
    <w:rsid w:val="00EF5DCF"/>
    <w:rsid w:val="00F22509"/>
    <w:rsid w:val="00F334E9"/>
    <w:rsid w:val="00F4103C"/>
    <w:rsid w:val="00F43B1E"/>
    <w:rsid w:val="00F72283"/>
    <w:rsid w:val="00F75277"/>
    <w:rsid w:val="00F83474"/>
    <w:rsid w:val="00FA7D43"/>
    <w:rsid w:val="00FB427D"/>
    <w:rsid w:val="00FB7728"/>
    <w:rsid w:val="00FE306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454A"/>
    <w:rPr>
      <w:rFonts w:cs="Times New Roman" w:eastAsia="Times New Roman"/>
      <w:szCs w:val="24"/>
      <w:lang w:val="en-US"/>
    </w:rPr>
  </w:style>
  <w:style w:styleId="Naslov1" w:type="paragraph">
    <w:name w:val="heading 1"/>
    <w:basedOn w:val="Normal"/>
    <w:next w:val="Normal"/>
    <w:link w:val="Naslov1Char"/>
    <w:qFormat/>
    <w:rsid w:val="005A454A"/>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5A454A"/>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A454A"/>
    <w:rPr>
      <w:rFonts w:cs="Times New Roman" w:eastAsia="Arial Unicode MS"/>
      <w:b/>
      <w:bCs/>
      <w:szCs w:val="24"/>
      <w:lang w:eastAsia="hr-HR"/>
    </w:rPr>
  </w:style>
  <w:style w:customStyle="true" w:styleId="Naslov2Char" w:type="character">
    <w:name w:val="Naslov 2 Char"/>
    <w:basedOn w:val="Zadanifontodlomka"/>
    <w:link w:val="Naslov2"/>
    <w:semiHidden/>
    <w:rsid w:val="005A454A"/>
    <w:rPr>
      <w:rFonts w:cs="Times New Roman" w:eastAsia="Arial Unicode MS"/>
      <w:szCs w:val="20"/>
    </w:rPr>
  </w:style>
  <w:style w:customStyle="true" w:styleId="TijelotekstaChar" w:type="character">
    <w:name w:val="Tijelo teksta Char"/>
    <w:aliases w:val="uvlaka 3 Char,uvlaka 2 Char"/>
    <w:basedOn w:val="Zadanifontodlomka"/>
    <w:link w:val="Tijeloteksta"/>
    <w:locked/>
    <w:rsid w:val="005A454A"/>
    <w:rPr>
      <w:rFonts w:cs="Times New Roman" w:eastAsia="Times New Roman"/>
      <w:lang w:val="en-AU"/>
    </w:rPr>
  </w:style>
  <w:style w:styleId="Tijeloteksta" w:type="paragraph">
    <w:name w:val="Body Text"/>
    <w:aliases w:val="uvlaka 3,uvlaka 2"/>
    <w:basedOn w:val="Normal"/>
    <w:link w:val="TijelotekstaChar"/>
    <w:unhideWhenUsed/>
    <w:rsid w:val="005A454A"/>
    <w:pPr>
      <w:jc w:val="both"/>
    </w:pPr>
    <w:rPr>
      <w:szCs w:val="22"/>
      <w:lang w:val="en-AU"/>
    </w:rPr>
  </w:style>
  <w:style w:customStyle="true" w:styleId="TijelotekstaChar1" w:type="character">
    <w:name w:val="Tijelo teksta Char1"/>
    <w:basedOn w:val="Zadanifontodlomka"/>
    <w:uiPriority w:val="99"/>
    <w:semiHidden/>
    <w:rsid w:val="005A454A"/>
    <w:rPr>
      <w:rFonts w:cs="Times New Roman" w:eastAsia="Times New Roman"/>
      <w:szCs w:val="24"/>
      <w:lang w:val="en-US"/>
    </w:rPr>
  </w:style>
  <w:style w:styleId="Tekstbalonia" w:type="paragraph">
    <w:name w:val="Balloon Text"/>
    <w:basedOn w:val="Normal"/>
    <w:link w:val="TekstbaloniaChar"/>
    <w:uiPriority w:val="99"/>
    <w:semiHidden/>
    <w:unhideWhenUsed/>
    <w:rsid w:val="005A45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454A"/>
    <w:rPr>
      <w:rFonts w:cs="Tahoma" w:eastAsia="Times New Roman" w:hAnsi="Tahoma" w:ascii="Tahoma"/>
      <w:sz w:val="16"/>
      <w:szCs w:val="16"/>
      <w:lang w:val="en-US"/>
    </w:rPr>
  </w:style>
  <w:style w:styleId="Zaglavlje" w:type="paragraph">
    <w:name w:val="header"/>
    <w:basedOn w:val="Normal"/>
    <w:link w:val="ZaglavljeChar"/>
    <w:uiPriority w:val="99"/>
    <w:unhideWhenUsed/>
    <w:rsid w:val="00361DD5"/>
    <w:pPr>
      <w:tabs>
        <w:tab w:pos="4536" w:val="center"/>
        <w:tab w:pos="9072" w:val="right"/>
      </w:tabs>
    </w:pPr>
  </w:style>
  <w:style w:customStyle="true" w:styleId="ZaglavljeChar" w:type="character">
    <w:name w:val="Zaglavlje Char"/>
    <w:basedOn w:val="Zadanifontodlomka"/>
    <w:link w:val="Zaglavlje"/>
    <w:uiPriority w:val="99"/>
    <w:rsid w:val="00361DD5"/>
    <w:rPr>
      <w:rFonts w:cs="Times New Roman" w:eastAsia="Times New Roman"/>
      <w:szCs w:val="24"/>
      <w:lang w:val="en-US"/>
    </w:rPr>
  </w:style>
  <w:style w:styleId="Podnoje" w:type="paragraph">
    <w:name w:val="footer"/>
    <w:basedOn w:val="Normal"/>
    <w:link w:val="PodnojeChar"/>
    <w:uiPriority w:val="99"/>
    <w:unhideWhenUsed/>
    <w:rsid w:val="00361DD5"/>
    <w:pPr>
      <w:tabs>
        <w:tab w:pos="4536" w:val="center"/>
        <w:tab w:pos="9072" w:val="right"/>
      </w:tabs>
    </w:pPr>
  </w:style>
  <w:style w:customStyle="true" w:styleId="PodnojeChar" w:type="character">
    <w:name w:val="Podnožje Char"/>
    <w:basedOn w:val="Zadanifontodlomka"/>
    <w:link w:val="Podnoje"/>
    <w:uiPriority w:val="99"/>
    <w:rsid w:val="00361DD5"/>
    <w:rPr>
      <w:rFonts w:cs="Times New Roman" w:eastAsia="Times New Roman"/>
      <w:szCs w:val="24"/>
      <w:lang w:val="en-US"/>
    </w:rPr>
  </w:style>
  <w:style w:styleId="Bezproreda" w:type="paragraph">
    <w:name w:val="No Spacing"/>
    <w:uiPriority w:val="1"/>
    <w:qFormat/>
    <w:rsid w:val="003C588B"/>
    <w:rPr>
      <w:rFonts w:cs="Times New Roman" w:eastAsia="Times New Roman"/>
      <w:szCs w:val="24"/>
      <w:lang w:val="en-US"/>
    </w:rPr>
  </w:style>
  <w:style w:styleId="Tekstrezerviranogmjesta" w:type="character">
    <w:name w:val="Placeholder Text"/>
    <w:basedOn w:val="Zadanifontodlomka"/>
    <w:uiPriority w:val="99"/>
    <w:semiHidden/>
    <w:rsid w:val="00136551"/>
    <w:rPr>
      <w:color w:val="808080"/>
      <w:bdr w:space="0" w:sz="0" w:color="auto" w:val="none"/>
      <w:shd w:fill="auto" w:color="auto" w:val="clear"/>
    </w:rPr>
  </w:style>
  <w:style w:customStyle="true" w:styleId="eSPISCCParagraphDefaultFont" w:type="character">
    <w:name w:val="eSPIS_CC_Paragraph Default Font"/>
    <w:basedOn w:val="Zadanifontodlomka"/>
    <w:rsid w:val="00136551"/>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36551"/>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136551"/>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36551"/>
    <w:rPr>
      <w:rFonts w:cs="Times New Roman" w:hAnsi="Times New Roman" w:ascii="Times New Roman"/>
      <w:sz w:val="24"/>
      <w:bdr w:space="0" w:sz="0" w:color="auto" w:val="none"/>
      <w:shd w:fill="CCFFCC" w:color="auto" w:val="clear"/>
      <w:lang w:eastAsia="hr-HR" w:val="hr-HR"/>
    </w:rPr>
  </w:style>
  <w:style w:styleId="Odlomakpopisa" w:type="paragraph">
    <w:name w:val="List Paragraph"/>
    <w:basedOn w:val="Normal"/>
    <w:uiPriority w:val="34"/>
    <w:qFormat/>
    <w:rsid w:val="00622AC9"/>
    <w:pPr>
      <w:ind w:left="720"/>
      <w:contextualSpacing/>
    </w:pPr>
  </w:style>
  <w:style w:styleId="Reetkatablice" w:type="table">
    <w:name w:val="Table Grid"/>
    <w:basedOn w:val="Obinatablica"/>
    <w:rsid w:val="002C3D0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A454A"/>
    <w:rPr>
      <w:rFonts w:cs="Times New Roman" w:eastAsia="Times New Roman"/>
      <w:szCs w:val="24"/>
      <w:lang w:val="en-US"/>
    </w:rPr>
  </w:style>
  <w:style w:styleId="Naslov1" w:type="paragraph">
    <w:name w:val="heading 1"/>
    <w:basedOn w:val="Normal"/>
    <w:next w:val="Normal"/>
    <w:link w:val="Naslov1Char"/>
    <w:qFormat/>
    <w:rsid w:val="005A454A"/>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5A454A"/>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A454A"/>
    <w:rPr>
      <w:rFonts w:cs="Times New Roman" w:eastAsia="Arial Unicode MS"/>
      <w:b/>
      <w:bCs/>
      <w:szCs w:val="24"/>
      <w:lang w:eastAsia="hr-HR"/>
    </w:rPr>
  </w:style>
  <w:style w:customStyle="1" w:styleId="Naslov2Char" w:type="character">
    <w:name w:val="Naslov 2 Char"/>
    <w:basedOn w:val="Zadanifontodlomka"/>
    <w:link w:val="Naslov2"/>
    <w:semiHidden/>
    <w:rsid w:val="005A454A"/>
    <w:rPr>
      <w:rFonts w:cs="Times New Roman" w:eastAsia="Arial Unicode MS"/>
      <w:szCs w:val="20"/>
    </w:rPr>
  </w:style>
  <w:style w:customStyle="1" w:styleId="TijelotekstaChar" w:type="character">
    <w:name w:val="Tijelo teksta Char"/>
    <w:aliases w:val="uvlaka 3 Char,uvlaka 2 Char"/>
    <w:basedOn w:val="Zadanifontodlomka"/>
    <w:link w:val="Tijeloteksta"/>
    <w:locked/>
    <w:rsid w:val="005A454A"/>
    <w:rPr>
      <w:rFonts w:cs="Times New Roman" w:eastAsia="Times New Roman"/>
      <w:lang w:val="en-AU"/>
    </w:rPr>
  </w:style>
  <w:style w:styleId="Tijeloteksta" w:type="paragraph">
    <w:name w:val="Body Text"/>
    <w:aliases w:val="uvlaka 3,uvlaka 2"/>
    <w:basedOn w:val="Normal"/>
    <w:link w:val="TijelotekstaChar"/>
    <w:unhideWhenUsed/>
    <w:rsid w:val="005A454A"/>
    <w:pPr>
      <w:jc w:val="both"/>
    </w:pPr>
    <w:rPr>
      <w:szCs w:val="22"/>
      <w:lang w:val="en-AU"/>
    </w:rPr>
  </w:style>
  <w:style w:customStyle="1" w:styleId="TijelotekstaChar1" w:type="character">
    <w:name w:val="Tijelo teksta Char1"/>
    <w:basedOn w:val="Zadanifontodlomka"/>
    <w:uiPriority w:val="99"/>
    <w:semiHidden/>
    <w:rsid w:val="005A454A"/>
    <w:rPr>
      <w:rFonts w:cs="Times New Roman" w:eastAsia="Times New Roman"/>
      <w:szCs w:val="24"/>
      <w:lang w:val="en-US"/>
    </w:rPr>
  </w:style>
  <w:style w:styleId="Tekstbalonia" w:type="paragraph">
    <w:name w:val="Balloon Text"/>
    <w:basedOn w:val="Normal"/>
    <w:link w:val="TekstbaloniaChar"/>
    <w:uiPriority w:val="99"/>
    <w:semiHidden/>
    <w:unhideWhenUsed/>
    <w:rsid w:val="005A454A"/>
    <w:rPr>
      <w:rFonts w:ascii="Tahoma" w:cs="Tahoma" w:hAnsi="Tahoma"/>
      <w:sz w:val="16"/>
      <w:szCs w:val="16"/>
    </w:rPr>
  </w:style>
  <w:style w:customStyle="1" w:styleId="TekstbaloniaChar" w:type="character">
    <w:name w:val="Tekst balončića Char"/>
    <w:basedOn w:val="Zadanifontodlomka"/>
    <w:link w:val="Tekstbalonia"/>
    <w:uiPriority w:val="99"/>
    <w:semiHidden/>
    <w:rsid w:val="005A454A"/>
    <w:rPr>
      <w:rFonts w:ascii="Tahoma" w:cs="Tahoma" w:eastAsia="Times New Roman" w:hAnsi="Tahoma"/>
      <w:sz w:val="16"/>
      <w:szCs w:val="16"/>
      <w:lang w:val="en-US"/>
    </w:rPr>
  </w:style>
  <w:style w:styleId="Zaglavlje" w:type="paragraph">
    <w:name w:val="header"/>
    <w:basedOn w:val="Normal"/>
    <w:link w:val="ZaglavljeChar"/>
    <w:uiPriority w:val="99"/>
    <w:unhideWhenUsed/>
    <w:rsid w:val="00361DD5"/>
    <w:pPr>
      <w:tabs>
        <w:tab w:pos="4536" w:val="center"/>
        <w:tab w:pos="9072" w:val="right"/>
      </w:tabs>
    </w:pPr>
  </w:style>
  <w:style w:customStyle="1" w:styleId="ZaglavljeChar" w:type="character">
    <w:name w:val="Zaglavlje Char"/>
    <w:basedOn w:val="Zadanifontodlomka"/>
    <w:link w:val="Zaglavlje"/>
    <w:uiPriority w:val="99"/>
    <w:rsid w:val="00361DD5"/>
    <w:rPr>
      <w:rFonts w:cs="Times New Roman" w:eastAsia="Times New Roman"/>
      <w:szCs w:val="24"/>
      <w:lang w:val="en-US"/>
    </w:rPr>
  </w:style>
  <w:style w:styleId="Podnoje" w:type="paragraph">
    <w:name w:val="footer"/>
    <w:basedOn w:val="Normal"/>
    <w:link w:val="PodnojeChar"/>
    <w:uiPriority w:val="99"/>
    <w:unhideWhenUsed/>
    <w:rsid w:val="00361DD5"/>
    <w:pPr>
      <w:tabs>
        <w:tab w:pos="4536" w:val="center"/>
        <w:tab w:pos="9072" w:val="right"/>
      </w:tabs>
    </w:pPr>
  </w:style>
  <w:style w:customStyle="1" w:styleId="PodnojeChar" w:type="character">
    <w:name w:val="Podnožje Char"/>
    <w:basedOn w:val="Zadanifontodlomka"/>
    <w:link w:val="Podnoje"/>
    <w:uiPriority w:val="99"/>
    <w:rsid w:val="00361DD5"/>
    <w:rPr>
      <w:rFonts w:cs="Times New Roman" w:eastAsia="Times New Roman"/>
      <w:szCs w:val="24"/>
      <w:lang w:val="en-US"/>
    </w:rPr>
  </w:style>
  <w:style w:styleId="Bezproreda" w:type="paragraph">
    <w:name w:val="No Spacing"/>
    <w:uiPriority w:val="1"/>
    <w:qFormat/>
    <w:rsid w:val="003C588B"/>
    <w:rPr>
      <w:rFonts w:cs="Times New Roman" w:eastAsia="Times New Roman"/>
      <w:szCs w:val="24"/>
      <w:lang w:val="en-US"/>
    </w:rPr>
  </w:style>
  <w:style w:styleId="Tekstrezerviranogmjesta" w:type="character">
    <w:name w:val="Placeholder Text"/>
    <w:basedOn w:val="Zadanifontodlomka"/>
    <w:uiPriority w:val="99"/>
    <w:semiHidden/>
    <w:rsid w:val="00136551"/>
    <w:rPr>
      <w:color w:val="808080"/>
      <w:bdr w:color="auto" w:space="0" w:sz="0" w:val="none"/>
      <w:shd w:color="auto" w:fill="auto" w:val="clear"/>
    </w:rPr>
  </w:style>
  <w:style w:customStyle="1" w:styleId="eSPISCCParagraphDefaultFont" w:type="character">
    <w:name w:val="eSPIS_CC_Paragraph Default Font"/>
    <w:basedOn w:val="Zadanifontodlomka"/>
    <w:rsid w:val="00136551"/>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36551"/>
    <w:rPr>
      <w:bdr w:color="auto" w:space="0" w:sz="0" w:val="none"/>
      <w:shd w:color="auto" w:fill="FFFFCC" w:val="clear"/>
      <w:lang w:eastAsia="hr-HR" w:val="hr-HR"/>
    </w:rPr>
  </w:style>
  <w:style w:customStyle="1" w:styleId="PozadinaSvijetloCrvena" w:type="character">
    <w:name w:val="Pozadina_SvijetloCrvena"/>
    <w:basedOn w:val="eSPISCCParagraphDefaultFont"/>
    <w:rsid w:val="00136551"/>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36551"/>
    <w:rPr>
      <w:rFonts w:ascii="Times New Roman" w:cs="Times New Roman" w:hAnsi="Times New Roman"/>
      <w:sz w:val="24"/>
      <w:bdr w:color="auto" w:space="0" w:sz="0" w:val="none"/>
      <w:shd w:color="auto" w:fill="CCFFCC" w:val="clear"/>
      <w:lang w:eastAsia="hr-HR" w:val="hr-HR"/>
    </w:rPr>
  </w:style>
  <w:style w:styleId="Odlomakpopisa" w:type="paragraph">
    <w:name w:val="List Paragraph"/>
    <w:basedOn w:val="Normal"/>
    <w:uiPriority w:val="34"/>
    <w:qFormat/>
    <w:rsid w:val="00622AC9"/>
    <w:pPr>
      <w:ind w:left="720"/>
      <w:contextualSpacing/>
    </w:pPr>
  </w:style>
  <w:style w:styleId="Reetkatablice" w:type="table">
    <w:name w:val="Table Grid"/>
    <w:basedOn w:val="Obinatablica"/>
    <w:rsid w:val="002C3D0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1492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1157</izvorni_sadrzaj>
    <derivirana_varijabla naziv="DomainObject.Predmet.Broj_1">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2017.</izvorni_sadrzaj>
    <derivirana_varijabla naziv="DomainObject.Predmet.DatumOsnivanja_1">13.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St-1157/2017</izvorni_sadrzaj>
    <derivirana_varijabla naziv="DomainObject.Predmet.OznakaBroj_1">St-1157/2017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MALEX SISTEM d.o.o. za trgovinu i ugostiteljstvo</izvorni_sadrzaj>
    <derivirana_varijabla naziv="DomainObject.Predmet.ProtustrankaFormated_1">  Stečajna masa iza MALEX SISTEM d.o.o. za trgovinu i ugostiteljstvo</derivirana_varijabla>
  </DomainObject.Predmet.ProtustrankaFormated>
  <DomainObject.Predmet.ProtustrankaFormatedOIB>
    <izvorni_sadrzaj>  Stečajna masa iza MALEX SISTEM d.o.o. za trgovinu i ugostiteljstvo, OIB 10000000000</izvorni_sadrzaj>
    <derivirana_varijabla naziv="DomainObject.Predmet.ProtustrankaFormatedOIB_1">  Stečajna masa iza MALEX SISTEM d.o.o. za trgovinu i ugostiteljstvo, OIB 10000000000</derivirana_varijabla>
  </DomainObject.Predmet.ProtustrankaFormatedOIB>
  <DomainObject.Predmet.ProtustrankaFormatedWithAdress>
    <izvorni_sadrzaj> Stečajna masa iza MALEX SISTEM d.o.o. za trgovinu i ugostiteljstvo, Ulica Kralja Tomislava 13, 21260 Imotski</izvorni_sadrzaj>
    <derivirana_varijabla naziv="DomainObject.Predmet.ProtustrankaFormatedWithAdress_1"> Stečajna masa iza MALEX SISTEM d.o.o. za trgovinu i ugostiteljstvo, Ulica Kralja Tomislava 13, 21260 Imotski</derivirana_varijabla>
  </DomainObject.Predmet.ProtustrankaFormatedWithAdress>
  <DomainObject.Predmet.ProtustrankaFormatedWithAdressOIB>
    <izvorni_sadrzaj> Stečajna masa iza MALEX SISTEM d.o.o. za trgovinu i ugostiteljstvo, OIB 10000000000, Ulica Kralja Tomislava 13, 21260 Imotski</izvorni_sadrzaj>
    <derivirana_varijabla naziv="DomainObject.Predmet.ProtustrankaFormatedWithAdressOIB_1"> Stečajna masa iza MALEX SISTEM d.o.o. za trgovinu i ugostiteljstvo, OIB 10000000000, Ulica Kralja Tomislava 13, 21260 Imotski</derivirana_varijabla>
  </DomainObject.Predmet.ProtustrankaFormatedWithAdressOIB>
  <DomainObject.Predmet.ProtustrankaWithAdress>
    <izvorni_sadrzaj>Stečajna masa iza MALEX SISTEM d.o.o. za trgovinu i ugostiteljstvo Ulica Kralja Tomislava 13, 21260 Imotski</izvorni_sadrzaj>
    <derivirana_varijabla naziv="DomainObject.Predmet.ProtustrankaWithAdress_1">Stečajna masa iza MALEX SISTEM d.o.o. za trgovinu i ugostiteljstvo Ulica Kralja Tomislava 13, 21260 Imotski</derivirana_varijabla>
  </DomainObject.Predmet.ProtustrankaWithAdress>
  <DomainObject.Predmet.ProtustrankaWithAdressOIB>
    <izvorni_sadrzaj>Stečajna masa iza MALEX SISTEM d.o.o. za trgovinu i ugostiteljstvo, OIB 10000000000, Ulica Kralja Tomislava 13, 21260 Imotski</izvorni_sadrzaj>
    <derivirana_varijabla naziv="DomainObject.Predmet.ProtustrankaWithAdressOIB_1">Stečajna masa iza MALEX SISTEM d.o.o. za trgovinu i ugostiteljstvo, OIB 10000000000, Ulica Kralja Tomislava 13, 21260 Imotski</derivirana_varijabla>
  </DomainObject.Predmet.ProtustrankaWithAdressOIB>
  <DomainObject.Predmet.ProtustrankaNazivFormated>
    <izvorni_sadrzaj>Stečajna masa iza MALEX SISTEM d.o.o. za trgovinu i ugostiteljstvo</izvorni_sadrzaj>
    <derivirana_varijabla naziv="DomainObject.Predmet.ProtustrankaNazivFormated_1">Stečajna masa iza MALEX SISTEM d.o.o. za trgovinu i ugostiteljstvo</derivirana_varijabla>
  </DomainObject.Predmet.ProtustrankaNazivFormated>
  <DomainObject.Predmet.ProtustrankaNazivFormatedOIB>
    <izvorni_sadrzaj>Stečajna masa iza MALEX SISTEM d.o.o. za trgovinu i ugostiteljstvo, OIB 10000000000</izvorni_sadrzaj>
    <derivirana_varijabla naziv="DomainObject.Predmet.ProtustrankaNazivFormatedOIB_1">Stečajna masa iza MALEX SISTEM d.o.o. za trgovinu i ugostiteljstvo,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MALEX SISTEM d.o.o. za trgovinu i ugostiteljstvo</item>
    </izvorni_sadrzaj>
    <derivirana_varijabla naziv="DomainObject.Predmet.ProtuStrankaListFormated_1">
      <item>Stečajna masa iza MALEX SISTEM d.o.o. za trgovinu i ugostiteljstvo</item>
    </derivirana_varijabla>
  </DomainObject.Predmet.ProtuStrankaListFormated>
  <DomainObject.Predmet.ProtuStrankaListFormatedOIB>
    <izvorni_sadrzaj>
      <item>Stečajna masa iza MALEX SISTEM d.o.o. za trgovinu i ugostiteljstvo, OIB 10000000000</item>
    </izvorni_sadrzaj>
    <derivirana_varijabla naziv="DomainObject.Predmet.ProtuStrankaListFormatedOIB_1">
      <item>Stečajna masa iza MALEX SISTEM d.o.o. za trgovinu i ugostiteljstvo, OIB 10000000000</item>
    </derivirana_varijabla>
  </DomainObject.Predmet.ProtuStrankaListFormatedOIB>
  <DomainObject.Predmet.ProtuStrankaListFormatedWithAdress>
    <izvorni_sadrzaj>
      <item>Stečajna masa iza MALEX SISTEM d.o.o. za trgovinu i ugostiteljstvo, Ulica Kralja Tomislava 13, 21260 Imotski</item>
    </izvorni_sadrzaj>
    <derivirana_varijabla naziv="DomainObject.Predmet.ProtuStrankaListFormatedWithAdress_1">
      <item>Stečajna masa iza MALEX SISTEM d.o.o. za trgovinu i ugostiteljstvo, Ulica Kralja Tomislava 13, 21260 Imotski</item>
    </derivirana_varijabla>
  </DomainObject.Predmet.ProtuStrankaListFormatedWithAdress>
  <DomainObject.Predmet.ProtuStrankaListFormatedWithAdressOIB>
    <izvorni_sadrzaj>
      <item>Stečajna masa iza MALEX SISTEM d.o.o. za trgovinu i ugostiteljstvo, OIB 10000000000, Ulica Kralja Tomislava 13, 21260 Imotski</item>
    </izvorni_sadrzaj>
    <derivirana_varijabla naziv="DomainObject.Predmet.ProtuStrankaListFormatedWithAdressOIB_1">
      <item>Stečajna masa iza MALEX SISTEM d.o.o. za trgovinu i ugostiteljstvo, OIB 10000000000, Ulica Kralja Tomislava 13, 21260 Imotski</item>
    </derivirana_varijabla>
  </DomainObject.Predmet.ProtuStrankaListFormatedWithAdressOIB>
  <DomainObject.Predmet.ProtuStrankaListNazivFormated>
    <izvorni_sadrzaj>
      <item>Stečajna masa iza MALEX SISTEM d.o.o. za trgovinu i ugostiteljstvo</item>
    </izvorni_sadrzaj>
    <derivirana_varijabla naziv="DomainObject.Predmet.ProtuStrankaListNazivFormated_1">
      <item>Stečajna masa iza MALEX SISTEM d.o.o. za trgovinu i ugostiteljstvo</item>
    </derivirana_varijabla>
  </DomainObject.Predmet.ProtuStrankaListNazivFormated>
  <DomainObject.Predmet.ProtuStrankaListNazivFormatedOIB>
    <izvorni_sadrzaj>
      <item>Stečajna masa iza MALEX SISTEM d.o.o. za trgovinu i ugostiteljstvo, OIB 10000000000</item>
    </izvorni_sadrzaj>
    <derivirana_varijabla naziv="DomainObject.Predmet.ProtuStrankaListNazivFormatedOIB_1">
      <item>Stečajna masa iza MALEX SISTEM d.o.o. za trgovinu i ugostiteljstvo,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MALEX SISTEM d.o.o. za trgovinu i ugostiteljstvo</izvorni_sadrzaj>
    <derivirana_varijabla naziv="DomainObject.Predmet.ProtustrankaIDrugi_1">Stečajna masa iza MALEX SISTEM d.o.o. za trgovinu i ugostiteljstvo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MALEX SISTEM d.o.o. za trgovinu i ugostiteljstvo, OIB 10000000000, Ulica Kralja Tomislava 13, 21260 Imotski</izvorni_sadrzaj>
    <derivirana_varijabla naziv="DomainObject.Predmet.ProtustrankaIDrugiAdressOIB_1">Stečajna masa iza MALEX SISTEM d.o.o. za trgovinu i ugostiteljstvo, OIB 10000000000, Ulica Kralja Tomislava 13,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MALEX SISTEM d.o.o. za trgovinu i ugostiteljstvo</item>
    </izvorni_sadrzaj>
    <derivirana_varijabla naziv="DomainObject.Predmet.SudioniciListNaziv_1">
      <item>Stečajna masa iza MALEX SISTEM d.o.o. za trgovinu i ugostiteljstvo</item>
    </derivirana_varijabla>
  </DomainObject.Predmet.SudioniciListNaziv>
  <DomainObject.Predmet.SudioniciListAdressOIB>
    <izvorni_sadrzaj>
      <item>Stečajna masa iza MALEX SISTEM d.o.o. za trgovinu i ugostiteljstvo, OIB 10000000000, Ulica Kralja Tomislava 13,21260 Imotski</item>
    </izvorni_sadrzaj>
    <derivirana_varijabla naziv="DomainObject.Predmet.SudioniciListAdressOIB_1">
      <item>Stečajna masa iza MALEX SISTEM d.o.o. za trgovinu i ugostiteljstvo, OIB 10000000000, Ulica Kralja Tomislava 13,21260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zvorni_sadrzaj>
    <derivirana_varijabla naziv="DomainObject.Predmet.SudioniciListNazivOIB_1">
      <item>, OIB 10000000000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ADA9B7-8143-4208-9E12-E8B42193BD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1563</properties:Words>
  <properties:Characters>8555</properties:Characters>
  <properties:Lines>163</properties:Lines>
  <properties:Paragraphs>50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2018-04-16T07:32:00Z</dcterms:created>
  <dc:creator>Jadranko Basić</dc:creator>
  <cp:lastModifiedBy>Ana Golub Gruić</cp:lastModifiedBy>
  <cp:lastPrinted>2018-04-18T06:25:00Z</cp:lastPrinted>
  <dcterms:modified xmlns:xsi="http://www.w3.org/2001/XMLSchema-instance" xsi:type="dcterms:W3CDTF">2018-04-18T06:38:00Z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(A-St-1157-2017 Malex sistem - rješenje - odbija se nastavak - steč. upr.docx)</vt:lpwstr>
  </prop:property>
  <prop:property name="CC_coloring" pid="4" fmtid="{D5CDD505-2E9C-101B-9397-08002B2CF9AE}">
    <vt:bool>false</vt:bool>
  </prop:property>
  <prop:property name="BrojStranica" pid="5" fmtid="{D5CDD505-2E9C-101B-9397-08002B2CF9AE}">
    <vt:i4>4</vt:i4>
  </prop:property>
</prop:Properties>
</file>