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9f6876" w14:paraId="49f6876" w:rsidRDefault="00AE61AA" w:rsidP="00AE61AA" w:rsidR="00AE61AA" w:rsidRPr="00282E62">
      <w:pPr>
        <w:tabs>
          <w:tab w:pos="1830" w:val="left"/>
        </w:tabs>
        <w:spacing w:lineRule="auto" w:line="240" w:after="0" w:before="100"/>
        <w15:collapsed w:val="false"/>
        <w:rPr>
          <w:rFonts w:cs="Times New Roman" w:eastAsia="Times New Roman" w:hAnsi="Times New Roman" w:ascii="Times New Roman"/>
          <w:b/>
          <w:sz w:val="24"/>
          <w:szCs w:val="24"/>
          <w:lang w:eastAsia="hr-HR"/>
        </w:rPr>
      </w:pPr>
      <w:bookmarkStart w:name="_GoBack" w:id="0"/>
      <w:bookmarkEnd w:id="0"/>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sidRPr="00282E62">
        <w:rPr>
          <w:rFonts w:cs="Times New Roman" w:eastAsia="Times New Roman" w:hAnsi="Times New Roman" w:ascii="Times New Roman"/>
          <w:b/>
          <w:sz w:val="24"/>
          <w:szCs w:val="24"/>
          <w:lang w:eastAsia="hr-HR"/>
        </w:rPr>
        <w:t>1.Stpn-35/201</w:t>
      </w:r>
      <w:r w:rsidR="00282E62">
        <w:rPr>
          <w:rFonts w:cs="Times New Roman" w:eastAsia="Times New Roman" w:hAnsi="Times New Roman" w:ascii="Times New Roman"/>
          <w:b/>
          <w:sz w:val="24"/>
          <w:szCs w:val="24"/>
          <w:lang w:eastAsia="hr-HR"/>
        </w:rPr>
        <w:t>5</w:t>
      </w:r>
    </w:p>
    <w:p w:rsidRDefault="00AE61AA" w:rsidP="00AE61AA" w:rsidR="00AE61AA">
      <w:pPr>
        <w:tabs>
          <w:tab w:pos="1830" w:val="left"/>
        </w:tabs>
        <w:spacing w:lineRule="auto" w:line="240" w:after="0" w:before="100"/>
        <w:rPr>
          <w:rFonts w:cs="Times New Roman" w:eastAsia="Times New Roman" w:hAnsi="Times New Roman" w:ascii="Times New Roman"/>
          <w:sz w:val="24"/>
          <w:szCs w:val="24"/>
          <w:lang w:eastAsia="hr-HR"/>
        </w:rPr>
      </w:pPr>
      <w:r>
        <w:rPr>
          <w:rFonts w:cs="Times New Roman" w:eastAsia="Times New Roman" w:hAnsi="Times New Roman" w:ascii="Times New Roman"/>
          <w:noProof/>
          <w:sz w:val="24"/>
          <w:szCs w:val="24"/>
          <w:lang w:eastAsia="hr-HR"/>
        </w:rPr>
        <w:drawing>
          <wp:inline distR="0" distL="0" distB="0" distT="0">
            <wp:extent cy="960203" cx="719390"/>
            <wp:effectExtent b="0" r="5080" t="0" l="0"/>
            <wp:docPr name="Slika 1" id="1"/>
            <wp:cNvGraphicFramePr>
              <a:graphicFrameLocks noChangeAspect="true"/>
            </wp:cNvGraphicFramePr>
            <a:graphic>
              <a:graphicData uri="http://schemas.openxmlformats.org/drawingml/2006/picture">
                <pic:pic>
                  <pic:nvPicPr>
                    <pic:cNvPr name="Grb_RH.png" id="0"/>
                    <pic:cNvPicPr/>
                  </pic:nvPicPr>
                  <pic:blipFill>
                    <a:blip r:embed="rId7"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0203" cx="719390"/>
                    </a:xfrm>
                    <a:prstGeom prst="rect">
                      <a:avLst/>
                    </a:prstGeom>
                  </pic:spPr>
                </pic:pic>
              </a:graphicData>
            </a:graphic>
          </wp:inline>
        </w:drawing>
      </w:r>
    </w:p>
    <w:p w:rsidRDefault="00AE61AA" w:rsidP="00AE61AA" w:rsidR="00AE61AA" w:rsidRPr="00282E62">
      <w:pPr>
        <w:tabs>
          <w:tab w:pos="1830" w:val="left"/>
        </w:tabs>
        <w:spacing w:lineRule="auto" w:line="240" w:after="0" w:before="100"/>
        <w:rPr>
          <w:rFonts w:cs="Times New Roman" w:eastAsia="Times New Roman" w:hAnsi="Times New Roman" w:ascii="Times New Roman"/>
          <w:b/>
          <w:sz w:val="24"/>
          <w:szCs w:val="24"/>
          <w:lang w:eastAsia="hr-HR"/>
        </w:rPr>
      </w:pPr>
      <w:r w:rsidRPr="00282E62">
        <w:rPr>
          <w:rFonts w:cs="Times New Roman" w:eastAsia="Times New Roman" w:hAnsi="Times New Roman" w:ascii="Times New Roman"/>
          <w:b/>
          <w:sz w:val="24"/>
          <w:szCs w:val="24"/>
          <w:lang w:eastAsia="hr-HR"/>
        </w:rPr>
        <w:t>REPUBLIKA HRVATSKA</w:t>
      </w:r>
      <w:r w:rsidRPr="00282E62">
        <w:rPr>
          <w:rFonts w:cs="Times New Roman" w:eastAsia="Times New Roman" w:hAnsi="Times New Roman" w:ascii="Times New Roman"/>
          <w:b/>
          <w:sz w:val="24"/>
          <w:szCs w:val="24"/>
          <w:lang w:eastAsia="hr-HR"/>
        </w:rPr>
        <w:tab/>
      </w:r>
      <w:r w:rsidRPr="00282E62">
        <w:rPr>
          <w:rFonts w:cs="Times New Roman" w:eastAsia="Times New Roman" w:hAnsi="Times New Roman" w:ascii="Times New Roman"/>
          <w:b/>
          <w:sz w:val="24"/>
          <w:szCs w:val="24"/>
          <w:lang w:eastAsia="hr-HR"/>
        </w:rPr>
        <w:tab/>
      </w:r>
      <w:r w:rsidRPr="00282E62">
        <w:rPr>
          <w:rFonts w:cs="Times New Roman" w:eastAsia="Times New Roman" w:hAnsi="Times New Roman" w:ascii="Times New Roman"/>
          <w:b/>
          <w:sz w:val="24"/>
          <w:szCs w:val="24"/>
          <w:lang w:eastAsia="hr-HR"/>
        </w:rPr>
        <w:tab/>
      </w:r>
      <w:r w:rsidRPr="00282E62">
        <w:rPr>
          <w:rFonts w:cs="Times New Roman" w:eastAsia="Times New Roman" w:hAnsi="Times New Roman" w:ascii="Times New Roman"/>
          <w:b/>
          <w:sz w:val="24"/>
          <w:szCs w:val="24"/>
          <w:lang w:eastAsia="hr-HR"/>
        </w:rPr>
        <w:tab/>
      </w:r>
      <w:r w:rsidRPr="00282E62">
        <w:rPr>
          <w:rFonts w:cs="Times New Roman" w:eastAsia="Times New Roman" w:hAnsi="Times New Roman" w:ascii="Times New Roman"/>
          <w:b/>
          <w:sz w:val="24"/>
          <w:szCs w:val="24"/>
          <w:lang w:eastAsia="hr-HR"/>
        </w:rPr>
        <w:tab/>
      </w:r>
      <w:r w:rsidRPr="00282E62">
        <w:rPr>
          <w:rFonts w:cs="Times New Roman" w:eastAsia="Times New Roman" w:hAnsi="Times New Roman" w:ascii="Times New Roman"/>
          <w:b/>
          <w:sz w:val="24"/>
          <w:szCs w:val="24"/>
          <w:lang w:eastAsia="hr-HR"/>
        </w:rPr>
        <w:tab/>
      </w:r>
    </w:p>
    <w:p w:rsidRDefault="00AE61AA" w:rsidP="00AE61AA" w:rsidR="00AE61AA" w:rsidRPr="00282E62">
      <w:pPr>
        <w:spacing w:lineRule="auto" w:line="240" w:after="0"/>
        <w:rPr>
          <w:rFonts w:cs="Times New Roman" w:eastAsia="Times New Roman" w:hAnsi="Times New Roman" w:ascii="Times New Roman"/>
          <w:b/>
          <w:sz w:val="24"/>
          <w:szCs w:val="24"/>
          <w:lang w:eastAsia="hr-HR"/>
        </w:rPr>
      </w:pPr>
      <w:r w:rsidRPr="00282E62">
        <w:rPr>
          <w:rFonts w:cs="Times New Roman" w:eastAsia="Times New Roman" w:hAnsi="Times New Roman" w:ascii="Times New Roman"/>
          <w:b/>
          <w:sz w:val="24"/>
          <w:szCs w:val="24"/>
          <w:lang w:eastAsia="hr-HR"/>
        </w:rPr>
        <w:t>TRGOVAČKI SUD U SPLITU</w:t>
      </w:r>
    </w:p>
    <w:p w:rsidRDefault="00AE61AA" w:rsidP="00AE61AA" w:rsidR="00AE61AA">
      <w:pPr>
        <w:spacing w:lineRule="auto" w:line="240" w:after="0"/>
        <w:rPr>
          <w:rFonts w:cs="Times New Roman" w:hAnsi="Times New Roman" w:ascii="Times New Roman"/>
          <w:b/>
          <w:sz w:val="24"/>
          <w:szCs w:val="24"/>
        </w:rPr>
      </w:pPr>
      <w:r w:rsidRPr="00282E62">
        <w:rPr>
          <w:rFonts w:cs="Times New Roman" w:hAnsi="Times New Roman" w:ascii="Times New Roman"/>
          <w:b/>
          <w:sz w:val="24"/>
          <w:szCs w:val="24"/>
        </w:rPr>
        <w:t xml:space="preserve">Split, </w:t>
      </w:r>
      <w:proofErr w:type="spellStart"/>
      <w:r w:rsidRPr="00282E62">
        <w:rPr>
          <w:rFonts w:cs="Times New Roman" w:hAnsi="Times New Roman" w:ascii="Times New Roman"/>
          <w:b/>
          <w:sz w:val="24"/>
          <w:szCs w:val="24"/>
        </w:rPr>
        <w:t>Sukoišanska</w:t>
      </w:r>
      <w:proofErr w:type="spellEnd"/>
      <w:r w:rsidRPr="00282E62">
        <w:rPr>
          <w:rFonts w:cs="Times New Roman" w:hAnsi="Times New Roman" w:ascii="Times New Roman"/>
          <w:b/>
          <w:sz w:val="24"/>
          <w:szCs w:val="24"/>
        </w:rPr>
        <w:t xml:space="preserve"> 6</w:t>
      </w:r>
    </w:p>
    <w:p w:rsidRDefault="00282E62" w:rsidP="00AE61AA" w:rsidR="00282E62" w:rsidRPr="00282E62">
      <w:pPr>
        <w:spacing w:lineRule="auto" w:line="240" w:after="0"/>
        <w:rPr>
          <w:rFonts w:cs="Times New Roman" w:hAnsi="Times New Roman" w:ascii="Times New Roman"/>
          <w:b/>
          <w:sz w:val="24"/>
          <w:szCs w:val="24"/>
        </w:rPr>
      </w:pPr>
    </w:p>
    <w:p w:rsidRDefault="00AE61AA" w:rsidP="00AE61AA" w:rsidR="00AE61AA" w:rsidRPr="00282E62">
      <w:pPr>
        <w:spacing w:before="160"/>
        <w:jc w:val="center"/>
        <w:rPr>
          <w:rFonts w:cs="Times New Roman" w:hAnsi="Times New Roman" w:ascii="Times New Roman"/>
          <w:b/>
          <w:sz w:val="24"/>
          <w:szCs w:val="24"/>
        </w:rPr>
      </w:pPr>
      <w:r w:rsidRPr="00282E62">
        <w:rPr>
          <w:rFonts w:cs="Times New Roman" w:hAnsi="Times New Roman" w:ascii="Times New Roman"/>
          <w:b/>
          <w:sz w:val="24"/>
          <w:szCs w:val="24"/>
        </w:rPr>
        <w:t>R E P U B L I K A  H R V A T S K A</w:t>
      </w:r>
    </w:p>
    <w:p w:rsidRDefault="00282E62" w:rsidP="00AE61AA" w:rsidR="00AE61AA" w:rsidRPr="00282E62">
      <w:pPr>
        <w:spacing w:lineRule="auto" w:line="240" w:before="200"/>
        <w:jc w:val="center"/>
        <w:rPr>
          <w:rFonts w:cs="Times New Roman" w:hAnsi="Times New Roman" w:ascii="Times New Roman"/>
          <w:b/>
          <w:sz w:val="24"/>
          <w:szCs w:val="24"/>
        </w:rPr>
      </w:pPr>
      <w:r>
        <w:rPr>
          <w:rFonts w:cs="Times New Roman" w:hAnsi="Times New Roman" w:ascii="Times New Roman"/>
          <w:b/>
          <w:sz w:val="24"/>
          <w:szCs w:val="24"/>
        </w:rPr>
        <w:t>R J E Š E NJ</w:t>
      </w:r>
      <w:r w:rsidR="00AE61AA" w:rsidRPr="00282E62">
        <w:rPr>
          <w:rFonts w:cs="Times New Roman" w:hAnsi="Times New Roman" w:ascii="Times New Roman"/>
          <w:b/>
          <w:sz w:val="24"/>
          <w:szCs w:val="24"/>
        </w:rPr>
        <w:t xml:space="preserve"> E</w:t>
      </w:r>
    </w:p>
    <w:tbl>
      <w:tblPr>
        <w:tblW w:type="auto" w:w="0"/>
        <w:tblCellSpacing w:type="dxa" w:w="15"/>
        <w:tblInd w:type="dxa" w:w="85"/>
        <w:shd w:fill="F8F8F8" w:color="auto" w:val="clear"/>
        <w:tblCellMar>
          <w:left w:type="dxa" w:w="0"/>
          <w:right w:type="dxa" w:w="0"/>
        </w:tblCellMar>
        <w:tblLook w:val="04A0" w:noVBand="1" w:noHBand="0" w:lastColumn="0" w:firstColumn="1" w:lastRow="0" w:firstRow="1"/>
      </w:tblPr>
      <w:tblGrid>
        <w:gridCol w:w="151"/>
      </w:tblGrid>
      <w:tr w:rsidTr="00AE61AA" w:rsidR="00AE61AA">
        <w:trPr>
          <w:tblCellSpacing w:type="dxa" w:w="15"/>
        </w:trPr>
        <w:tc>
          <w:tcPr>
            <w:tcW w:type="auto" w:w="0"/>
            <w:shd w:fill="F8F8F8" w:color="auto" w:val="clear"/>
            <w:tcMar>
              <w:top w:type="dxa" w:w="0"/>
              <w:left w:type="dxa" w:w="0"/>
              <w:bottom w:type="dxa" w:w="0"/>
              <w:right w:type="dxa" w:w="85"/>
            </w:tcMar>
            <w:hideMark/>
          </w:tcPr>
          <w:p w:rsidRDefault="00AE61AA" w:rsidR="00AE61AA">
            <w:pPr>
              <w:rPr>
                <w:rFonts w:cs="Times New Roman"/>
              </w:rPr>
            </w:pPr>
          </w:p>
        </w:tc>
      </w:tr>
    </w:tbl>
    <w:p w:rsidRDefault="00AE61AA" w:rsidP="00282E62" w:rsidR="00AE61AA" w:rsidRPr="00282E62">
      <w:pPr>
        <w:pStyle w:val="Bezproreda"/>
        <w:ind w:firstLine="708"/>
        <w:rPr>
          <w:rFonts w:cs="Times New Roman" w:hAnsi="Times New Roman" w:ascii="Times New Roman"/>
          <w:sz w:val="24"/>
          <w:szCs w:val="24"/>
        </w:rPr>
      </w:pPr>
      <w:r w:rsidRPr="00282E62">
        <w:rPr>
          <w:rFonts w:cs="Times New Roman" w:hAnsi="Times New Roman" w:ascii="Times New Roman"/>
          <w:sz w:val="24"/>
          <w:szCs w:val="24"/>
        </w:rPr>
        <w:t xml:space="preserve">Trgovački sud u Splitu po sucu ovog suda Velimiru Vuković, kao stečajnom sucu, postupajući po  prijedlogu dužnika IVICE ČOPAC, </w:t>
      </w:r>
      <w:proofErr w:type="spellStart"/>
      <w:r w:rsidRPr="00282E62">
        <w:rPr>
          <w:rFonts w:cs="Times New Roman" w:hAnsi="Times New Roman" w:ascii="Times New Roman"/>
          <w:sz w:val="24"/>
          <w:szCs w:val="24"/>
        </w:rPr>
        <w:t>vl</w:t>
      </w:r>
      <w:proofErr w:type="spellEnd"/>
      <w:r w:rsidRPr="00282E62">
        <w:rPr>
          <w:rFonts w:cs="Times New Roman" w:hAnsi="Times New Roman" w:ascii="Times New Roman"/>
          <w:sz w:val="24"/>
          <w:szCs w:val="24"/>
        </w:rPr>
        <w:t xml:space="preserve">. obrta PUTZ-ESTIH, Dugi Rat, Put Kruga 19, OIB: 62845505863 za sklapanje </w:t>
      </w:r>
      <w:proofErr w:type="spellStart"/>
      <w:r w:rsidRPr="00282E62">
        <w:rPr>
          <w:rFonts w:cs="Times New Roman" w:hAnsi="Times New Roman" w:ascii="Times New Roman"/>
          <w:sz w:val="24"/>
          <w:szCs w:val="24"/>
        </w:rPr>
        <w:t>predstečajne</w:t>
      </w:r>
      <w:proofErr w:type="spellEnd"/>
      <w:r w:rsidRPr="00282E62">
        <w:rPr>
          <w:rFonts w:cs="Times New Roman" w:hAnsi="Times New Roman" w:ascii="Times New Roman"/>
          <w:sz w:val="24"/>
          <w:szCs w:val="24"/>
        </w:rPr>
        <w:t xml:space="preserve"> nagodbe, dana 30. kolovoza  2016. </w:t>
      </w:r>
    </w:p>
    <w:p w:rsidRDefault="00AE61AA" w:rsidP="00AE61AA" w:rsidR="00AE61AA">
      <w:pPr>
        <w:spacing w:after="230" w:before="230"/>
        <w:jc w:val="center"/>
        <w:rPr>
          <w:rFonts w:cs="Times New Roman" w:hAnsi="Times New Roman" w:ascii="Times New Roman"/>
          <w:sz w:val="24"/>
          <w:szCs w:val="24"/>
        </w:rPr>
      </w:pPr>
      <w:r>
        <w:rPr>
          <w:rFonts w:cs="Times New Roman" w:hAnsi="Times New Roman" w:ascii="Times New Roman"/>
          <w:sz w:val="24"/>
          <w:szCs w:val="24"/>
        </w:rPr>
        <w:t>r i j e š i o    j e</w:t>
      </w:r>
    </w:p>
    <w:p w:rsidRDefault="00AE61AA" w:rsidP="00AE61AA" w:rsidR="00AE61AA">
      <w:pPr>
        <w:spacing w:lineRule="auto" w:line="240" w:after="0"/>
        <w:ind w:firstLine="708"/>
        <w:jc w:val="both"/>
        <w:rPr>
          <w:rFonts w:cs="Times New Roman" w:hAnsi="Times New Roman" w:ascii="Times New Roman"/>
          <w:sz w:val="24"/>
          <w:szCs w:val="24"/>
        </w:rPr>
      </w:pPr>
      <w:r>
        <w:rPr>
          <w:rFonts w:cs="Times New Roman" w:hAnsi="Times New Roman" w:ascii="Times New Roman"/>
          <w:sz w:val="24"/>
          <w:szCs w:val="24"/>
        </w:rPr>
        <w:t xml:space="preserve">Prijedlog dužnika IVICE ČOPAC, </w:t>
      </w:r>
      <w:proofErr w:type="spellStart"/>
      <w:r>
        <w:rPr>
          <w:rFonts w:cs="Times New Roman" w:hAnsi="Times New Roman" w:ascii="Times New Roman"/>
          <w:sz w:val="24"/>
          <w:szCs w:val="24"/>
        </w:rPr>
        <w:t>vl</w:t>
      </w:r>
      <w:proofErr w:type="spellEnd"/>
      <w:r>
        <w:rPr>
          <w:rFonts w:cs="Times New Roman" w:hAnsi="Times New Roman" w:ascii="Times New Roman"/>
          <w:sz w:val="24"/>
          <w:szCs w:val="24"/>
        </w:rPr>
        <w:t xml:space="preserve">. obrta PUTZ-ESTIH, Dugi Rat, Put Kruga 19, OIB: 62845505863, za sklapanje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odbacuje se.</w:t>
      </w:r>
    </w:p>
    <w:p w:rsidRDefault="00AE61AA" w:rsidP="00AE61AA" w:rsidR="00AE61AA">
      <w:pPr>
        <w:spacing w:after="120" w:before="180"/>
        <w:jc w:val="center"/>
        <w:rPr>
          <w:rFonts w:cs="Times New Roman" w:hAnsi="Times New Roman" w:ascii="Times New Roman"/>
          <w:sz w:val="24"/>
          <w:szCs w:val="24"/>
        </w:rPr>
      </w:pPr>
      <w:r>
        <w:rPr>
          <w:rFonts w:cs="Times New Roman" w:hAnsi="Times New Roman" w:ascii="Times New Roman"/>
          <w:sz w:val="24"/>
          <w:szCs w:val="24"/>
        </w:rPr>
        <w:t>Obrazloženje</w:t>
      </w:r>
    </w:p>
    <w:p w:rsidRDefault="00AE61AA" w:rsidP="00AE61AA" w:rsidR="00AE61AA">
      <w:pPr>
        <w:spacing w:lineRule="auto" w:line="240" w:after="0"/>
        <w:ind w:firstLine="709"/>
        <w:jc w:val="both"/>
        <w:rPr>
          <w:rFonts w:cs="Times New Roman" w:hAnsi="Times New Roman" w:ascii="Times New Roman"/>
          <w:sz w:val="24"/>
          <w:szCs w:val="24"/>
        </w:rPr>
      </w:pPr>
      <w:r>
        <w:rPr>
          <w:rFonts w:cs="Times New Roman" w:hAnsi="Times New Roman" w:ascii="Times New Roman"/>
          <w:sz w:val="24"/>
          <w:szCs w:val="24"/>
        </w:rPr>
        <w:t xml:space="preserve">Kod ovoga suda dana 08. travnja 2015. godine zaprimljen je prijedlog predlagatelja IVICE ČOPAC, </w:t>
      </w:r>
      <w:proofErr w:type="spellStart"/>
      <w:r>
        <w:rPr>
          <w:rFonts w:cs="Times New Roman" w:hAnsi="Times New Roman" w:ascii="Times New Roman"/>
          <w:sz w:val="24"/>
          <w:szCs w:val="24"/>
        </w:rPr>
        <w:t>vl</w:t>
      </w:r>
      <w:proofErr w:type="spellEnd"/>
      <w:r>
        <w:rPr>
          <w:rFonts w:cs="Times New Roman" w:hAnsi="Times New Roman" w:ascii="Times New Roman"/>
          <w:sz w:val="24"/>
          <w:szCs w:val="24"/>
        </w:rPr>
        <w:t xml:space="preserve">. obrta PUTZ-ESTIH, Dugi Rat  za sklapanje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a nakon što je FINA, Regionalni centar Split dana 09. ožujka 2015. godine donijela rješenje kojim se utvrđuje da je Plan financijskog </w:t>
      </w:r>
      <w:proofErr w:type="spellStart"/>
      <w:r>
        <w:rPr>
          <w:rFonts w:cs="Times New Roman" w:hAnsi="Times New Roman" w:ascii="Times New Roman"/>
          <w:sz w:val="24"/>
          <w:szCs w:val="24"/>
        </w:rPr>
        <w:t>restruktuiranja</w:t>
      </w:r>
      <w:proofErr w:type="spellEnd"/>
      <w:r>
        <w:rPr>
          <w:rFonts w:cs="Times New Roman" w:hAnsi="Times New Roman" w:ascii="Times New Roman"/>
          <w:sz w:val="24"/>
          <w:szCs w:val="24"/>
        </w:rPr>
        <w:t xml:space="preserve"> prihvaćen, odnosno da su za Plan glasovali vjerovnici čije tražbine prelaze 2/3 vrijednosti svih utvrđenih tražbina, a koja odluka je postala izvršna dana 27. ožujka 2015. godine.</w:t>
      </w:r>
    </w:p>
    <w:p w:rsidRDefault="00AE61AA" w:rsidP="00AE61AA" w:rsidR="00AE61AA">
      <w:pPr>
        <w:spacing w:lineRule="auto" w:line="240" w:after="0" w:before="160"/>
        <w:ind w:firstLine="708"/>
        <w:jc w:val="both"/>
        <w:rPr>
          <w:rFonts w:cs="Times New Roman" w:hAnsi="Times New Roman" w:ascii="Times New Roman"/>
          <w:sz w:val="24"/>
          <w:szCs w:val="24"/>
        </w:rPr>
      </w:pPr>
      <w:r>
        <w:rPr>
          <w:rFonts w:cs="Times New Roman" w:hAnsi="Times New Roman" w:ascii="Times New Roman"/>
          <w:sz w:val="24"/>
          <w:szCs w:val="24"/>
        </w:rPr>
        <w:t xml:space="preserve">Kako se tražbine vjerovnika utvrđuju u upravnom postupku, u kojem je dopušteno žalbom pobijati rješenje o utvrđenim i osporenim tražbinama, to po izvršnosti rješenja FINA-prvostupanjski sud ne može preispitivati valjanost visina utvrđenih tražbina. U nastavku postupka prvostupanjski sud utvrđuje jesu li ispunjenje pretpostavke za sklapanje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sukladno odredbama Zakona o </w:t>
      </w:r>
      <w:proofErr w:type="spellStart"/>
      <w:r>
        <w:rPr>
          <w:rFonts w:cs="Times New Roman" w:hAnsi="Times New Roman" w:ascii="Times New Roman"/>
          <w:sz w:val="24"/>
          <w:szCs w:val="24"/>
        </w:rPr>
        <w:t>predstečajnoj</w:t>
      </w:r>
      <w:proofErr w:type="spellEnd"/>
      <w:r>
        <w:rPr>
          <w:rFonts w:cs="Times New Roman" w:hAnsi="Times New Roman" w:ascii="Times New Roman"/>
          <w:sz w:val="24"/>
          <w:szCs w:val="24"/>
        </w:rPr>
        <w:t xml:space="preserve"> nagodbi i financijskom poslovanju koje se primjenjuju u konkretnom predmetu te provodi postupak sukladno odredbi čl. 66. Zakona o financijskom poslovanju i </w:t>
      </w:r>
      <w:proofErr w:type="spellStart"/>
      <w:r>
        <w:rPr>
          <w:rFonts w:cs="Times New Roman" w:hAnsi="Times New Roman" w:ascii="Times New Roman"/>
          <w:sz w:val="24"/>
          <w:szCs w:val="24"/>
        </w:rPr>
        <w:t>predstečajnoj</w:t>
      </w:r>
      <w:proofErr w:type="spellEnd"/>
      <w:r>
        <w:rPr>
          <w:rFonts w:cs="Times New Roman" w:hAnsi="Times New Roman" w:ascii="Times New Roman"/>
          <w:sz w:val="24"/>
          <w:szCs w:val="24"/>
        </w:rPr>
        <w:t xml:space="preserve"> nagodbi („Narodne novine“ broj 108/12, 144/12, 81/13 i 112/13; dalje ZFPPN).</w:t>
      </w:r>
    </w:p>
    <w:p w:rsidRDefault="00AE61AA" w:rsidP="00AE61AA" w:rsidR="00FF018F">
      <w:pPr>
        <w:pStyle w:val="Bezproreda"/>
        <w:spacing w:before="160"/>
        <w:jc w:val="both"/>
        <w:rPr>
          <w:rFonts w:cs="Times New Roman" w:eastAsia="Times New Roman" w:hAnsi="Times New Roman" w:ascii="Times New Roman"/>
          <w:sz w:val="24"/>
          <w:szCs w:val="24"/>
          <w:lang w:eastAsia="hr-HR"/>
        </w:rPr>
      </w:pPr>
      <w:r>
        <w:rPr>
          <w:rFonts w:cs="Times New Roman" w:hAnsi="Times New Roman" w:ascii="Times New Roman"/>
          <w:sz w:val="24"/>
          <w:szCs w:val="24"/>
        </w:rPr>
        <w:tab/>
        <w:t xml:space="preserve">Kako je odredbom članka 66. st.15. </w:t>
      </w:r>
      <w:r>
        <w:rPr>
          <w:rFonts w:cs="Times New Roman" w:hAnsi="Times New Roman" w:ascii="Times New Roman"/>
          <w:sz w:val="24"/>
          <w:szCs w:val="24"/>
          <w:lang w:eastAsia="hr-HR"/>
        </w:rPr>
        <w:t>ZFPPN-a</w:t>
      </w:r>
      <w:r>
        <w:rPr>
          <w:rFonts w:cs="Times New Roman" w:hAnsi="Times New Roman" w:ascii="Times New Roman"/>
          <w:sz w:val="24"/>
          <w:szCs w:val="24"/>
        </w:rPr>
        <w:t xml:space="preserve"> propisano da se u postupku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pred trgovačkim sudovima na odgovarajući način primjenjuju pravila Zakona o izvanparničnom postupku (Zakon o vanparničnom postupku Kraljevine Jugoslavije –„Službene novine“ broj 75/34, „Narodne novine“ broj 71/91), te kako se u slučajevima kada ni tim Zakonom nisu propisani pojedini pravni instituti,  imaju primjenjivati odredbe ZPP-a, ovaj sud je pozvao predlagatelja da temeljem članka </w:t>
      </w:r>
      <w:r>
        <w:rPr>
          <w:rFonts w:cs="Times New Roman" w:hAnsi="Times New Roman" w:ascii="Times New Roman"/>
          <w:sz w:val="24"/>
          <w:szCs w:val="24"/>
          <w:lang w:eastAsia="hr-HR"/>
        </w:rPr>
        <w:t>109. ZPP-a ispravi i</w:t>
      </w:r>
      <w:r>
        <w:rPr>
          <w:rFonts w:cs="Times New Roman" w:hAnsi="Times New Roman" w:ascii="Times New Roman"/>
          <w:sz w:val="24"/>
          <w:szCs w:val="24"/>
        </w:rPr>
        <w:t xml:space="preserve"> dopuni svoj prijedlog i ukloni utvrđene nedostatke uz upozorenje na pravne posljedice za slučaj ne</w:t>
      </w:r>
      <w:r w:rsidR="004A12C5">
        <w:rPr>
          <w:rFonts w:cs="Times New Roman" w:hAnsi="Times New Roman" w:ascii="Times New Roman"/>
          <w:sz w:val="24"/>
          <w:szCs w:val="24"/>
        </w:rPr>
        <w:t xml:space="preserve"> </w:t>
      </w:r>
      <w:r>
        <w:rPr>
          <w:rFonts w:cs="Times New Roman" w:hAnsi="Times New Roman" w:ascii="Times New Roman"/>
          <w:sz w:val="24"/>
          <w:szCs w:val="24"/>
        </w:rPr>
        <w:t xml:space="preserve">postupanja po nalogu suda. </w:t>
      </w:r>
      <w:r>
        <w:rPr>
          <w:rFonts w:cs="Times New Roman" w:eastAsia="Times New Roman" w:hAnsi="Times New Roman" w:ascii="Times New Roman"/>
          <w:sz w:val="24"/>
          <w:szCs w:val="24"/>
          <w:lang w:eastAsia="hr-HR"/>
        </w:rPr>
        <w:t xml:space="preserve">U tom smislu ovaj sud je svojim rješenjem od 19.svibnja 2015. </w:t>
      </w:r>
    </w:p>
    <w:p w:rsidRDefault="00FF018F" w:rsidP="00AE61AA" w:rsidR="00FF018F" w:rsidRPr="00FF018F">
      <w:pPr>
        <w:pStyle w:val="Bezproreda"/>
        <w:spacing w:before="160"/>
        <w:jc w:val="both"/>
        <w:rPr>
          <w:rFonts w:cs="Times New Roman" w:eastAsia="Times New Roman" w:hAnsi="Times New Roman" w:ascii="Times New Roman"/>
          <w:b/>
          <w:sz w:val="24"/>
          <w:szCs w:val="24"/>
          <w:lang w:eastAsia="hr-HR"/>
        </w:rPr>
      </w:pPr>
      <w:r>
        <w:rPr>
          <w:rFonts w:cs="Times New Roman" w:eastAsia="Times New Roman" w:hAnsi="Times New Roman" w:ascii="Times New Roman"/>
          <w:sz w:val="24"/>
          <w:szCs w:val="24"/>
          <w:lang w:eastAsia="hr-HR"/>
        </w:rPr>
        <w:lastRenderedPageBreak/>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t>2</w:t>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Pr>
          <w:rFonts w:cs="Times New Roman" w:eastAsia="Times New Roman" w:hAnsi="Times New Roman" w:ascii="Times New Roman"/>
          <w:sz w:val="24"/>
          <w:szCs w:val="24"/>
          <w:lang w:eastAsia="hr-HR"/>
        </w:rPr>
        <w:tab/>
      </w:r>
      <w:r w:rsidRPr="00FF018F">
        <w:rPr>
          <w:rFonts w:cs="Times New Roman" w:eastAsia="Times New Roman" w:hAnsi="Times New Roman" w:ascii="Times New Roman"/>
          <w:b/>
          <w:sz w:val="24"/>
          <w:szCs w:val="24"/>
          <w:lang w:eastAsia="hr-HR"/>
        </w:rPr>
        <w:t>1.Stpn-35/2015</w:t>
      </w:r>
    </w:p>
    <w:p w:rsidRDefault="00AE61AA" w:rsidP="00AE61AA" w:rsidR="00AE61AA">
      <w:pPr>
        <w:pStyle w:val="Bezproreda"/>
        <w:spacing w:before="160"/>
        <w:jc w:val="both"/>
        <w:rPr>
          <w:rFonts w:cs="Times New Roman" w:eastAsia="Times New Roman" w:hAnsi="Times New Roman" w:ascii="Times New Roman"/>
          <w:sz w:val="24"/>
          <w:szCs w:val="24"/>
          <w:lang w:eastAsia="hr-HR"/>
        </w:rPr>
      </w:pPr>
      <w:r>
        <w:rPr>
          <w:rFonts w:cs="Times New Roman" w:eastAsia="Times New Roman" w:hAnsi="Times New Roman" w:ascii="Times New Roman"/>
          <w:sz w:val="24"/>
          <w:szCs w:val="24"/>
          <w:lang w:eastAsia="hr-HR"/>
        </w:rPr>
        <w:t>godine (list</w:t>
      </w:r>
      <w:r w:rsidR="004A12C5">
        <w:rPr>
          <w:rFonts w:cs="Times New Roman" w:eastAsia="Times New Roman" w:hAnsi="Times New Roman" w:ascii="Times New Roman"/>
          <w:sz w:val="24"/>
          <w:szCs w:val="24"/>
          <w:lang w:eastAsia="hr-HR"/>
        </w:rPr>
        <w:t xml:space="preserve"> </w:t>
      </w:r>
      <w:r>
        <w:rPr>
          <w:rFonts w:cs="Times New Roman" w:eastAsia="Times New Roman" w:hAnsi="Times New Roman" w:ascii="Times New Roman"/>
          <w:sz w:val="24"/>
          <w:szCs w:val="24"/>
          <w:lang w:eastAsia="hr-HR"/>
        </w:rPr>
        <w:t>spisa</w:t>
      </w:r>
      <w:r w:rsidR="004A12C5">
        <w:rPr>
          <w:rFonts w:cs="Times New Roman" w:eastAsia="Times New Roman" w:hAnsi="Times New Roman" w:ascii="Times New Roman"/>
          <w:sz w:val="24"/>
          <w:szCs w:val="24"/>
          <w:lang w:eastAsia="hr-HR"/>
        </w:rPr>
        <w:t xml:space="preserve"> 234</w:t>
      </w:r>
      <w:r>
        <w:rPr>
          <w:rFonts w:cs="Times New Roman" w:eastAsia="Times New Roman" w:hAnsi="Times New Roman" w:ascii="Times New Roman"/>
          <w:sz w:val="24"/>
          <w:szCs w:val="24"/>
          <w:lang w:eastAsia="hr-HR"/>
        </w:rPr>
        <w:t xml:space="preserve">), </w:t>
      </w:r>
      <w:r w:rsidR="004A12C5">
        <w:rPr>
          <w:rFonts w:cs="Times New Roman" w:eastAsia="Times New Roman" w:hAnsi="Times New Roman" w:ascii="Times New Roman"/>
          <w:sz w:val="24"/>
          <w:szCs w:val="24"/>
          <w:lang w:eastAsia="hr-HR"/>
        </w:rPr>
        <w:t xml:space="preserve">05.lipnja 2015.godine (list spisa 275) i od 16.svibnja 2016. godine (list spisa 277), </w:t>
      </w:r>
      <w:r>
        <w:rPr>
          <w:rFonts w:cs="Times New Roman" w:eastAsia="Times New Roman" w:hAnsi="Times New Roman" w:ascii="Times New Roman"/>
          <w:sz w:val="24"/>
          <w:szCs w:val="24"/>
          <w:lang w:eastAsia="hr-HR"/>
        </w:rPr>
        <w:t>uz pripadajuće obrazloženje,  naložio predlagatelju:</w:t>
      </w:r>
    </w:p>
    <w:p w:rsidRDefault="004A12C5" w:rsidP="00AE61AA" w:rsidR="004A12C5">
      <w:pPr>
        <w:pStyle w:val="Bezproreda"/>
        <w:spacing w:before="160"/>
        <w:jc w:val="both"/>
        <w:rPr>
          <w:rFonts w:cs="Times New Roman" w:hAnsi="Times New Roman" w:ascii="Times New Roman"/>
          <w:sz w:val="24"/>
          <w:szCs w:val="24"/>
        </w:rPr>
      </w:pPr>
      <w:r>
        <w:rPr>
          <w:rFonts w:cs="Times New Roman" w:eastAsia="Times New Roman" w:hAnsi="Times New Roman" w:ascii="Times New Roman"/>
          <w:sz w:val="24"/>
          <w:szCs w:val="24"/>
          <w:lang w:eastAsia="hr-HR"/>
        </w:rPr>
        <w:t xml:space="preserve">- da se odredi pravni položaj svakog vjerovnika posebno iznos njegove utvrđene tražbine, način, rokovi i uvjeti namirenja tražbina, iznosi obročnih otplata za svakog vjerovnika sa datumima dospijeća, ukoliko je predviđena otplata u obrocima uređuju tako da sklopljena </w:t>
      </w:r>
      <w:proofErr w:type="spellStart"/>
      <w:r>
        <w:rPr>
          <w:rFonts w:cs="Times New Roman" w:eastAsia="Times New Roman" w:hAnsi="Times New Roman" w:ascii="Times New Roman"/>
          <w:sz w:val="24"/>
          <w:szCs w:val="24"/>
          <w:lang w:eastAsia="hr-HR"/>
        </w:rPr>
        <w:t>predstečajna</w:t>
      </w:r>
      <w:proofErr w:type="spellEnd"/>
      <w:r>
        <w:rPr>
          <w:rFonts w:cs="Times New Roman" w:eastAsia="Times New Roman" w:hAnsi="Times New Roman" w:ascii="Times New Roman"/>
          <w:sz w:val="24"/>
          <w:szCs w:val="24"/>
          <w:lang w:eastAsia="hr-HR"/>
        </w:rPr>
        <w:t xml:space="preserve"> nagodba ima snagu i pravne učinke ovršne isprave temeljem koje svaki vjerovnik može ostvariti tražbinu prema dužniku, te da svi vjerovnici zajedno ili svaki pojedinačno mogu ostvariti tražbine prema dužniku na činidbu ili propuštanje činidbe, vodeći računa o tome da taj konačan prijedlog </w:t>
      </w:r>
      <w:proofErr w:type="spellStart"/>
      <w:r>
        <w:rPr>
          <w:rFonts w:cs="Times New Roman" w:eastAsia="Times New Roman" w:hAnsi="Times New Roman" w:ascii="Times New Roman"/>
          <w:sz w:val="24"/>
          <w:szCs w:val="24"/>
          <w:lang w:eastAsia="hr-HR"/>
        </w:rPr>
        <w:t>predstečajne</w:t>
      </w:r>
      <w:proofErr w:type="spellEnd"/>
      <w:r>
        <w:rPr>
          <w:rFonts w:cs="Times New Roman" w:eastAsia="Times New Roman" w:hAnsi="Times New Roman" w:ascii="Times New Roman"/>
          <w:sz w:val="24"/>
          <w:szCs w:val="24"/>
          <w:lang w:eastAsia="hr-HR"/>
        </w:rPr>
        <w:t xml:space="preserve"> nagodbe u svim bitnim sastojcima mora odgovarati sadržaju plana financijskog i operativnog restrukturiranja prihvaćenog pred FINOM i nacrtu </w:t>
      </w:r>
      <w:proofErr w:type="spellStart"/>
      <w:r>
        <w:rPr>
          <w:rFonts w:cs="Times New Roman" w:eastAsia="Times New Roman" w:hAnsi="Times New Roman" w:ascii="Times New Roman"/>
          <w:sz w:val="24"/>
          <w:szCs w:val="24"/>
          <w:lang w:eastAsia="hr-HR"/>
        </w:rPr>
        <w:t>predstečajne</w:t>
      </w:r>
      <w:proofErr w:type="spellEnd"/>
      <w:r>
        <w:rPr>
          <w:rFonts w:cs="Times New Roman" w:eastAsia="Times New Roman" w:hAnsi="Times New Roman" w:ascii="Times New Roman"/>
          <w:sz w:val="24"/>
          <w:szCs w:val="24"/>
          <w:lang w:eastAsia="hr-HR"/>
        </w:rPr>
        <w:t xml:space="preserve"> nagodbe za kojeg su vjerovnici glasovali, sve sukladno čl. 66 st. 3. </w:t>
      </w:r>
      <w:r>
        <w:rPr>
          <w:rFonts w:cs="Times New Roman" w:eastAsia="Times New Roman" w:hAnsi="Times New Roman" w:ascii="Times New Roman"/>
          <w:sz w:val="24"/>
          <w:szCs w:val="24"/>
          <w:lang w:eastAsia="hr-HR" w:val="de-DE"/>
        </w:rPr>
        <w:t>ZFPPN.</w:t>
      </w:r>
    </w:p>
    <w:p w:rsidRDefault="00AE61AA" w:rsidP="00AE61AA" w:rsidR="00AE61AA">
      <w:pPr>
        <w:spacing w:lineRule="auto" w:line="240" w:after="0" w:before="160"/>
        <w:jc w:val="both"/>
        <w:rPr>
          <w:rFonts w:cs="Times New Roman" w:hAnsi="Times New Roman" w:ascii="Times New Roman"/>
          <w:sz w:val="24"/>
          <w:szCs w:val="24"/>
        </w:rPr>
      </w:pPr>
      <w:r>
        <w:rPr>
          <w:rFonts w:cs="Times New Roman" w:hAnsi="Times New Roman" w:ascii="Times New Roman"/>
          <w:sz w:val="24"/>
          <w:szCs w:val="24"/>
        </w:rPr>
        <w:tab/>
        <w:t>Predlagatelj je upozoren da će se ukoliko postupi po nalogu ovog suda iz točaka I. toga rješenja u ostavljenom roku smatrati da je prijedlog podnesen onog dana kada je prvi put podnesen kao i na to da će se ukoliko ne postupi po nalogu ovog suda iz točaka I. toga rješenja u ostavljenom roku smatrati da je prijedlog povučen, a bude li vraćen bez dopune, odbacit će se.</w:t>
      </w:r>
    </w:p>
    <w:p w:rsidRDefault="00AE61AA" w:rsidP="00AE61AA" w:rsidR="00096D9C">
      <w:pPr>
        <w:pStyle w:val="Bezproreda"/>
        <w:spacing w:before="160"/>
        <w:jc w:val="both"/>
        <w:rPr>
          <w:rFonts w:cs="Times New Roman" w:hAnsi="Times New Roman" w:ascii="Times New Roman"/>
          <w:sz w:val="24"/>
          <w:szCs w:val="24"/>
        </w:rPr>
      </w:pPr>
      <w:r>
        <w:rPr>
          <w:rFonts w:cs="Times New Roman" w:hAnsi="Times New Roman" w:ascii="Times New Roman"/>
          <w:sz w:val="24"/>
          <w:szCs w:val="24"/>
        </w:rPr>
        <w:tab/>
        <w:t xml:space="preserve">Dana </w:t>
      </w:r>
      <w:r w:rsidR="00096D9C">
        <w:rPr>
          <w:rFonts w:cs="Times New Roman" w:hAnsi="Times New Roman" w:ascii="Times New Roman"/>
          <w:sz w:val="24"/>
          <w:szCs w:val="24"/>
        </w:rPr>
        <w:t>29</w:t>
      </w:r>
      <w:r>
        <w:rPr>
          <w:rFonts w:cs="Times New Roman" w:hAnsi="Times New Roman" w:ascii="Times New Roman"/>
          <w:sz w:val="24"/>
          <w:szCs w:val="24"/>
        </w:rPr>
        <w:t xml:space="preserve">. </w:t>
      </w:r>
      <w:r w:rsidR="00096D9C">
        <w:rPr>
          <w:rFonts w:cs="Times New Roman" w:hAnsi="Times New Roman" w:ascii="Times New Roman"/>
          <w:sz w:val="24"/>
          <w:szCs w:val="24"/>
        </w:rPr>
        <w:t>svibnja</w:t>
      </w:r>
      <w:r>
        <w:rPr>
          <w:rFonts w:cs="Times New Roman" w:hAnsi="Times New Roman" w:ascii="Times New Roman"/>
          <w:sz w:val="24"/>
          <w:szCs w:val="24"/>
        </w:rPr>
        <w:t xml:space="preserve"> 2015. godine ovaj sud </w:t>
      </w:r>
      <w:r w:rsidR="00096D9C">
        <w:rPr>
          <w:rFonts w:cs="Times New Roman" w:hAnsi="Times New Roman" w:ascii="Times New Roman"/>
          <w:sz w:val="24"/>
          <w:szCs w:val="24"/>
        </w:rPr>
        <w:t xml:space="preserve">je </w:t>
      </w:r>
      <w:r>
        <w:rPr>
          <w:rFonts w:cs="Times New Roman" w:hAnsi="Times New Roman" w:ascii="Times New Roman"/>
          <w:sz w:val="24"/>
          <w:szCs w:val="24"/>
        </w:rPr>
        <w:t xml:space="preserve">zaprimio podnesak  zakonskog zastupnika predlagatelja (list spisa </w:t>
      </w:r>
      <w:r w:rsidR="00096D9C">
        <w:rPr>
          <w:rFonts w:cs="Times New Roman" w:hAnsi="Times New Roman" w:ascii="Times New Roman"/>
          <w:sz w:val="24"/>
          <w:szCs w:val="24"/>
        </w:rPr>
        <w:t>250-274</w:t>
      </w:r>
      <w:r>
        <w:rPr>
          <w:rFonts w:cs="Times New Roman" w:hAnsi="Times New Roman" w:ascii="Times New Roman"/>
          <w:sz w:val="24"/>
          <w:szCs w:val="24"/>
        </w:rPr>
        <w:t xml:space="preserve">), u kojemu  </w:t>
      </w:r>
      <w:r w:rsidR="00096D9C">
        <w:rPr>
          <w:rFonts w:cs="Times New Roman" w:hAnsi="Times New Roman" w:ascii="Times New Roman"/>
          <w:sz w:val="24"/>
          <w:szCs w:val="24"/>
        </w:rPr>
        <w:t xml:space="preserve">se u osnovi samo </w:t>
      </w:r>
      <w:r>
        <w:rPr>
          <w:rFonts w:cs="Times New Roman" w:hAnsi="Times New Roman" w:ascii="Times New Roman"/>
          <w:sz w:val="24"/>
          <w:szCs w:val="24"/>
        </w:rPr>
        <w:t xml:space="preserve">  ponavlja ist</w:t>
      </w:r>
      <w:r w:rsidR="00096D9C">
        <w:rPr>
          <w:rFonts w:cs="Times New Roman" w:hAnsi="Times New Roman" w:ascii="Times New Roman"/>
          <w:sz w:val="24"/>
          <w:szCs w:val="24"/>
        </w:rPr>
        <w:t>i</w:t>
      </w:r>
      <w:r>
        <w:rPr>
          <w:rFonts w:cs="Times New Roman" w:hAnsi="Times New Roman" w:ascii="Times New Roman"/>
          <w:sz w:val="24"/>
          <w:szCs w:val="24"/>
        </w:rPr>
        <w:t xml:space="preserve">  navod</w:t>
      </w:r>
      <w:r w:rsidR="00096D9C">
        <w:rPr>
          <w:rFonts w:cs="Times New Roman" w:hAnsi="Times New Roman" w:ascii="Times New Roman"/>
          <w:sz w:val="24"/>
          <w:szCs w:val="24"/>
        </w:rPr>
        <w:t>i kao u</w:t>
      </w:r>
      <w:r>
        <w:rPr>
          <w:rFonts w:cs="Times New Roman" w:hAnsi="Times New Roman" w:ascii="Times New Roman"/>
          <w:sz w:val="24"/>
          <w:szCs w:val="24"/>
        </w:rPr>
        <w:t xml:space="preserve">  </w:t>
      </w:r>
      <w:r>
        <w:rPr>
          <w:rFonts w:cs="Times New Roman" w:eastAsia="Times New Roman" w:hAnsi="Times New Roman" w:ascii="Times New Roman"/>
          <w:sz w:val="24"/>
          <w:szCs w:val="24"/>
          <w:lang w:eastAsia="hr-HR"/>
        </w:rPr>
        <w:t xml:space="preserve">  prijedlog</w:t>
      </w:r>
      <w:r w:rsidR="00096D9C">
        <w:rPr>
          <w:rFonts w:cs="Times New Roman" w:eastAsia="Times New Roman" w:hAnsi="Times New Roman" w:ascii="Times New Roman"/>
          <w:sz w:val="24"/>
          <w:szCs w:val="24"/>
          <w:lang w:eastAsia="hr-HR"/>
        </w:rPr>
        <w:t>u</w:t>
      </w:r>
      <w:r>
        <w:rPr>
          <w:rFonts w:cs="Times New Roman" w:eastAsia="Times New Roman" w:hAnsi="Times New Roman" w:ascii="Times New Roman"/>
          <w:sz w:val="24"/>
          <w:szCs w:val="24"/>
          <w:lang w:eastAsia="hr-HR"/>
        </w:rPr>
        <w:t xml:space="preserve"> </w:t>
      </w:r>
      <w:proofErr w:type="spellStart"/>
      <w:r>
        <w:rPr>
          <w:rFonts w:cs="Times New Roman" w:eastAsia="Times New Roman" w:hAnsi="Times New Roman" w:ascii="Times New Roman"/>
          <w:sz w:val="24"/>
          <w:szCs w:val="24"/>
          <w:lang w:eastAsia="hr-HR"/>
        </w:rPr>
        <w:t>predstečajne</w:t>
      </w:r>
      <w:proofErr w:type="spellEnd"/>
      <w:r>
        <w:rPr>
          <w:rFonts w:cs="Times New Roman" w:eastAsia="Times New Roman" w:hAnsi="Times New Roman" w:ascii="Times New Roman"/>
          <w:sz w:val="24"/>
          <w:szCs w:val="24"/>
          <w:lang w:eastAsia="hr-HR"/>
        </w:rPr>
        <w:t xml:space="preserve"> nagodbe </w:t>
      </w:r>
      <w:r>
        <w:rPr>
          <w:rFonts w:cs="Times New Roman" w:hAnsi="Times New Roman" w:ascii="Times New Roman"/>
          <w:sz w:val="24"/>
          <w:szCs w:val="24"/>
        </w:rPr>
        <w:t xml:space="preserve">(odnosno iz nacrta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w:t>
      </w:r>
      <w:r w:rsidR="00096D9C">
        <w:rPr>
          <w:rFonts w:cs="Times New Roman" w:hAnsi="Times New Roman" w:ascii="Times New Roman"/>
          <w:sz w:val="24"/>
          <w:szCs w:val="24"/>
        </w:rPr>
        <w:t xml:space="preserve">, radi čega je sud  u rješenjima od 05.lipnja 2015. godine i 16.svibnja 2016.godine  ponovio naloge za otklanjanje nedostataka  predlagatelju ove </w:t>
      </w:r>
      <w:proofErr w:type="spellStart"/>
      <w:r w:rsidR="00096D9C">
        <w:rPr>
          <w:rFonts w:cs="Times New Roman" w:hAnsi="Times New Roman" w:ascii="Times New Roman"/>
          <w:sz w:val="24"/>
          <w:szCs w:val="24"/>
        </w:rPr>
        <w:t>predstečajne</w:t>
      </w:r>
      <w:proofErr w:type="spellEnd"/>
      <w:r w:rsidR="00096D9C">
        <w:rPr>
          <w:rFonts w:cs="Times New Roman" w:hAnsi="Times New Roman" w:ascii="Times New Roman"/>
          <w:sz w:val="24"/>
          <w:szCs w:val="24"/>
        </w:rPr>
        <w:t xml:space="preserve"> nagodbe</w:t>
      </w:r>
      <w:r w:rsidR="00282E62">
        <w:rPr>
          <w:rFonts w:cs="Times New Roman" w:hAnsi="Times New Roman" w:ascii="Times New Roman"/>
          <w:sz w:val="24"/>
          <w:szCs w:val="24"/>
        </w:rPr>
        <w:t>,</w:t>
      </w:r>
      <w:r w:rsidR="00096D9C">
        <w:rPr>
          <w:rFonts w:cs="Times New Roman" w:hAnsi="Times New Roman" w:ascii="Times New Roman"/>
          <w:sz w:val="24"/>
          <w:szCs w:val="24"/>
        </w:rPr>
        <w:t xml:space="preserve"> na koje  zakonski zastupnik predlagatelja ovom sudu nije podnio nikakvo izjašnjenje.</w:t>
      </w:r>
    </w:p>
    <w:p w:rsidRDefault="00AE61AA" w:rsidP="00282E62" w:rsidR="00282E62">
      <w:pPr>
        <w:pStyle w:val="Bezproreda"/>
        <w:spacing w:before="160"/>
        <w:ind w:firstLine="708"/>
        <w:jc w:val="both"/>
        <w:rPr>
          <w:rFonts w:cs="Times New Roman" w:hAnsi="Times New Roman" w:ascii="Times New Roman"/>
          <w:sz w:val="24"/>
          <w:szCs w:val="24"/>
        </w:rPr>
      </w:pPr>
      <w:r>
        <w:rPr>
          <w:rFonts w:cs="Times New Roman" w:hAnsi="Times New Roman" w:ascii="Times New Roman"/>
          <w:sz w:val="24"/>
          <w:szCs w:val="24"/>
        </w:rPr>
        <w:t xml:space="preserve">Ne postupajući po rješenju ovoga suda </w:t>
      </w:r>
      <w:r w:rsidR="00282E62">
        <w:rPr>
          <w:rFonts w:cs="Times New Roman" w:eastAsia="Times New Roman" w:hAnsi="Times New Roman" w:ascii="Times New Roman"/>
          <w:sz w:val="24"/>
          <w:szCs w:val="24"/>
          <w:lang w:eastAsia="hr-HR"/>
        </w:rPr>
        <w:t>od 19.svibnja 2015. godine, 05.lipnja 2015.godine i od 16.svibnja 2016. godine</w:t>
      </w:r>
      <w:r>
        <w:rPr>
          <w:rFonts w:cs="Times New Roman" w:hAnsi="Times New Roman" w:ascii="Times New Roman"/>
          <w:sz w:val="24"/>
          <w:szCs w:val="24"/>
        </w:rPr>
        <w:t xml:space="preserve">, predlagatelj nije otklonio temeljni nedostatak svojega prijedloga za sklapanje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a sve kako bi sklopljena </w:t>
      </w:r>
      <w:proofErr w:type="spellStart"/>
      <w:r>
        <w:rPr>
          <w:rFonts w:cs="Times New Roman" w:hAnsi="Times New Roman" w:ascii="Times New Roman"/>
          <w:sz w:val="24"/>
          <w:szCs w:val="24"/>
        </w:rPr>
        <w:t>predstečajna</w:t>
      </w:r>
      <w:proofErr w:type="spellEnd"/>
      <w:r>
        <w:rPr>
          <w:rFonts w:cs="Times New Roman" w:hAnsi="Times New Roman" w:ascii="Times New Roman"/>
          <w:sz w:val="24"/>
          <w:szCs w:val="24"/>
        </w:rPr>
        <w:t xml:space="preserve"> nagodba imala snagu i pravne učinke ovršne isprave (članak 66. st.3 ZFPPN-a), pa je sukladno članka </w:t>
      </w:r>
      <w:r>
        <w:rPr>
          <w:rFonts w:cs="Times New Roman" w:hAnsi="Times New Roman" w:ascii="Times New Roman"/>
          <w:sz w:val="24"/>
          <w:szCs w:val="24"/>
          <w:lang w:eastAsia="hr-HR"/>
        </w:rPr>
        <w:t xml:space="preserve">109. ZPP-a i </w:t>
      </w:r>
      <w:r>
        <w:rPr>
          <w:rFonts w:cs="Times New Roman" w:hAnsi="Times New Roman" w:ascii="Times New Roman"/>
          <w:sz w:val="24"/>
          <w:szCs w:val="24"/>
        </w:rPr>
        <w:t xml:space="preserve">članak 66. st.10. ZFPPN-a, prijedlog za sklapanje </w:t>
      </w:r>
      <w:proofErr w:type="spellStart"/>
      <w:r>
        <w:rPr>
          <w:rFonts w:cs="Times New Roman" w:hAnsi="Times New Roman" w:ascii="Times New Roman"/>
          <w:sz w:val="24"/>
          <w:szCs w:val="24"/>
        </w:rPr>
        <w:t>predstečajne</w:t>
      </w:r>
      <w:proofErr w:type="spellEnd"/>
      <w:r>
        <w:rPr>
          <w:rFonts w:cs="Times New Roman" w:hAnsi="Times New Roman" w:ascii="Times New Roman"/>
          <w:sz w:val="24"/>
          <w:szCs w:val="24"/>
        </w:rPr>
        <w:t xml:space="preserve"> nagodbe valjalo rješenjem odbaciti</w:t>
      </w:r>
      <w:r w:rsidR="00282E62">
        <w:rPr>
          <w:rFonts w:cs="Times New Roman" w:hAnsi="Times New Roman" w:ascii="Times New Roman"/>
          <w:sz w:val="24"/>
          <w:szCs w:val="24"/>
        </w:rPr>
        <w:t>, te odlučiti kao u izreci.</w:t>
      </w:r>
    </w:p>
    <w:p w:rsidRDefault="00FF018F" w:rsidP="00282E62" w:rsidR="00FF018F">
      <w:pPr>
        <w:pStyle w:val="Bezproreda"/>
        <w:spacing w:before="160"/>
        <w:ind w:left="2124"/>
        <w:jc w:val="both"/>
        <w:rPr>
          <w:rFonts w:cs="Times New Roman" w:hAnsi="Times New Roman" w:ascii="Times New Roman"/>
          <w:sz w:val="24"/>
          <w:szCs w:val="24"/>
        </w:rPr>
      </w:pPr>
    </w:p>
    <w:p w:rsidRDefault="00AE61AA" w:rsidP="00282E62" w:rsidR="00AE61AA" w:rsidRPr="00282E62">
      <w:pPr>
        <w:pStyle w:val="Bezproreda"/>
        <w:spacing w:before="160"/>
        <w:ind w:left="2124"/>
        <w:jc w:val="both"/>
        <w:rPr>
          <w:rFonts w:cs="Times New Roman" w:hAnsi="Times New Roman" w:ascii="Times New Roman"/>
          <w:sz w:val="24"/>
          <w:szCs w:val="24"/>
        </w:rPr>
      </w:pPr>
      <w:r w:rsidRPr="00282E62">
        <w:rPr>
          <w:rFonts w:cs="Times New Roman" w:hAnsi="Times New Roman" w:ascii="Times New Roman"/>
          <w:sz w:val="24"/>
          <w:szCs w:val="24"/>
        </w:rPr>
        <w:t xml:space="preserve">U Splitu, </w:t>
      </w:r>
      <w:r w:rsidR="00282E62" w:rsidRPr="00282E62">
        <w:rPr>
          <w:rFonts w:cs="Times New Roman" w:hAnsi="Times New Roman" w:ascii="Times New Roman"/>
          <w:sz w:val="24"/>
          <w:szCs w:val="24"/>
        </w:rPr>
        <w:t>30</w:t>
      </w:r>
      <w:r w:rsidRPr="00282E62">
        <w:rPr>
          <w:rFonts w:cs="Times New Roman" w:hAnsi="Times New Roman" w:ascii="Times New Roman"/>
          <w:sz w:val="24"/>
          <w:szCs w:val="24"/>
        </w:rPr>
        <w:t xml:space="preserve">. </w:t>
      </w:r>
      <w:r w:rsidR="00282E62" w:rsidRPr="00282E62">
        <w:rPr>
          <w:rFonts w:cs="Times New Roman" w:hAnsi="Times New Roman" w:ascii="Times New Roman"/>
          <w:sz w:val="24"/>
          <w:szCs w:val="24"/>
        </w:rPr>
        <w:t>kolovoza</w:t>
      </w:r>
      <w:r w:rsidRPr="00282E62">
        <w:rPr>
          <w:rFonts w:cs="Times New Roman" w:hAnsi="Times New Roman" w:ascii="Times New Roman"/>
          <w:sz w:val="24"/>
          <w:szCs w:val="24"/>
        </w:rPr>
        <w:t xml:space="preserve"> 201</w:t>
      </w:r>
      <w:r w:rsidR="00282E62">
        <w:rPr>
          <w:rFonts w:cs="Times New Roman" w:hAnsi="Times New Roman" w:ascii="Times New Roman"/>
          <w:sz w:val="24"/>
          <w:szCs w:val="24"/>
        </w:rPr>
        <w:t>6</w:t>
      </w:r>
      <w:r w:rsidRPr="00282E62">
        <w:rPr>
          <w:rFonts w:cs="Times New Roman" w:hAnsi="Times New Roman" w:ascii="Times New Roman"/>
          <w:sz w:val="24"/>
          <w:szCs w:val="24"/>
        </w:rPr>
        <w:t>. godine</w:t>
      </w:r>
    </w:p>
    <w:p w:rsidRDefault="00AE61AA" w:rsidP="00282E62" w:rsidR="00AE61AA">
      <w:pPr>
        <w:pStyle w:val="Bezproreda"/>
        <w:ind w:firstLine="708" w:left="5664"/>
        <w:rPr>
          <w:rFonts w:cs="Times New Roman" w:hAnsi="Times New Roman" w:ascii="Times New Roman"/>
          <w:sz w:val="24"/>
          <w:szCs w:val="24"/>
        </w:rPr>
      </w:pPr>
      <w:r w:rsidRPr="00282E62">
        <w:rPr>
          <w:rFonts w:cs="Times New Roman" w:hAnsi="Times New Roman" w:ascii="Times New Roman"/>
          <w:sz w:val="24"/>
          <w:szCs w:val="24"/>
        </w:rPr>
        <w:t>S</w:t>
      </w:r>
      <w:r w:rsidR="00282E62" w:rsidRPr="00282E62">
        <w:rPr>
          <w:rFonts w:cs="Times New Roman" w:hAnsi="Times New Roman" w:ascii="Times New Roman"/>
          <w:sz w:val="24"/>
          <w:szCs w:val="24"/>
        </w:rPr>
        <w:t xml:space="preserve"> U D A C</w:t>
      </w:r>
    </w:p>
    <w:p w:rsidRDefault="00282E62" w:rsidP="00282E62" w:rsidR="00282E62">
      <w:pPr>
        <w:pStyle w:val="Bezproreda"/>
        <w:ind w:firstLine="708" w:left="5664"/>
        <w:rPr>
          <w:rFonts w:cs="Times New Roman" w:hAnsi="Times New Roman" w:ascii="Times New Roman"/>
          <w:sz w:val="24"/>
          <w:szCs w:val="24"/>
        </w:rPr>
      </w:pPr>
    </w:p>
    <w:p w:rsidRDefault="00282E62" w:rsidP="00282E62" w:rsidR="00282E62">
      <w:pPr>
        <w:pStyle w:val="Bezproreda"/>
        <w:ind w:firstLine="708" w:left="5664"/>
        <w:rPr>
          <w:rFonts w:cs="Times New Roman" w:hAnsi="Times New Roman" w:ascii="Times New Roman"/>
          <w:sz w:val="24"/>
          <w:szCs w:val="24"/>
        </w:rPr>
      </w:pPr>
      <w:r>
        <w:rPr>
          <w:rFonts w:cs="Times New Roman" w:hAnsi="Times New Roman" w:ascii="Times New Roman"/>
          <w:sz w:val="24"/>
          <w:szCs w:val="24"/>
        </w:rPr>
        <w:t>Velimir Vuković</w:t>
      </w:r>
    </w:p>
    <w:p w:rsidRDefault="00282E62" w:rsidP="00282E62" w:rsidR="00282E62" w:rsidRPr="00282E62">
      <w:pPr>
        <w:pStyle w:val="Bezproreda"/>
        <w:ind w:firstLine="708" w:left="5664"/>
        <w:rPr>
          <w:rFonts w:cs="Times New Roman" w:hAnsi="Times New Roman" w:ascii="Times New Roman"/>
          <w:sz w:val="24"/>
          <w:szCs w:val="24"/>
        </w:rPr>
      </w:pPr>
    </w:p>
    <w:p w:rsidRDefault="00AE61AA" w:rsidP="00AE61AA" w:rsidR="00AE61AA">
      <w:pPr>
        <w:pStyle w:val="Bezproreda"/>
        <w:spacing w:before="100"/>
        <w:jc w:val="both"/>
        <w:rPr>
          <w:rFonts w:cs="Times New Roman" w:hAnsi="Times New Roman" w:ascii="Times New Roman"/>
          <w:sz w:val="24"/>
          <w:szCs w:val="24"/>
        </w:rPr>
      </w:pPr>
      <w:r>
        <w:rPr>
          <w:rFonts w:cs="Times New Roman" w:hAnsi="Times New Roman" w:ascii="Times New Roman"/>
          <w:sz w:val="24"/>
          <w:szCs w:val="24"/>
        </w:rPr>
        <w:t xml:space="preserve">POUKA O PRAVNOM LIJEKU: </w:t>
      </w:r>
    </w:p>
    <w:p w:rsidRDefault="00AE61AA" w:rsidP="00AE61AA" w:rsidR="00AE61AA">
      <w:pPr>
        <w:pStyle w:val="Bezproreda"/>
        <w:jc w:val="both"/>
        <w:rPr>
          <w:rFonts w:cs="Times New Roman" w:hAnsi="Times New Roman" w:ascii="Times New Roman"/>
          <w:sz w:val="24"/>
          <w:szCs w:val="24"/>
        </w:rPr>
      </w:pPr>
      <w:r>
        <w:rPr>
          <w:rFonts w:cs="Times New Roman" w:hAnsi="Times New Roman" w:ascii="Times New Roman"/>
          <w:sz w:val="24"/>
          <w:szCs w:val="24"/>
        </w:rPr>
        <w:t xml:space="preserve">Protiv ovog rješenja dopuštena je žalba Visokom trgovačkom sudu Republike Hrvatske u Zagrebu. Žalba se podnosi putem ovog suda, pismeno u tri primjerka, u roku od 8 dana, a koji rok počinje teći protekom osmog dana od objave ovog rješenja na web stranicama Financijske agencije. </w:t>
      </w:r>
    </w:p>
    <w:p w:rsidRDefault="00AE61AA" w:rsidP="00AE61AA" w:rsidR="00AE61AA">
      <w:pPr>
        <w:spacing w:after="0" w:before="100"/>
        <w:rPr>
          <w:rFonts w:cs="Times New Roman" w:hAnsi="Times New Roman" w:ascii="Times New Roman"/>
          <w:sz w:val="24"/>
          <w:szCs w:val="24"/>
        </w:rPr>
      </w:pPr>
      <w:r>
        <w:rPr>
          <w:rFonts w:cs="Times New Roman" w:hAnsi="Times New Roman" w:ascii="Times New Roman"/>
          <w:sz w:val="24"/>
          <w:szCs w:val="24"/>
        </w:rPr>
        <w:t>DNA:</w:t>
      </w:r>
    </w:p>
    <w:p w:rsidRDefault="00AE61AA" w:rsidP="00AE61AA" w:rsidR="00AE61AA">
      <w:pPr>
        <w:pStyle w:val="Odlomakpopisa"/>
        <w:numPr>
          <w:ilvl w:val="0"/>
          <w:numId w:val="1"/>
        </w:numPr>
        <w:spacing w:lineRule="auto" w:line="240" w:after="0"/>
        <w:rPr>
          <w:rFonts w:cs="Times New Roman" w:hAnsi="Times New Roman" w:ascii="Times New Roman"/>
          <w:sz w:val="24"/>
          <w:szCs w:val="24"/>
        </w:rPr>
      </w:pPr>
      <w:r>
        <w:rPr>
          <w:rFonts w:cs="Times New Roman" w:hAnsi="Times New Roman" w:ascii="Times New Roman"/>
          <w:sz w:val="24"/>
          <w:szCs w:val="24"/>
        </w:rPr>
        <w:t>predlagatelju</w:t>
      </w:r>
    </w:p>
    <w:p w:rsidRDefault="00AE61AA" w:rsidP="00AE61AA" w:rsidR="00AE61AA">
      <w:pPr>
        <w:pStyle w:val="Odlomakpopisa"/>
        <w:numPr>
          <w:ilvl w:val="0"/>
          <w:numId w:val="1"/>
        </w:numPr>
        <w:spacing w:lineRule="auto" w:line="240" w:after="0"/>
        <w:rPr>
          <w:rFonts w:cs="Times New Roman" w:hAnsi="Times New Roman" w:ascii="Times New Roman"/>
          <w:sz w:val="24"/>
          <w:szCs w:val="24"/>
        </w:rPr>
      </w:pPr>
      <w:r>
        <w:rPr>
          <w:rFonts w:cs="Times New Roman" w:hAnsi="Times New Roman" w:ascii="Times New Roman"/>
          <w:sz w:val="24"/>
          <w:szCs w:val="24"/>
        </w:rPr>
        <w:t>FINA, uz dopis</w:t>
      </w:r>
    </w:p>
    <w:p w:rsidRDefault="00AE61AA" w:rsidP="00AE61AA" w:rsidR="00AE61AA">
      <w:pPr>
        <w:pStyle w:val="Odlomakpopisa"/>
        <w:numPr>
          <w:ilvl w:val="0"/>
          <w:numId w:val="1"/>
        </w:numPr>
        <w:spacing w:lineRule="auto" w:line="240" w:after="0"/>
        <w:jc w:val="both"/>
        <w:rPr>
          <w:rFonts w:cs="Times New Roman" w:hAnsi="Times New Roman" w:ascii="Times New Roman"/>
          <w:color w:val="FF0000"/>
          <w:sz w:val="24"/>
          <w:szCs w:val="24"/>
        </w:rPr>
      </w:pPr>
      <w:r>
        <w:rPr>
          <w:rFonts w:cs="Times New Roman" w:hAnsi="Times New Roman" w:ascii="Times New Roman"/>
          <w:sz w:val="24"/>
          <w:szCs w:val="24"/>
        </w:rPr>
        <w:t>u spis</w:t>
      </w:r>
    </w:p>
    <w:p w:rsidRDefault="00F53219" w:rsidR="00F53219"/>
    <w:sectPr w:rsidR="00F53219">
      <w:pgSz w:h="16838" w:w="11906"/>
      <w:pgMar w:gutter="0" w:footer="708" w:header="708" w:left="1417" w:bottom="1417" w:right="1417" w:top="1417"/>
      <w:cols w:space="708"/>
      <w:docGrid w:linePitch="360"/>
    </w:sectPr>
  </w:body>
</w:document>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E604B7"/>
    <w:multiLevelType w:val="hybridMultilevel"/>
    <w:tmpl w:val="290C0DBA"/>
    <w:lvl w:tplc="878EEC42" w:ilvl="0">
      <w:start w:val="4"/>
      <w:numFmt w:val="bullet"/>
      <w:lvlText w:val="-"/>
      <w:lvlJc w:val="left"/>
      <w:pPr>
        <w:ind w:hanging="360" w:left="720"/>
      </w:pPr>
      <w:rPr>
        <w:rFonts w:eastAsiaTheme="minorHAnsi" w:cs="Times New Roman" w:hAnsi="Times New Roman" w:ascii="Times New Roman"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hAnsi="Wingdings" w:ascii="Wingdings" w:hint="default"/>
      </w:rPr>
    </w:lvl>
    <w:lvl w:tplc="041A0001" w:ilvl="3">
      <w:start w:val="1"/>
      <w:numFmt w:val="bullet"/>
      <w:lvlText w:val=""/>
      <w:lvlJc w:val="left"/>
      <w:pPr>
        <w:ind w:hanging="360" w:left="2880"/>
      </w:pPr>
      <w:rPr>
        <w:rFonts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hAnsi="Wingdings" w:ascii="Wingdings" w:hint="default"/>
      </w:rPr>
    </w:lvl>
    <w:lvl w:tplc="041A0001" w:ilvl="6">
      <w:start w:val="1"/>
      <w:numFmt w:val="bullet"/>
      <w:lvlText w:val=""/>
      <w:lvlJc w:val="left"/>
      <w:pPr>
        <w:ind w:hanging="360" w:left="5040"/>
      </w:pPr>
      <w:rPr>
        <w:rFonts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proofState w:grammar="clean" w:spelling="clean"/>
  <w:attachedTemplate r:id="rId1"/>
  <w:defaultTabStop w:val="708"/>
  <w:hyphenationZone w:val="425"/>
  <w:characterSpacingControl w:val="doNotCompress"/>
  <w:savePreviewPicture/>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AE61AA"/>
    <w:rsid w:val="00096D9C"/>
    <w:rsid w:val="00282E62"/>
    <w:rsid w:val="004A12C5"/>
    <w:rsid w:val="009E4CA9"/>
    <w:rsid w:val="00AE61AA"/>
    <w:rsid w:val="00F53219"/>
    <w:rsid w:val="00FF018F"/>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eastAsiaTheme="minorHAnsi" w:cs="Times New Roman" w:hAnsi="Times New Roman" w:ascii="Times New Roman"/>
        <w:sz w:val="24"/>
        <w:szCs w:val="24"/>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AE61AA"/>
    <w:pPr>
      <w:spacing w:lineRule="auto" w:line="276" w:after="200"/>
    </w:pPr>
    <w:rPr>
      <w:rFonts w:cstheme="minorBidi" w:hAnsiTheme="minorHAnsi" w:asciiTheme="minorHAnsi"/>
      <w:sz w:val="22"/>
      <w:szCs w:val="22"/>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Bezproreda" w:type="paragraph">
    <w:name w:val="No Spacing"/>
    <w:uiPriority w:val="1"/>
    <w:qFormat/>
    <w:rsid w:val="00AE61AA"/>
    <w:rPr>
      <w:rFonts w:cstheme="minorBidi" w:hAnsiTheme="minorHAnsi" w:asciiTheme="minorHAnsi"/>
      <w:sz w:val="22"/>
      <w:szCs w:val="22"/>
    </w:rPr>
  </w:style>
  <w:style w:styleId="Odlomakpopisa" w:type="paragraph">
    <w:name w:val="List Paragraph"/>
    <w:basedOn w:val="Normal"/>
    <w:uiPriority w:val="34"/>
    <w:qFormat/>
    <w:rsid w:val="00AE61AA"/>
    <w:pPr>
      <w:ind w:left="720"/>
      <w:contextualSpacing/>
    </w:pPr>
  </w:style>
  <w:style w:styleId="Tekstbalonia" w:type="paragraph">
    <w:name w:val="Balloon Text"/>
    <w:basedOn w:val="Normal"/>
    <w:link w:val="TekstbaloniaChar"/>
    <w:uiPriority w:val="99"/>
    <w:semiHidden/>
    <w:unhideWhenUsed/>
    <w:rsid w:val="00AE61AA"/>
    <w:pPr>
      <w:spacing w:lineRule="auto" w:line="240" w:after="0"/>
    </w:pPr>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AE61AA"/>
    <w:rPr>
      <w:rFonts w:cs="Tahoma" w:hAnsi="Tahoma" w:ascii="Tahoma"/>
      <w:sz w:val="16"/>
      <w:szCs w:val="16"/>
    </w:rPr>
  </w:style>
  <w:style w:styleId="Tekstrezerviranogmjesta" w:type="character">
    <w:name w:val="Placeholder Text"/>
    <w:basedOn w:val="Zadanifontodlomka"/>
    <w:uiPriority w:val="99"/>
    <w:semiHidden/>
    <w:rsid w:val="009E4CA9"/>
    <w:rPr>
      <w:color w:val="808080"/>
      <w:bdr w:space="0" w:sz="0" w:color="auto" w:val="none"/>
      <w:shd w:fill="auto" w:color="auto" w:val="clear"/>
    </w:rPr>
  </w:style>
  <w:style w:customStyle="true" w:styleId="eSPISCCParagraphDefaultFont" w:type="character">
    <w:name w:val="eSPIS_CC_Paragraph Default Font"/>
    <w:basedOn w:val="Zadanifontodlomka"/>
    <w:rsid w:val="009E4CA9"/>
    <w:rPr>
      <w:rFonts w:cs="Times New Roman" w:eastAsia="Times New Roman" w:hAnsi="Times New Roman" w:ascii="Times New Roman"/>
      <w:sz w:val="24"/>
      <w:szCs w:val="24"/>
      <w:bdr w:space="0" w:sz="0" w:color="auto" w:val="none"/>
      <w:shd w:fill="auto" w:color="auto" w:val="clear"/>
      <w:lang w:eastAsia="hr-HR" w:val="hr-HR"/>
    </w:rPr>
  </w:style>
  <w:style w:customStyle="true" w:styleId="PozadinaSvijetloZuta" w:type="character">
    <w:name w:val="Pozadina_SvijetloZuta"/>
    <w:basedOn w:val="Zadanifontodlomka"/>
    <w:rsid w:val="009E4CA9"/>
    <w:rPr>
      <w:rFonts w:cs="Times New Roman" w:eastAsia="Times New Roman" w:hAnsi="Times New Roman" w:ascii="Times New Roman"/>
      <w:sz w:val="24"/>
      <w:szCs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9E4CA9"/>
    <w:rPr>
      <w:rFonts w:cs="Times New Roman" w:eastAsia="Times New Roman" w:hAnsi="Times New Roman" w:ascii="Times New Roman"/>
      <w:sz w:val="24"/>
      <w:szCs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9E4CA9"/>
    <w:rPr>
      <w:rFonts w:cs="Times New Roman" w:eastAsia="Times New Roman" w:hAnsi="Times New Roman" w:ascii="Times New Roman"/>
      <w:sz w:val="24"/>
      <w:szCs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heme="minorHAnsi" w:hAnsi="Times New Roman"/>
        <w:sz w:val="24"/>
        <w:szCs w:val="24"/>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AE61AA"/>
    <w:pPr>
      <w:spacing w:after="200" w:line="276" w:lineRule="auto"/>
    </w:pPr>
    <w:rPr>
      <w:rFonts w:asciiTheme="minorHAnsi" w:cstheme="minorBidi" w:hAnsiTheme="minorHAnsi"/>
      <w:sz w:val="22"/>
      <w:szCs w:val="22"/>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Bezproreda" w:type="paragraph">
    <w:name w:val="No Spacing"/>
    <w:uiPriority w:val="1"/>
    <w:qFormat/>
    <w:rsid w:val="00AE61AA"/>
    <w:rPr>
      <w:rFonts w:asciiTheme="minorHAnsi" w:cstheme="minorBidi" w:hAnsiTheme="minorHAnsi"/>
      <w:sz w:val="22"/>
      <w:szCs w:val="22"/>
    </w:rPr>
  </w:style>
  <w:style w:styleId="Odlomakpopisa" w:type="paragraph">
    <w:name w:val="List Paragraph"/>
    <w:basedOn w:val="Normal"/>
    <w:uiPriority w:val="34"/>
    <w:qFormat/>
    <w:rsid w:val="00AE61AA"/>
    <w:pPr>
      <w:ind w:left="720"/>
      <w:contextualSpacing/>
    </w:pPr>
  </w:style>
  <w:style w:styleId="Tekstbalonia" w:type="paragraph">
    <w:name w:val="Balloon Text"/>
    <w:basedOn w:val="Normal"/>
    <w:link w:val="TekstbaloniaChar"/>
    <w:uiPriority w:val="99"/>
    <w:semiHidden/>
    <w:unhideWhenUsed/>
    <w:rsid w:val="00AE61AA"/>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AE61AA"/>
    <w:rPr>
      <w:rFonts w:ascii="Tahoma" w:cs="Tahoma" w:hAnsi="Tahoma"/>
      <w:sz w:val="16"/>
      <w:szCs w:val="16"/>
    </w:rPr>
  </w:style>
  <w:style w:styleId="Tekstrezerviranogmjesta" w:type="character">
    <w:name w:val="Placeholder Text"/>
    <w:basedOn w:val="Zadanifontodlomka"/>
    <w:uiPriority w:val="99"/>
    <w:semiHidden/>
    <w:rsid w:val="009E4CA9"/>
    <w:rPr>
      <w:color w:val="808080"/>
      <w:bdr w:color="auto" w:space="0" w:sz="0" w:val="none"/>
      <w:shd w:color="auto" w:fill="auto" w:val="clear"/>
    </w:rPr>
  </w:style>
  <w:style w:customStyle="1" w:styleId="eSPISCCParagraphDefaultFont" w:type="character">
    <w:name w:val="eSPIS_CC_Paragraph Default Font"/>
    <w:basedOn w:val="Zadanifontodlomka"/>
    <w:rsid w:val="009E4CA9"/>
    <w:rPr>
      <w:rFonts w:ascii="Times New Roman" w:cs="Times New Roman" w:eastAsia="Times New Roman" w:hAnsi="Times New Roman"/>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9E4CA9"/>
    <w:rPr>
      <w:rFonts w:ascii="Times New Roman" w:cs="Times New Roman" w:eastAsia="Times New Roman" w:hAnsi="Times New Roman"/>
      <w:sz w:val="24"/>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9E4CA9"/>
    <w:rPr>
      <w:rFonts w:ascii="Times New Roman" w:cs="Times New Roman" w:eastAsia="Times New Roman" w:hAnsi="Times New Roman"/>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9E4CA9"/>
    <w:rPr>
      <w:rFonts w:ascii="Times New Roman" w:cs="Times New Roman" w:eastAsia="Times New Roman" w:hAnsi="Times New Roman"/>
      <w:sz w:val="24"/>
      <w:szCs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538546735">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30. kolovoza 2016.</izvorni_sadrzaj>
    <derivirana_varijabla naziv="DomainObject.DatumDonosenjaOdluke_1">30. kolovoza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Velimir</izvorni_sadrzaj>
    <derivirana_varijabla naziv="DomainObject.DonositeljOdluke.Ime_1">Velimir</derivirana_varijabla>
  </DomainObject.DonositeljOdluke.Ime>
  <DomainObject.DonositeljOdluke.Prezime>
    <izvorni_sadrzaj>Vuković</izvorni_sadrzaj>
    <derivirana_varijabla naziv="DomainObject.DonositeljOdluke.Prezime_1">Vuković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izvorni_sadrzaj>
    <derivirana_varijabla naziv="DomainObject.Predmet.Broj_1">35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8. travnja 2015.</izvorni_sadrzaj>
    <derivirana_varijabla naziv="DomainObject.Predmet.DatumOsnivanja_1">8. travnja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Stpn-35/2015</izvorni_sadrzaj>
    <derivirana_varijabla naziv="DomainObject.Predmet.OznakaBroj_1">Stpn-35/2015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izvorni_sadrzaj>
    <derivirana_varijabla naziv="DomainObject.Predmet.Referada.Naziv_1">Referada 1</derivirana_varijabla>
  </DomainObject.Predmet.Referada.Naziv>
  <DomainObject.Predmet.Referada.Oznaka>
    <izvorni_sadrzaj>Ref 1</izvorni_sadrzaj>
    <derivirana_varijabla naziv="DomainObject.Predmet.Referada.Oznaka_1">Ref 1</derivirana_varijabla>
  </DomainObject.Predmet.Referada.Oznaka>
  <DomainObject.Predmet.Referada.Prostorija.Naziv>
    <izvorni_sadrzaj>Sudnica, kabinet suca</izvorni_sadrzaj>
    <derivirana_varijabla naziv="DomainObject.Predmet.Referada.Prostorija.Naziv_1">Sudnica, kabinet suca</derivirana_varijabla>
  </DomainObject.Predmet.Referada.Prostorija.Naziv>
  <DomainObject.Predmet.Referada.Prostorija.Oznaka>
    <izvorni_sadrzaj>3,4</izvorni_sadrzaj>
    <derivirana_varijabla naziv="DomainObject.Predmet.Referada.Prostorija.Oznaka_1">3,4</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Velimir Vuković</izvorni_sadrzaj>
    <derivirana_varijabla naziv="DomainObject.Predmet.Referada.Sudac_1">Velimir Vuković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Ivica Čopac</izvorni_sadrzaj>
    <derivirana_varijabla naziv="DomainObject.Predmet.StrankaFormated_1">  Ivica Čopac</derivirana_varijabla>
  </DomainObject.Predmet.StrankaFormated>
  <DomainObject.Predmet.StrankaFormatedOIB>
    <izvorni_sadrzaj>  Ivica Čopac, OIB 62845505863</izvorni_sadrzaj>
    <derivirana_varijabla naziv="DomainObject.Predmet.StrankaFormatedOIB_1">  Ivica Čopac, OIB 62845505863</derivirana_varijabla>
  </DomainObject.Predmet.StrankaFormatedOIB>
  <DomainObject.Predmet.StrankaFormatedWithAdress>
    <izvorni_sadrzaj> Ivica Čopac, Put Kruga 19, 21315 Dugi Rat</izvorni_sadrzaj>
    <derivirana_varijabla naziv="DomainObject.Predmet.StrankaFormatedWithAdress_1"> Ivica Čopac, Put Kruga 19, 21315 Dugi Rat</derivirana_varijabla>
  </DomainObject.Predmet.StrankaFormatedWithAdress>
  <DomainObject.Predmet.StrankaFormatedWithAdressOIB>
    <izvorni_sadrzaj> Ivica Čopac, OIB 62845505863, Put Kruga 19, 21315 Dugi Rat</izvorni_sadrzaj>
    <derivirana_varijabla naziv="DomainObject.Predmet.StrankaFormatedWithAdressOIB_1"> Ivica Čopac, OIB 62845505863, Put Kruga 19, 21315 Dugi Rat</derivirana_varijabla>
  </DomainObject.Predmet.StrankaFormatedWithAdressOIB>
  <DomainObject.Predmet.StrankaWithAdress>
    <izvorni_sadrzaj>Ivica Čopac Put Kruga 19,21315 Dugi Rat</izvorni_sadrzaj>
    <derivirana_varijabla naziv="DomainObject.Predmet.StrankaWithAdress_1">Ivica Čopac Put Kruga 19,21315 Dugi Rat</derivirana_varijabla>
  </DomainObject.Predmet.StrankaWithAdress>
  <DomainObject.Predmet.StrankaWithAdressOIB>
    <izvorni_sadrzaj>Ivica Čopac, OIB 62845505863, Put Kruga 19,21315 Dugi Rat</izvorni_sadrzaj>
    <derivirana_varijabla naziv="DomainObject.Predmet.StrankaWithAdressOIB_1">Ivica Čopac, OIB 62845505863, Put Kruga 19,21315 Dugi Rat</derivirana_varijabla>
  </DomainObject.Predmet.StrankaWithAdressOIB>
  <DomainObject.Predmet.StrankaNazivFormated>
    <izvorni_sadrzaj>Ivica Čopac</izvorni_sadrzaj>
    <derivirana_varijabla naziv="DomainObject.Predmet.StrankaNazivFormated_1">Ivica Čopac</derivirana_varijabla>
  </DomainObject.Predmet.StrankaNazivFormated>
  <DomainObject.Predmet.StrankaNazivFormatedOIB>
    <izvorni_sadrzaj>Ivica Čopac, OIB 62845505863</izvorni_sadrzaj>
    <derivirana_varijabla naziv="DomainObject.Predmet.StrankaNazivFormatedOIB_1">Ivica Čopac, OIB 62845505863</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izvorni_sadrzaj>
    <derivirana_varijabla naziv="DomainObject.Predmet.TrenutnaLokacijaSpisa.Naziv_1">Referada 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Marija Elez</izvorni_sadrzaj>
    <derivirana_varijabla naziv="DomainObject.Predmet.Zapisnicar_1">Marija Elez</derivirana_varijabla>
  </DomainObject.Predmet.Zapisnicar>
  <DomainObject.Predmet.StrankaListFormated>
    <izvorni_sadrzaj>
      <item>Ivica Čopac</item>
    </izvorni_sadrzaj>
    <derivirana_varijabla naziv="DomainObject.Predmet.StrankaListFormated_1">
      <item>Ivica Čopac</item>
    </derivirana_varijabla>
  </DomainObject.Predmet.StrankaListFormated>
  <DomainObject.Predmet.StrankaListFormatedOIB>
    <izvorni_sadrzaj>
      <item>Ivica Čopac, OIB 62845505863</item>
    </izvorni_sadrzaj>
    <derivirana_varijabla naziv="DomainObject.Predmet.StrankaListFormatedOIB_1">
      <item>Ivica Čopac, OIB 62845505863</item>
    </derivirana_varijabla>
  </DomainObject.Predmet.StrankaListFormatedOIB>
  <DomainObject.Predmet.StrankaListFormatedWithAdress>
    <izvorni_sadrzaj>
      <item>Ivica Čopac, Put Kruga 19, 21315 Dugi Rat</item>
    </izvorni_sadrzaj>
    <derivirana_varijabla naziv="DomainObject.Predmet.StrankaListFormatedWithAdress_1">
      <item>Ivica Čopac, Put Kruga 19, 21315 Dugi Rat</item>
    </derivirana_varijabla>
  </DomainObject.Predmet.StrankaListFormatedWithAdress>
  <DomainObject.Predmet.StrankaListFormatedWithAdressOIB>
    <izvorni_sadrzaj>
      <item>Ivica Čopac, OIB 62845505863, Put Kruga 19, 21315 Dugi Rat</item>
    </izvorni_sadrzaj>
    <derivirana_varijabla naziv="DomainObject.Predmet.StrankaListFormatedWithAdressOIB_1">
      <item>Ivica Čopac, OIB 62845505863, Put Kruga 19, 21315 Dugi Rat</item>
    </derivirana_varijabla>
  </DomainObject.Predmet.StrankaListFormatedWithAdressOIB>
  <DomainObject.Predmet.StrankaListNazivFormated>
    <izvorni_sadrzaj>
      <item>Ivica Čopac</item>
    </izvorni_sadrzaj>
    <derivirana_varijabla naziv="DomainObject.Predmet.StrankaListNazivFormated_1">
      <item>Ivica Čopac</item>
    </derivirana_varijabla>
  </DomainObject.Predmet.StrankaListNazivFormated>
  <DomainObject.Predmet.StrankaListNazivFormatedOIB>
    <izvorni_sadrzaj>
      <item>Ivica Čopac, OIB 62845505863</item>
    </izvorni_sadrzaj>
    <derivirana_varijabla naziv="DomainObject.Predmet.StrankaListNazivFormatedOIB_1">
      <item>Ivica Čopac, OIB 62845505863</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30. kolovoza 2016.</izvorni_sadrzaj>
    <derivirana_varijabla naziv="DomainObject.Datum_1">30. kolovoza 2016.</derivirana_varijabla>
  </DomainObject.Datum>
  <DomainObject.PoslovniBrojDokumenta>
    <izvorni_sadrzaj/>
    <derivirana_varijabla naziv="DomainObject.PoslovniBrojDokumenta_1"/>
  </DomainObject.PoslovniBrojDokumenta>
  <DomainObject.Predmet.StrankaIDrugi>
    <izvorni_sadrzaj>Ivica Čopac</izvorni_sadrzaj>
    <derivirana_varijabla naziv="DomainObject.Predmet.StrankaIDrugi_1">Ivica Čopac</derivirana_varijabla>
  </DomainObject.Predmet.StrankaIDrugi>
  <DomainObject.Predmet.ProtustrankaIDrugi>
    <izvorni_sadrzaj/>
    <derivirana_varijabla naziv="DomainObject.Predmet.ProtustrankaIDrugi_1"/>
  </DomainObject.Predmet.ProtustrankaIDrugi>
  <DomainObject.Predmet.StrankaIDrugiAdressOIB>
    <izvorni_sadrzaj>Ivica Čopac, OIB 62845505863, Put Kruga 19, 21315 Dugi Rat</izvorni_sadrzaj>
    <derivirana_varijabla naziv="DomainObject.Predmet.StrankaIDrugiAdressOIB_1">Ivica Čopac, OIB 62845505863, Put Kruga 19, 21315 Dugi Rat</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Ivica Čopac</item>
    </izvorni_sadrzaj>
    <derivirana_varijabla naziv="DomainObject.Predmet.SudioniciListNaziv_1">
      <item>Ivica Čopac</item>
    </derivirana_varijabla>
  </DomainObject.Predmet.SudioniciListNaziv>
  <DomainObject.Predmet.SudioniciListAdressOIB>
    <izvorni_sadrzaj>
      <item>Ivica Čopac, OIB 62845505863, Put Kruga 19,21315 Dugi Rat</item>
    </izvorni_sadrzaj>
    <derivirana_varijabla naziv="DomainObject.Predmet.SudioniciListAdressOIB_1">
      <item>Ivica Čopac, OIB 62845505863, Put Kruga 19,21315 Dugi Rat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62845505863</item>
    </izvorni_sadrzaj>
    <derivirana_varijabla naziv="DomainObject.Predmet.SudioniciListNazivOIB_1">
      <item>, OIB 62845505863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777</properties:Words>
  <properties:Characters>4364</properties:Characters>
  <properties:Lines>83</properties:Lines>
  <properties:Paragraphs>28</properties:Paragraphs>
  <properties:TotalTime>44</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5165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2016-08-30T09:44:00Z</dcterms:created>
  <dc:creator>Velimir Vuković</dc:creator>
  <cp:lastModifiedBy>Velimir Vuković</cp:lastModifiedBy>
  <cp:lastPrinted>2016-08-30T10:27:00Z</cp:lastPrinted>
  <dcterms:modified xmlns:xsi="http://www.w3.org/2001/XMLSchema-instance" xsi:type="dcterms:W3CDTF">2016-08-30T10:30:00Z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