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368DA" w:rsidR="00A368DA" w:rsidP="00A368DA" w:rsidRDefault="00A368DA" w14:paraId="e7e03d4" w14:textId="e7e03d4">
      <w:pPr>
        <w:spacing w:after="0" w:line="240" w:lineRule="auto"/>
        <w15:collapsed w:val="false"/>
        <w:rPr>
          <w:rFonts w:ascii="Times New Roman" w:hAnsi="Times New Roman" w:eastAsia="Times New Roman" w:cs="Times New Roman"/>
          <w:color w:val="000000"/>
          <w:sz w:val="24"/>
          <w:szCs w:val="24"/>
          <w:lang w:eastAsia="hr-HR"/>
        </w:rPr>
      </w:pPr>
      <w:bookmarkStart w:name="_GoBack" w:id="0"/>
      <w:bookmarkEnd w:id="0"/>
      <w:r w:rsidRPr="00A368DA">
        <w:rPr>
          <w:rFonts w:ascii="Times New Roman" w:hAnsi="Times New Roman" w:eastAsia="Times New Roman" w:cs="Times New Roman"/>
          <w:color w:val="000000"/>
          <w:sz w:val="24"/>
          <w:szCs w:val="24"/>
          <w:lang w:eastAsia="hr-HR"/>
        </w:rPr>
        <w:t>              </w:t>
      </w:r>
      <w:r w:rsidRPr="00A368DA">
        <w:rPr>
          <w:rFonts w:ascii="Times New Roman" w:hAnsi="Times New Roman" w:eastAsia="Times New Roman" w:cs="Times New Roman"/>
          <w:noProof/>
          <w:color w:val="000000"/>
          <w:sz w:val="24"/>
          <w:szCs w:val="24"/>
          <w:lang w:eastAsia="hr-HR"/>
        </w:rPr>
        <w:drawing>
          <wp:inline distT="0" distB="0" distL="0" distR="0">
            <wp:extent cx="571500" cy="723900"/>
            <wp:effectExtent l="0" t="0" r="0" b="0"/>
            <wp:docPr id="2" name="Slika 2" descr="http://prekrsajni.pravosudje.hr/Grb2.gif"/>
            <wp:cNvGraphicFramePr>
              <a:graphicFrameLocks noChangeAspect="true"/>
            </wp:cNvGraphicFramePr>
            <a:graphic>
              <a:graphicData uri="http://schemas.openxmlformats.org/drawingml/2006/picture">
                <pic:pic>
                  <pic:nvPicPr>
                    <pic:cNvPr id="0" name="Picture 2" descr="http://prekrsajni.pravosudje.hr/Grb2.gif"/>
                    <pic:cNvPicPr>
                      <a:picLocks noChangeAspect="true" noChangeArrowheads="true"/>
                    </pic:cNvPicPr>
                  </pic:nvPicPr>
                  <pic:blipFill>
                    <a:blip r:embed="rId5">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71500" cy="723900"/>
                    </a:xfrm>
                    <a:prstGeom prst="rect">
                      <a:avLst/>
                    </a:prstGeom>
                    <a:noFill/>
                    <a:ln>
                      <a:noFill/>
                    </a:ln>
                  </pic:spPr>
                </pic:pic>
              </a:graphicData>
            </a:graphic>
          </wp:inline>
        </w:drawing>
      </w:r>
    </w:p>
    <w:p w:rsidRPr="005F1807" w:rsidR="00730DD4" w:rsidP="00730DD4" w:rsidRDefault="00730DD4">
      <w:pPr>
        <w:autoSpaceDE w:val="false"/>
        <w:autoSpaceDN w:val="false"/>
        <w:adjustRightInd w:val="false"/>
        <w:spacing w:after="180" w:line="276" w:lineRule="auto"/>
        <w:rPr>
          <w:rFonts w:ascii="Arial" w:hAnsi="Arial" w:cs="Arial"/>
          <w:sz w:val="24"/>
          <w:szCs w:val="24"/>
        </w:rPr>
      </w:pPr>
    </w:p>
    <w:tbl>
      <w:tblPr>
        <w:tblStyle w:val="TableNormal"/>
        <w:tblW w:w="0" w:type="dxa"/>
        <w:tblInd w:w="0" w:type="dxa"/>
        <w:tblLook w:firstRow="0" w:lastRow="0" w:firstColumn="0" w:lastColumn="0" w:noHBand="0" w:noVBand="0" w:val="0000"/>
      </w:tblPr>
      <w:tblGrid>
        <w:gridCol w:w="3756"/>
        <w:gridCol w:w="1878"/>
        <w:gridCol w:w="3756"/>
      </w:tblGrid>
      <w:tr w:rsidRPr="005F1807" w:rsidR="00730DD4">
        <w:tc>
          <w:tcPr>
            <w:tcW w:w="2000" w:type="pct"/>
            <w:tcBorders>
              <w:top w:val="nil"/>
              <w:left w:val="nil"/>
              <w:bottom w:val="nil"/>
              <w:right w:val="nil"/>
            </w:tcBorders>
            <w:tcMar>
              <w:top w:w="0" w:type="dxa"/>
              <w:left w:w="0" w:type="dxa"/>
              <w:bottom w:w="0" w:type="dxa"/>
              <w:right w:w="0" w:type="dxa"/>
            </w:tcMar>
            <w:vAlign w:val="center"/>
          </w:tcPr>
          <w:p w:rsidRPr="005F1807" w:rsidR="00730DD4" w:rsidP="00730DD4" w:rsidRDefault="00730DD4">
            <w:pPr>
              <w:spacing w:line="240" w:lineRule="auto"/>
              <w:rPr>
                <w:rFonts w:ascii="Arial" w:hAnsi="Arial" w:cs="Arial" w:eastAsiaTheme="minorHAnsi"/>
                <w:lang w:val="hr-HR" w:eastAsia="en-US"/>
              </w:rPr>
            </w:pPr>
            <w:r w:rsidRPr="005F1807">
              <w:rPr>
                <w:rFonts w:ascii="Arial" w:hAnsi="Arial" w:cs="Arial" w:eastAsiaTheme="minorHAnsi"/>
                <w:lang w:val="hr-HR" w:eastAsia="en-US"/>
              </w:rPr>
              <w:t xml:space="preserve">REPUBLIKA HRVATSKA </w:t>
            </w:r>
          </w:p>
        </w:tc>
        <w:tc>
          <w:tcPr>
            <w:tcW w:w="0" w:type="auto"/>
            <w:tcBorders>
              <w:top w:val="nil"/>
              <w:left w:val="nil"/>
              <w:bottom w:val="nil"/>
              <w:right w:val="nil"/>
            </w:tcBorders>
            <w:tcMar>
              <w:top w:w="0" w:type="dxa"/>
              <w:left w:w="0" w:type="dxa"/>
              <w:bottom w:w="0" w:type="dxa"/>
              <w:right w:w="0" w:type="dxa"/>
            </w:tcMar>
          </w:tcPr>
          <w:p w:rsidRPr="005F1807" w:rsidR="00730DD4" w:rsidP="00730DD4" w:rsidRDefault="00730DD4">
            <w:pPr>
              <w:spacing w:line="240" w:lineRule="auto"/>
              <w:rPr>
                <w:rFonts w:ascii="Arial" w:hAnsi="Arial" w:cs="Arial" w:eastAsiaTheme="minorHAnsi"/>
                <w:lang w:val="hr-HR" w:eastAsia="en-US"/>
              </w:rPr>
            </w:pPr>
            <w:r w:rsidRPr="005F1807">
              <w:rPr>
                <w:rFonts w:ascii="Arial" w:hAnsi="Arial" w:cs="Arial" w:eastAsiaTheme="minorHAnsi"/>
                <w:lang w:val="hr-HR" w:eastAsia="en-US"/>
              </w:rPr>
              <w:t> </w:t>
            </w:r>
          </w:p>
        </w:tc>
        <w:tc>
          <w:tcPr>
            <w:tcW w:w="2000" w:type="pct"/>
            <w:tcBorders>
              <w:top w:val="nil"/>
              <w:left w:val="nil"/>
              <w:bottom w:val="nil"/>
              <w:right w:val="nil"/>
            </w:tcBorders>
            <w:tcMar>
              <w:top w:w="0" w:type="dxa"/>
              <w:left w:w="0" w:type="dxa"/>
              <w:bottom w:w="0" w:type="dxa"/>
              <w:right w:w="0" w:type="dxa"/>
            </w:tcMar>
            <w:vAlign w:val="center"/>
          </w:tcPr>
          <w:p w:rsidRPr="005F1807" w:rsidR="00730DD4" w:rsidP="00730DD4" w:rsidRDefault="00730DD4">
            <w:pPr>
              <w:rPr>
                <w:rFonts w:ascii="Arial" w:hAnsi="Arial" w:cs="Arial" w:eastAsiaTheme="minorHAnsi"/>
                <w:lang w:val="hr-HR" w:eastAsia="en-US"/>
              </w:rPr>
            </w:pPr>
          </w:p>
        </w:tc>
      </w:tr>
      <w:tr w:rsidRPr="005F1807" w:rsidR="00730DD4">
        <w:trPr>
          <w:gridAfter w:val="1"/>
          <w:wAfter w:w="360" w:type="dxa"/>
        </w:trPr>
        <w:tc>
          <w:tcPr>
            <w:tcW w:w="0" w:type="auto"/>
            <w:tcBorders>
              <w:top w:val="nil"/>
              <w:left w:val="nil"/>
              <w:bottom w:val="nil"/>
              <w:right w:val="nil"/>
            </w:tcBorders>
            <w:tcMar>
              <w:top w:w="0" w:type="dxa"/>
              <w:left w:w="0" w:type="dxa"/>
              <w:bottom w:w="0" w:type="dxa"/>
              <w:right w:w="0" w:type="dxa"/>
            </w:tcMar>
          </w:tcPr>
          <w:p w:rsidRPr="005F1807" w:rsidR="00730DD4" w:rsidP="00730DD4" w:rsidRDefault="00730DD4">
            <w:pPr>
              <w:spacing w:line="240" w:lineRule="auto"/>
              <w:rPr>
                <w:rFonts w:ascii="Arial" w:hAnsi="Arial" w:cs="Arial" w:eastAsiaTheme="minorHAnsi"/>
                <w:lang w:val="hr-HR" w:eastAsia="en-US"/>
              </w:rPr>
            </w:pPr>
            <w:r w:rsidRPr="005F1807">
              <w:rPr>
                <w:rFonts w:ascii="Arial" w:hAnsi="Arial" w:cs="Arial" w:eastAsiaTheme="minorHAnsi"/>
                <w:highlight w:val="lightGray"/>
                <w:lang w:val="hr-HR" w:eastAsia="en-US"/>
              </w:rPr>
              <w:t>OPĆINSKI SUD U DUBROVNIKU</w:t>
            </w:r>
          </w:p>
          <w:p w:rsidRPr="005F1807" w:rsidR="00730DD4" w:rsidP="00730DD4" w:rsidRDefault="00730DD4">
            <w:pPr>
              <w:spacing w:line="240" w:lineRule="auto"/>
              <w:rPr>
                <w:rFonts w:ascii="Arial" w:hAnsi="Arial" w:cs="Arial" w:eastAsiaTheme="minorHAnsi"/>
                <w:lang w:val="hr-HR" w:eastAsia="en-US"/>
              </w:rPr>
            </w:pPr>
            <w:r w:rsidRPr="005F1807">
              <w:rPr>
                <w:rFonts w:ascii="Arial" w:hAnsi="Arial" w:cs="Arial" w:eastAsiaTheme="minorHAnsi"/>
                <w:highlight w:val="lightGray"/>
                <w:lang w:val="hr-HR" w:eastAsia="en-US"/>
              </w:rPr>
              <w:t>Stalna služba u Korčuli</w:t>
            </w:r>
          </w:p>
        </w:tc>
        <w:tc>
          <w:tcPr>
            <w:tcW w:w="0" w:type="auto"/>
            <w:tcBorders>
              <w:top w:val="nil"/>
              <w:left w:val="nil"/>
              <w:bottom w:val="nil"/>
              <w:right w:val="nil"/>
            </w:tcBorders>
            <w:tcMar>
              <w:top w:w="0" w:type="dxa"/>
              <w:left w:w="0" w:type="dxa"/>
              <w:bottom w:w="0" w:type="dxa"/>
              <w:right w:w="0" w:type="dxa"/>
            </w:tcMar>
          </w:tcPr>
          <w:p w:rsidRPr="005F1807" w:rsidR="00730DD4" w:rsidP="00730DD4" w:rsidRDefault="00730DD4">
            <w:pPr>
              <w:spacing w:line="240" w:lineRule="auto"/>
              <w:rPr>
                <w:rFonts w:ascii="Arial" w:hAnsi="Arial" w:cs="Arial" w:eastAsiaTheme="minorHAnsi"/>
                <w:lang w:val="hr-HR" w:eastAsia="en-US"/>
              </w:rPr>
            </w:pPr>
            <w:r w:rsidRPr="005F1807">
              <w:rPr>
                <w:rFonts w:ascii="Arial" w:hAnsi="Arial" w:cs="Arial" w:eastAsiaTheme="minorHAnsi"/>
                <w:lang w:val="hr-HR" w:eastAsia="en-US"/>
              </w:rPr>
              <w:t> </w:t>
            </w:r>
          </w:p>
        </w:tc>
      </w:tr>
      <w:tr w:rsidRPr="005F1807" w:rsidR="00730DD4">
        <w:tc>
          <w:tcPr>
            <w:tcW w:w="0" w:type="auto"/>
            <w:tcBorders>
              <w:top w:val="nil"/>
              <w:left w:val="nil"/>
              <w:bottom w:val="nil"/>
              <w:right w:val="nil"/>
            </w:tcBorders>
            <w:tcMar>
              <w:top w:w="0" w:type="dxa"/>
              <w:left w:w="0" w:type="dxa"/>
              <w:bottom w:w="0" w:type="dxa"/>
              <w:right w:w="0" w:type="dxa"/>
            </w:tcMar>
          </w:tcPr>
          <w:p w:rsidRPr="005F1807" w:rsidR="00730DD4" w:rsidP="00730DD4" w:rsidRDefault="00F50710">
            <w:pPr>
              <w:spacing w:line="240" w:lineRule="auto"/>
              <w:rPr>
                <w:rFonts w:ascii="Arial" w:hAnsi="Arial" w:cs="Arial" w:eastAsiaTheme="minorHAnsi"/>
                <w:lang w:val="hr-HR" w:eastAsia="en-US"/>
              </w:rPr>
            </w:pPr>
            <w:r>
              <w:rPr>
                <w:rFonts w:ascii="Arial" w:hAnsi="Arial" w:cs="Arial" w:eastAsiaTheme="minorHAnsi"/>
                <w:lang w:val="hr-HR" w:eastAsia="en-US"/>
              </w:rPr>
              <w:t>Odjel</w:t>
            </w:r>
            <w:r w:rsidRPr="005F1807" w:rsidR="00730DD4">
              <w:rPr>
                <w:rFonts w:ascii="Arial" w:hAnsi="Arial" w:cs="Arial" w:eastAsiaTheme="minorHAnsi"/>
                <w:lang w:val="hr-HR" w:eastAsia="en-US"/>
              </w:rPr>
              <w:t xml:space="preserve"> z</w:t>
            </w:r>
            <w:r>
              <w:rPr>
                <w:rFonts w:ascii="Arial" w:hAnsi="Arial" w:cs="Arial" w:eastAsiaTheme="minorHAnsi"/>
                <w:lang w:val="hr-HR" w:eastAsia="en-US"/>
              </w:rPr>
              <w:t>a izvršenje prekršajnih kazni</w:t>
            </w:r>
          </w:p>
        </w:tc>
        <w:tc>
          <w:tcPr>
            <w:tcW w:w="0" w:type="auto"/>
            <w:tcBorders>
              <w:top w:val="nil"/>
              <w:left w:val="nil"/>
              <w:bottom w:val="nil"/>
              <w:right w:val="nil"/>
            </w:tcBorders>
            <w:tcMar>
              <w:top w:w="0" w:type="dxa"/>
              <w:left w:w="0" w:type="dxa"/>
              <w:bottom w:w="0" w:type="dxa"/>
              <w:right w:w="0" w:type="dxa"/>
            </w:tcMar>
          </w:tcPr>
          <w:p w:rsidRPr="005F1807" w:rsidR="00730DD4" w:rsidP="00730DD4" w:rsidRDefault="00730DD4">
            <w:pPr>
              <w:spacing w:line="240" w:lineRule="auto"/>
              <w:rPr>
                <w:rFonts w:ascii="Arial" w:hAnsi="Arial" w:cs="Arial" w:eastAsiaTheme="minorHAnsi"/>
                <w:lang w:val="hr-HR" w:eastAsia="en-US"/>
              </w:rPr>
            </w:pPr>
            <w:r w:rsidRPr="005F1807">
              <w:rPr>
                <w:rFonts w:ascii="Arial" w:hAnsi="Arial" w:cs="Arial" w:eastAsiaTheme="minorHAnsi"/>
                <w:lang w:val="hr-HR" w:eastAsia="en-US"/>
              </w:rPr>
              <w:t> </w:t>
            </w:r>
          </w:p>
        </w:tc>
        <w:tc>
          <w:tcPr>
            <w:tcW w:w="0" w:type="auto"/>
            <w:tcBorders>
              <w:top w:val="nil"/>
              <w:left w:val="nil"/>
              <w:bottom w:val="nil"/>
              <w:right w:val="nil"/>
            </w:tcBorders>
            <w:tcMar>
              <w:top w:w="0" w:type="dxa"/>
              <w:left w:w="0" w:type="dxa"/>
              <w:bottom w:w="0" w:type="dxa"/>
              <w:right w:w="0" w:type="dxa"/>
            </w:tcMar>
          </w:tcPr>
          <w:p w:rsidRPr="005F1807" w:rsidR="00730DD4" w:rsidP="00730DD4" w:rsidRDefault="00730DD4">
            <w:pPr>
              <w:spacing w:line="240" w:lineRule="auto"/>
              <w:rPr>
                <w:rFonts w:ascii="Arial" w:hAnsi="Arial" w:cs="Arial" w:eastAsiaTheme="minorHAnsi"/>
                <w:lang w:val="hr-HR" w:eastAsia="en-US"/>
              </w:rPr>
            </w:pPr>
            <w:r w:rsidRPr="005F1807">
              <w:rPr>
                <w:rFonts w:ascii="Arial" w:hAnsi="Arial" w:cs="Arial" w:eastAsiaTheme="minorHAnsi"/>
                <w:lang w:val="hr-HR" w:eastAsia="en-US"/>
              </w:rPr>
              <w:t> </w:t>
            </w:r>
          </w:p>
        </w:tc>
      </w:tr>
    </w:tbl>
    <w:p w:rsidRPr="005F1807" w:rsidR="00730DD4" w:rsidP="00730DD4" w:rsidRDefault="00730DD4">
      <w:pPr>
        <w:autoSpaceDE w:val="false"/>
        <w:autoSpaceDN w:val="false"/>
        <w:adjustRightInd w:val="false"/>
        <w:spacing w:after="0" w:line="240" w:lineRule="auto"/>
        <w:rPr>
          <w:rFonts w:ascii="Arial" w:hAnsi="Arial" w:cs="Arial"/>
          <w:sz w:val="24"/>
          <w:szCs w:val="24"/>
        </w:rPr>
      </w:pPr>
      <w:r w:rsidRPr="005F1807">
        <w:rPr>
          <w:rFonts w:ascii="Arial" w:hAnsi="Arial" w:cs="Arial"/>
          <w:sz w:val="24"/>
          <w:szCs w:val="24"/>
        </w:rPr>
        <w:br/>
      </w:r>
    </w:p>
    <w:tbl>
      <w:tblPr>
        <w:tblStyle w:val="TableNormal"/>
        <w:tblW w:w="1500" w:type="pct"/>
        <w:tblInd w:w="0" w:type="dxa"/>
        <w:tblLook w:firstRow="0" w:lastRow="0" w:firstColumn="0" w:lastColumn="0" w:noHBand="0" w:noVBand="0" w:val="0000"/>
      </w:tblPr>
      <w:tblGrid>
        <w:gridCol w:w="157"/>
        <w:gridCol w:w="2658"/>
      </w:tblGrid>
      <w:tr w:rsidRPr="005F1807" w:rsidR="00730DD4">
        <w:tc>
          <w:tcPr>
            <w:tcW w:w="250" w:type="pct"/>
            <w:tcBorders>
              <w:top w:val="nil"/>
              <w:left w:val="nil"/>
              <w:bottom w:val="nil"/>
              <w:right w:val="single" w:color="000000" w:sz="6" w:space="0"/>
            </w:tcBorders>
            <w:tcMar>
              <w:top w:w="0" w:type="dxa"/>
              <w:left w:w="0" w:type="dxa"/>
              <w:bottom w:w="0" w:type="dxa"/>
              <w:right w:w="0" w:type="dxa"/>
            </w:tcMar>
          </w:tcPr>
          <w:p w:rsidRPr="005F1807" w:rsidR="00730DD4" w:rsidP="00730DD4" w:rsidRDefault="00730DD4">
            <w:pPr>
              <w:spacing w:line="240" w:lineRule="auto"/>
              <w:rPr>
                <w:rFonts w:ascii="Arial" w:hAnsi="Arial" w:cs="Arial" w:eastAsiaTheme="minorHAnsi"/>
                <w:lang w:val="hr-HR" w:eastAsia="en-US"/>
              </w:rPr>
            </w:pPr>
          </w:p>
        </w:tc>
        <w:tc>
          <w:tcPr>
            <w:tcW w:w="4250" w:type="pc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rsidRPr="005F1807" w:rsidR="00730DD4" w:rsidP="00730DD4" w:rsidRDefault="00730DD4">
            <w:pPr>
              <w:spacing w:line="240" w:lineRule="auto"/>
              <w:jc w:val="center"/>
              <w:rPr>
                <w:rFonts w:ascii="Arial" w:hAnsi="Arial" w:cs="Arial" w:eastAsiaTheme="minorHAnsi"/>
                <w:lang w:val="hr-HR" w:eastAsia="en-US"/>
              </w:rPr>
            </w:pPr>
            <w:r w:rsidRPr="005F1807">
              <w:rPr>
                <w:rFonts w:ascii="Arial" w:hAnsi="Arial" w:cs="Arial" w:eastAsiaTheme="minorHAnsi"/>
                <w:lang w:val="hr-HR" w:eastAsia="en-US"/>
              </w:rPr>
              <w:t>POSTUPAK</w:t>
            </w:r>
            <w:r w:rsidRPr="005F1807">
              <w:rPr>
                <w:rFonts w:ascii="Arial" w:hAnsi="Arial" w:cs="Arial" w:eastAsiaTheme="minorHAnsi"/>
                <w:lang w:val="hr-HR" w:eastAsia="en-US"/>
              </w:rPr>
              <w:br/>
              <w:t xml:space="preserve"> IZVRŠENJA</w:t>
            </w:r>
          </w:p>
        </w:tc>
      </w:tr>
      <w:tr w:rsidRPr="005F1807" w:rsidR="00F1380F">
        <w:tc>
          <w:tcPr>
            <w:tcW w:w="250" w:type="pct"/>
            <w:tcBorders>
              <w:top w:val="nil"/>
              <w:left w:val="nil"/>
              <w:bottom w:val="nil"/>
              <w:right w:val="single" w:color="000000" w:sz="6" w:space="0"/>
            </w:tcBorders>
            <w:tcMar>
              <w:top w:w="0" w:type="dxa"/>
              <w:left w:w="0" w:type="dxa"/>
              <w:bottom w:w="0" w:type="dxa"/>
              <w:right w:w="0" w:type="dxa"/>
            </w:tcMar>
          </w:tcPr>
          <w:p w:rsidRPr="005F1807" w:rsidR="00F1380F" w:rsidP="00730DD4" w:rsidRDefault="00F1380F">
            <w:pPr>
              <w:spacing w:line="240" w:lineRule="auto"/>
              <w:rPr>
                <w:rFonts w:ascii="Arial" w:hAnsi="Arial" w:cs="Arial"/>
              </w:rPr>
            </w:pPr>
          </w:p>
        </w:tc>
        <w:tc>
          <w:tcPr>
            <w:tcW w:w="4250" w:type="pc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rsidRPr="005F1807" w:rsidR="00F1380F" w:rsidP="00730DD4" w:rsidRDefault="00F1380F">
            <w:pPr>
              <w:spacing w:line="240" w:lineRule="auto"/>
              <w:jc w:val="center"/>
              <w:rPr>
                <w:rFonts w:ascii="Arial" w:hAnsi="Arial" w:cs="Arial"/>
              </w:rPr>
            </w:pPr>
          </w:p>
        </w:tc>
      </w:tr>
    </w:tbl>
    <w:p w:rsidR="00730DD4" w:rsidP="00F1380F" w:rsidRDefault="00730DD4">
      <w:pPr>
        <w:autoSpaceDE w:val="false"/>
        <w:autoSpaceDN w:val="false"/>
        <w:adjustRightInd w:val="false"/>
        <w:spacing w:after="0" w:line="240" w:lineRule="auto"/>
        <w:rPr>
          <w:rFonts w:ascii="Arial" w:hAnsi="Arial" w:cs="Arial"/>
          <w:sz w:val="24"/>
          <w:szCs w:val="24"/>
        </w:rPr>
      </w:pPr>
      <w:r w:rsidRPr="005F1807">
        <w:rPr>
          <w:rFonts w:ascii="Arial" w:hAnsi="Arial" w:cs="Arial"/>
          <w:sz w:val="24"/>
          <w:szCs w:val="24"/>
        </w:rPr>
        <w:t> </w:t>
      </w:r>
      <w:r w:rsidR="00F1380F">
        <w:rPr>
          <w:rFonts w:ascii="Arial" w:hAnsi="Arial" w:cs="Arial"/>
          <w:sz w:val="24"/>
          <w:szCs w:val="24"/>
        </w:rPr>
        <w:t xml:space="preserve">                                                                           </w:t>
      </w:r>
      <w:r w:rsidR="00F50710">
        <w:rPr>
          <w:rFonts w:ascii="Arial" w:hAnsi="Arial" w:cs="Arial"/>
          <w:sz w:val="24"/>
          <w:szCs w:val="24"/>
        </w:rPr>
        <w:t xml:space="preserve">                 </w:t>
      </w:r>
      <w:r w:rsidRPr="005F1807">
        <w:rPr>
          <w:rFonts w:ascii="Arial" w:hAnsi="Arial" w:cs="Arial"/>
          <w:sz w:val="24"/>
          <w:szCs w:val="24"/>
        </w:rPr>
        <w:t xml:space="preserve"> </w:t>
      </w:r>
      <w:proofErr w:type="spellStart"/>
      <w:r w:rsidRPr="005F1807">
        <w:rPr>
          <w:rFonts w:ascii="Arial" w:hAnsi="Arial" w:cs="Arial"/>
          <w:sz w:val="24"/>
          <w:szCs w:val="24"/>
        </w:rPr>
        <w:t>Posl</w:t>
      </w:r>
      <w:proofErr w:type="spellEnd"/>
      <w:r w:rsidRPr="005F1807">
        <w:rPr>
          <w:rFonts w:ascii="Arial" w:hAnsi="Arial" w:cs="Arial"/>
          <w:sz w:val="24"/>
          <w:szCs w:val="24"/>
        </w:rPr>
        <w:t xml:space="preserve">. broj: </w:t>
      </w:r>
      <w:proofErr w:type="spellStart"/>
      <w:r w:rsidR="00F50710">
        <w:rPr>
          <w:rFonts w:ascii="Arial" w:hAnsi="Arial" w:cs="Arial"/>
          <w:sz w:val="24"/>
          <w:szCs w:val="24"/>
        </w:rPr>
        <w:t>Pp</w:t>
      </w:r>
      <w:proofErr w:type="spellEnd"/>
      <w:r w:rsidR="00F50710">
        <w:rPr>
          <w:rFonts w:ascii="Arial" w:hAnsi="Arial" w:cs="Arial"/>
          <w:sz w:val="24"/>
          <w:szCs w:val="24"/>
        </w:rPr>
        <w:t xml:space="preserve"> Ikp-569/2024</w:t>
      </w:r>
      <w:r w:rsidRPr="005F1807">
        <w:rPr>
          <w:rFonts w:ascii="Arial" w:hAnsi="Arial" w:cs="Arial"/>
          <w:sz w:val="24"/>
          <w:szCs w:val="24"/>
        </w:rPr>
        <w:br/>
      </w:r>
      <w:r w:rsidR="00F1380F">
        <w:rPr>
          <w:rFonts w:ascii="Arial" w:hAnsi="Arial" w:cs="Arial"/>
          <w:sz w:val="24"/>
          <w:szCs w:val="24"/>
        </w:rPr>
        <w:t xml:space="preserve">                                                                            </w:t>
      </w:r>
      <w:r w:rsidR="00F50710">
        <w:rPr>
          <w:rFonts w:ascii="Arial" w:hAnsi="Arial" w:cs="Arial"/>
          <w:sz w:val="24"/>
          <w:szCs w:val="24"/>
        </w:rPr>
        <w:t xml:space="preserve">                  </w:t>
      </w:r>
      <w:r w:rsidRPr="005F1807">
        <w:rPr>
          <w:rFonts w:ascii="Arial" w:hAnsi="Arial" w:cs="Arial"/>
          <w:sz w:val="24"/>
          <w:szCs w:val="24"/>
        </w:rPr>
        <w:t xml:space="preserve">Osuđenik: </w:t>
      </w:r>
      <w:r w:rsidR="00F50710">
        <w:rPr>
          <w:rFonts w:ascii="Arial" w:hAnsi="Arial" w:cs="Arial"/>
          <w:sz w:val="24"/>
          <w:szCs w:val="24"/>
        </w:rPr>
        <w:t>Toni Erceg</w:t>
      </w:r>
      <w:r w:rsidRPr="005F1807">
        <w:rPr>
          <w:rFonts w:ascii="Arial" w:hAnsi="Arial" w:cs="Arial"/>
          <w:sz w:val="24"/>
          <w:szCs w:val="24"/>
        </w:rPr>
        <w:br/>
      </w:r>
      <w:r w:rsidR="00F50710">
        <w:rPr>
          <w:rFonts w:ascii="Arial" w:hAnsi="Arial" w:cs="Arial"/>
          <w:sz w:val="24"/>
          <w:szCs w:val="24"/>
        </w:rPr>
        <w:t xml:space="preserve">       </w:t>
      </w:r>
      <w:r w:rsidR="00F1380F">
        <w:rPr>
          <w:rFonts w:ascii="Arial" w:hAnsi="Arial" w:cs="Arial"/>
          <w:sz w:val="24"/>
          <w:szCs w:val="24"/>
        </w:rPr>
        <w:t xml:space="preserve"> </w:t>
      </w:r>
      <w:r w:rsidRPr="005F1807">
        <w:rPr>
          <w:rFonts w:ascii="Arial" w:hAnsi="Arial" w:cs="Arial"/>
          <w:sz w:val="24"/>
          <w:szCs w:val="24"/>
        </w:rPr>
        <w:t xml:space="preserve">Prekršaj: članak </w:t>
      </w:r>
      <w:r w:rsidR="00F50710">
        <w:rPr>
          <w:rFonts w:ascii="Arial" w:hAnsi="Arial" w:cs="Arial"/>
          <w:sz w:val="24"/>
          <w:szCs w:val="24"/>
        </w:rPr>
        <w:t>286.st.12.,čl.236.st.7.,čl.282.st.9.Zakona o sigurnosti prometa na cestama i čl.29.st.1.t.1.Zakona o osobnoj iskaznici</w:t>
      </w:r>
    </w:p>
    <w:p w:rsidRPr="005F1807" w:rsidR="00F1380F" w:rsidP="00F1380F" w:rsidRDefault="00F1380F">
      <w:pPr>
        <w:autoSpaceDE w:val="false"/>
        <w:autoSpaceDN w:val="false"/>
        <w:adjustRightInd w:val="false"/>
        <w:spacing w:after="0" w:line="240" w:lineRule="auto"/>
        <w:rPr>
          <w:rFonts w:ascii="Arial" w:hAnsi="Arial" w:cs="Arial"/>
          <w:sz w:val="24"/>
          <w:szCs w:val="24"/>
        </w:rPr>
      </w:pPr>
      <w:r>
        <w:rPr>
          <w:rFonts w:ascii="Arial" w:hAnsi="Arial" w:cs="Arial"/>
          <w:sz w:val="24"/>
          <w:szCs w:val="24"/>
        </w:rPr>
        <w:t xml:space="preserve">                                                           P O Z I V</w:t>
      </w:r>
    </w:p>
    <w:p w:rsidRPr="005F1807" w:rsidR="00730DD4" w:rsidP="00730DD4" w:rsidRDefault="00730DD4">
      <w:pPr>
        <w:autoSpaceDE w:val="false"/>
        <w:autoSpaceDN w:val="false"/>
        <w:adjustRightInd w:val="false"/>
        <w:spacing w:after="0" w:line="240" w:lineRule="auto"/>
        <w:jc w:val="center"/>
        <w:rPr>
          <w:rFonts w:ascii="Arial" w:hAnsi="Arial" w:cs="Arial"/>
          <w:sz w:val="24"/>
          <w:szCs w:val="24"/>
        </w:rPr>
      </w:pPr>
      <w:r w:rsidRPr="005F1807">
        <w:rPr>
          <w:rFonts w:ascii="Arial" w:hAnsi="Arial" w:cs="Arial"/>
          <w:sz w:val="24"/>
          <w:szCs w:val="24"/>
        </w:rPr>
        <w:t> </w:t>
      </w:r>
    </w:p>
    <w:p w:rsidRPr="005F1807" w:rsidR="00730DD4" w:rsidP="00730DD4" w:rsidRDefault="00730DD4">
      <w:pPr>
        <w:autoSpaceDE w:val="false"/>
        <w:autoSpaceDN w:val="false"/>
        <w:adjustRightInd w:val="false"/>
        <w:spacing w:after="0" w:line="240" w:lineRule="auto"/>
        <w:jc w:val="both"/>
        <w:rPr>
          <w:rFonts w:ascii="Arial" w:hAnsi="Arial" w:cs="Arial"/>
          <w:sz w:val="24"/>
          <w:szCs w:val="24"/>
        </w:rPr>
      </w:pPr>
      <w:r w:rsidRPr="005F1807">
        <w:rPr>
          <w:rFonts w:ascii="Arial" w:hAnsi="Arial" w:cs="Arial"/>
          <w:sz w:val="24"/>
          <w:szCs w:val="24"/>
        </w:rPr>
        <w:t xml:space="preserve">        Poziva se osuđenik </w:t>
      </w:r>
      <w:r w:rsidR="00F50710">
        <w:rPr>
          <w:rFonts w:ascii="Arial" w:hAnsi="Arial" w:cs="Arial"/>
          <w:sz w:val="24"/>
          <w:szCs w:val="24"/>
        </w:rPr>
        <w:t>Toni Erceg</w:t>
      </w:r>
      <w:r w:rsidRPr="005F1807">
        <w:rPr>
          <w:rFonts w:ascii="Arial" w:hAnsi="Arial" w:cs="Arial"/>
          <w:sz w:val="24"/>
          <w:szCs w:val="24"/>
        </w:rPr>
        <w:t xml:space="preserve"> da dana </w:t>
      </w:r>
      <w:r w:rsidR="00F50710">
        <w:rPr>
          <w:rFonts w:ascii="Arial" w:hAnsi="Arial" w:cs="Arial"/>
          <w:sz w:val="24"/>
          <w:szCs w:val="24"/>
        </w:rPr>
        <w:t>06.11.2026.g</w:t>
      </w:r>
      <w:r w:rsidRPr="005F1807">
        <w:rPr>
          <w:rFonts w:ascii="Arial" w:hAnsi="Arial" w:cs="Arial"/>
          <w:sz w:val="24"/>
          <w:szCs w:val="24"/>
        </w:rPr>
        <w:t xml:space="preserve">, u </w:t>
      </w:r>
      <w:r w:rsidR="00F50710">
        <w:rPr>
          <w:rFonts w:ascii="Arial" w:hAnsi="Arial" w:cs="Arial"/>
          <w:sz w:val="24"/>
          <w:szCs w:val="24"/>
        </w:rPr>
        <w:t>10,30</w:t>
      </w:r>
      <w:r w:rsidRPr="005F1807">
        <w:rPr>
          <w:rFonts w:ascii="Arial" w:hAnsi="Arial" w:cs="Arial"/>
          <w:sz w:val="24"/>
          <w:szCs w:val="24"/>
        </w:rPr>
        <w:t xml:space="preserve"> sati osobno pristupi na </w:t>
      </w:r>
      <w:r w:rsidRPr="005F1807" w:rsidR="007708BF">
        <w:rPr>
          <w:rFonts w:ascii="Arial" w:hAnsi="Arial" w:cs="Arial"/>
          <w:sz w:val="24"/>
          <w:szCs w:val="24"/>
          <w:highlight w:val="lightGray"/>
        </w:rPr>
        <w:t xml:space="preserve">Općinski sud u Dubrovniku Stalna služba u </w:t>
      </w:r>
      <w:proofErr w:type="spellStart"/>
      <w:r w:rsidRPr="005F1807" w:rsidR="007708BF">
        <w:rPr>
          <w:rFonts w:ascii="Arial" w:hAnsi="Arial" w:cs="Arial"/>
          <w:sz w:val="24"/>
          <w:szCs w:val="24"/>
          <w:highlight w:val="lightGray"/>
        </w:rPr>
        <w:t>Korčuli,Šetalište</w:t>
      </w:r>
      <w:proofErr w:type="spellEnd"/>
      <w:r w:rsidRPr="005F1807" w:rsidR="007708BF">
        <w:rPr>
          <w:rFonts w:ascii="Arial" w:hAnsi="Arial" w:cs="Arial"/>
          <w:sz w:val="24"/>
          <w:szCs w:val="24"/>
          <w:highlight w:val="lightGray"/>
        </w:rPr>
        <w:t xml:space="preserve"> </w:t>
      </w:r>
      <w:proofErr w:type="spellStart"/>
      <w:r w:rsidRPr="005F1807" w:rsidR="007708BF">
        <w:rPr>
          <w:rFonts w:ascii="Arial" w:hAnsi="Arial" w:cs="Arial"/>
          <w:sz w:val="24"/>
          <w:szCs w:val="24"/>
          <w:highlight w:val="lightGray"/>
        </w:rPr>
        <w:t>F.Kršinića</w:t>
      </w:r>
      <w:proofErr w:type="spellEnd"/>
      <w:r w:rsidRPr="005F1807" w:rsidR="007708BF">
        <w:rPr>
          <w:rFonts w:ascii="Arial" w:hAnsi="Arial" w:cs="Arial"/>
          <w:sz w:val="24"/>
          <w:szCs w:val="24"/>
          <w:highlight w:val="lightGray"/>
        </w:rPr>
        <w:t xml:space="preserve"> kbr.50.Korčula</w:t>
      </w:r>
      <w:r w:rsidRPr="005F1807">
        <w:rPr>
          <w:rFonts w:ascii="Arial" w:hAnsi="Arial" w:cs="Arial"/>
          <w:sz w:val="24"/>
          <w:szCs w:val="24"/>
        </w:rPr>
        <w:t xml:space="preserve">, radi uručenja naredbe o upućivanju osuđenika na izvršenje rada za opće dobro i radi davanja izjave da li prihvaća rad za opće dobro. </w:t>
      </w:r>
    </w:p>
    <w:p w:rsidRPr="005F1807" w:rsidR="00730DD4" w:rsidP="00730DD4" w:rsidRDefault="00730DD4">
      <w:pPr>
        <w:autoSpaceDE w:val="false"/>
        <w:autoSpaceDN w:val="false"/>
        <w:adjustRightInd w:val="false"/>
        <w:spacing w:after="0" w:line="240" w:lineRule="auto"/>
        <w:rPr>
          <w:rFonts w:ascii="Arial" w:hAnsi="Arial" w:cs="Arial"/>
          <w:sz w:val="24"/>
          <w:szCs w:val="24"/>
        </w:rPr>
      </w:pPr>
      <w:r w:rsidRPr="005F1807">
        <w:rPr>
          <w:rFonts w:ascii="Arial" w:hAnsi="Arial" w:cs="Arial"/>
          <w:sz w:val="24"/>
          <w:szCs w:val="24"/>
        </w:rPr>
        <w:t> UPOZORENJE</w:t>
      </w:r>
    </w:p>
    <w:p w:rsidRPr="005F1807" w:rsidR="00730DD4" w:rsidP="00730DD4" w:rsidRDefault="00730DD4">
      <w:pPr>
        <w:autoSpaceDE w:val="false"/>
        <w:autoSpaceDN w:val="false"/>
        <w:adjustRightInd w:val="false"/>
        <w:spacing w:after="0" w:line="240" w:lineRule="auto"/>
        <w:jc w:val="both"/>
        <w:rPr>
          <w:rFonts w:ascii="Arial" w:hAnsi="Arial" w:cs="Arial"/>
          <w:sz w:val="24"/>
          <w:szCs w:val="24"/>
        </w:rPr>
      </w:pPr>
      <w:r w:rsidRPr="005F1807">
        <w:rPr>
          <w:rFonts w:ascii="Arial" w:hAnsi="Arial" w:cs="Arial"/>
          <w:sz w:val="24"/>
          <w:szCs w:val="24"/>
        </w:rPr>
        <w:t xml:space="preserve">        Na temelju članka 152.c stavka 6. Prekršajnog zakona ("Narodne novine" broj </w:t>
      </w:r>
      <w:r w:rsidRPr="005F1807">
        <w:rPr>
          <w:rFonts w:ascii="Arial" w:hAnsi="Arial" w:cs="Arial"/>
          <w:sz w:val="24"/>
          <w:szCs w:val="24"/>
          <w:highlight w:val="lightGray"/>
        </w:rPr>
        <w:t>107/07, 39/13, 157/13, 110/15, 70/17, 118/18</w:t>
      </w:r>
      <w:r w:rsidRPr="005F1807">
        <w:rPr>
          <w:rFonts w:ascii="Arial" w:hAnsi="Arial" w:cs="Arial"/>
          <w:sz w:val="24"/>
          <w:szCs w:val="24"/>
        </w:rPr>
        <w:t>) ako osuđenik izjavi da ne prihvaća rad za opće dobro ili se na uredan poziv suda izvršenja ne odazove radi primitka naredbe smatrat će se da osuđenik ne pristaje na rad za opće dobro, te će ovaj sud odmah izdati naredbu o upućivanju osuđenika na izdržavanje zatvora u nadležnu ustanovu za izvršavanje zatvora. Rad za opće dobro određuje se razmjeno visini neplaćene novčane kazne na način da se svakih započetih tristo kuna novčane kazne zamijeni s dva sata rada za opće dobro, odnosno jednim danom zatvora, pri čemu rad za opće dobro ne smije biti kraći od šest sati niti dulji od 240 sati, a zatvor ne smije biti kraći od tri dana ni dulji od 60 dana (članka 34. stavka 6. Prekršajnog zakona).</w:t>
      </w:r>
    </w:p>
    <w:p w:rsidRPr="005F1807" w:rsidR="00730DD4" w:rsidP="00730DD4" w:rsidRDefault="00730DD4">
      <w:pPr>
        <w:autoSpaceDE w:val="false"/>
        <w:autoSpaceDN w:val="false"/>
        <w:adjustRightInd w:val="false"/>
        <w:spacing w:after="0" w:line="240" w:lineRule="auto"/>
        <w:jc w:val="both"/>
        <w:rPr>
          <w:rFonts w:ascii="Arial" w:hAnsi="Arial" w:cs="Arial"/>
          <w:sz w:val="24"/>
          <w:szCs w:val="24"/>
        </w:rPr>
      </w:pPr>
      <w:r w:rsidRPr="005F1807">
        <w:rPr>
          <w:rFonts w:ascii="Arial" w:hAnsi="Arial" w:cs="Arial"/>
          <w:sz w:val="24"/>
          <w:szCs w:val="24"/>
        </w:rPr>
        <w:t>        Ukoliko osuđenik plati novčanu kaznu nakon pravomoćnosti odluke o zamjeni, izvršenje rada za opće dobro ili kazna zatvora će se obustaviti. U slučaju djelomičnog plaćanja, izvršit će se samo preostali dio rada za opće dobro odnosno kazne zatvora (članka 34. stavka 7. Prekršajnog zakona).</w:t>
      </w:r>
    </w:p>
    <w:p w:rsidRPr="005F1807" w:rsidR="00730DD4" w:rsidP="00730DD4" w:rsidRDefault="00730DD4">
      <w:pPr>
        <w:autoSpaceDE w:val="false"/>
        <w:autoSpaceDN w:val="false"/>
        <w:adjustRightInd w:val="false"/>
        <w:spacing w:after="0" w:line="240" w:lineRule="auto"/>
        <w:jc w:val="both"/>
        <w:rPr>
          <w:rFonts w:ascii="Arial" w:hAnsi="Arial" w:cs="Arial"/>
          <w:sz w:val="24"/>
          <w:szCs w:val="24"/>
        </w:rPr>
      </w:pPr>
      <w:r w:rsidRPr="005F1807">
        <w:rPr>
          <w:rFonts w:ascii="Arial" w:hAnsi="Arial" w:cs="Arial"/>
          <w:sz w:val="24"/>
          <w:szCs w:val="24"/>
        </w:rPr>
        <w:t> </w:t>
      </w:r>
    </w:p>
    <w:p w:rsidRPr="005F1807" w:rsidR="00730DD4" w:rsidP="00730DD4" w:rsidRDefault="00730DD4">
      <w:pPr>
        <w:autoSpaceDE w:val="false"/>
        <w:autoSpaceDN w:val="false"/>
        <w:adjustRightInd w:val="false"/>
        <w:spacing w:after="0" w:line="240" w:lineRule="auto"/>
        <w:jc w:val="center"/>
        <w:rPr>
          <w:rFonts w:ascii="Arial" w:hAnsi="Arial" w:cs="Arial"/>
          <w:sz w:val="24"/>
          <w:szCs w:val="24"/>
        </w:rPr>
      </w:pPr>
      <w:r w:rsidRPr="005F1807">
        <w:rPr>
          <w:rFonts w:ascii="Arial" w:hAnsi="Arial" w:cs="Arial"/>
          <w:sz w:val="24"/>
          <w:szCs w:val="24"/>
        </w:rPr>
        <w:t>U Korčuli,</w:t>
      </w:r>
      <w:r w:rsidR="00F50710">
        <w:rPr>
          <w:rFonts w:ascii="Arial" w:hAnsi="Arial" w:cs="Arial"/>
          <w:sz w:val="24"/>
          <w:szCs w:val="24"/>
        </w:rPr>
        <w:t>28.listopada 2026.g</w:t>
      </w:r>
      <w:r w:rsidRPr="005F1807">
        <w:rPr>
          <w:rFonts w:ascii="Arial" w:hAnsi="Arial" w:cs="Arial"/>
          <w:sz w:val="24"/>
          <w:szCs w:val="24"/>
          <w:highlight w:val="lightGray"/>
        </w:rPr>
        <w:t>.</w:t>
      </w:r>
    </w:p>
    <w:p w:rsidRPr="005F1807" w:rsidR="00730DD4" w:rsidP="00730DD4" w:rsidRDefault="00730DD4">
      <w:pPr>
        <w:autoSpaceDE w:val="false"/>
        <w:autoSpaceDN w:val="false"/>
        <w:adjustRightInd w:val="false"/>
        <w:spacing w:after="0" w:line="240" w:lineRule="auto"/>
        <w:rPr>
          <w:rFonts w:ascii="Arial" w:hAnsi="Arial" w:cs="Arial"/>
          <w:sz w:val="24"/>
          <w:szCs w:val="24"/>
        </w:rPr>
      </w:pPr>
      <w:r w:rsidRPr="005F1807">
        <w:rPr>
          <w:rFonts w:ascii="Arial" w:hAnsi="Arial" w:cs="Arial"/>
          <w:sz w:val="24"/>
          <w:szCs w:val="24"/>
        </w:rPr>
        <w:t> </w:t>
      </w:r>
      <w:r w:rsidR="00F1380F">
        <w:rPr>
          <w:rFonts w:ascii="Arial" w:hAnsi="Arial" w:cs="Arial"/>
          <w:sz w:val="24"/>
          <w:szCs w:val="24"/>
        </w:rPr>
        <w:t xml:space="preserve">                                                                                           Viši  referent </w:t>
      </w:r>
    </w:p>
    <w:p w:rsidRPr="005F1807" w:rsidR="00730DD4" w:rsidP="00730DD4" w:rsidRDefault="00730DD4">
      <w:pPr>
        <w:autoSpaceDE w:val="false"/>
        <w:autoSpaceDN w:val="false"/>
        <w:adjustRightInd w:val="false"/>
        <w:spacing w:after="0" w:line="240" w:lineRule="auto"/>
        <w:rPr>
          <w:rFonts w:ascii="Arial" w:hAnsi="Arial" w:cs="Arial"/>
          <w:sz w:val="24"/>
          <w:szCs w:val="24"/>
        </w:rPr>
      </w:pPr>
      <w:r w:rsidRPr="005F1807">
        <w:rPr>
          <w:rFonts w:ascii="Arial" w:hAnsi="Arial" w:cs="Arial"/>
          <w:sz w:val="24"/>
          <w:szCs w:val="24"/>
        </w:rPr>
        <w:t xml:space="preserve">                                                                     </w:t>
      </w:r>
      <w:r w:rsidR="00F1380F">
        <w:rPr>
          <w:rFonts w:ascii="Arial" w:hAnsi="Arial" w:cs="Arial"/>
          <w:sz w:val="24"/>
          <w:szCs w:val="24"/>
        </w:rPr>
        <w:t xml:space="preserve">                    </w:t>
      </w:r>
      <w:r w:rsidRPr="005F1807">
        <w:rPr>
          <w:rFonts w:ascii="Arial" w:hAnsi="Arial" w:cs="Arial"/>
          <w:sz w:val="24"/>
          <w:szCs w:val="24"/>
        </w:rPr>
        <w:t xml:space="preserve"> Tihana Prvulović</w:t>
      </w:r>
    </w:p>
    <w:p w:rsidRPr="005F1807" w:rsidR="00730DD4" w:rsidP="00730DD4" w:rsidRDefault="00730DD4">
      <w:pPr>
        <w:autoSpaceDE w:val="false"/>
        <w:autoSpaceDN w:val="false"/>
        <w:adjustRightInd w:val="false"/>
        <w:spacing w:after="180" w:line="276" w:lineRule="auto"/>
        <w:rPr>
          <w:rFonts w:ascii="Arial" w:hAnsi="Arial" w:cs="Arial"/>
          <w:sz w:val="24"/>
          <w:szCs w:val="24"/>
        </w:rPr>
      </w:pPr>
      <w:r w:rsidRPr="005F1807">
        <w:rPr>
          <w:rFonts w:ascii="Arial" w:hAnsi="Arial" w:cs="Arial"/>
          <w:sz w:val="24"/>
          <w:szCs w:val="24"/>
        </w:rPr>
        <w:t> </w:t>
      </w:r>
    </w:p>
    <w:p w:rsidRPr="005F1807" w:rsidR="00B62CB1" w:rsidRDefault="00B62CB1">
      <w:pPr>
        <w:rPr>
          <w:rFonts w:ascii="Arial" w:hAnsi="Arial" w:cs="Arial"/>
        </w:rPr>
      </w:pPr>
    </w:p>
    <w:sectPr w:rsidRPr="005F1807" w:rsidR="00B62CB1" w:rsidSect="00BB2F5D">
      <w:pgSz w:w="12240" w:h="15840"/>
      <w:pgMar w:top="1425" w:right="1425" w:bottom="1425" w:left="1425" w:header="720" w:footer="720" w:gutter="0"/>
      <w:cols w:space="720"/>
      <w:noEndnote/>
    </w:sectPr>
  </w:body>
</w:document>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DD4"/>
    <w:rsid w:val="005F1807"/>
    <w:rsid w:val="00730DD4"/>
    <w:rsid w:val="007708BF"/>
    <w:rsid w:val="00A368DA"/>
    <w:rsid w:val="00B62CB1"/>
    <w:rsid w:val="00F1380F"/>
    <w:rsid w:val="00F5071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37D0556F"/>
  <w15:docId w15:val="{BFD84564-58C2-4BF5-A835-08683E605CC7}"/>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table" w:styleId="TableNormal" w:customStyle="true">
    <w:name w:val="Table Normal"/>
    <w:uiPriority w:val="59"/>
    <w:rsid w:val="00730DD4"/>
    <w:pPr>
      <w:autoSpaceDE w:val="false"/>
      <w:autoSpaceDN w:val="false"/>
      <w:adjustRightInd w:val="false"/>
      <w:spacing w:after="0" w:line="276" w:lineRule="auto"/>
    </w:pPr>
    <w:rPr>
      <w:rFonts w:ascii="Verdana" w:hAnsi="Verdana" w:eastAsia="Times New Roman" w:cs="Times New Roman"/>
      <w:sz w:val="24"/>
      <w:szCs w:val="24"/>
      <w:lang w:val="en-US" w:eastAsia="hr-HR"/>
    </w:rPr>
    <w:tblPr>
      <w:tblCellMar>
        <w:top w:w="0" w:type="dxa"/>
        <w:left w:w="0" w:type="dxa"/>
        <w:bottom w:w="0" w:type="dxa"/>
        <w:right w:w="0" w:type="dxa"/>
      </w:tblCellMar>
    </w:tblPr>
  </w:style>
  <w:style w:type="paragraph" w:styleId="NormalWeb" w:customStyle="true">
    <w:name w:val="NormalWeb"/>
    <w:uiPriority w:val="99"/>
    <w:rsid w:val="00730DD4"/>
    <w:pPr>
      <w:autoSpaceDE w:val="false"/>
      <w:autoSpaceDN w:val="false"/>
      <w:adjustRightInd w:val="false"/>
      <w:spacing w:before="100" w:beforeAutospacing="true" w:after="100" w:afterAutospacing="true" w:line="276" w:lineRule="auto"/>
    </w:pPr>
    <w:rPr>
      <w:rFonts w:ascii="Verdana" w:hAnsi="Verdana" w:eastAsia="Times New Roman" w:cs="Times New Roman"/>
      <w:sz w:val="24"/>
      <w:szCs w:val="24"/>
      <w:lang w:val="en-US" w:eastAsia="hr-HR"/>
    </w:rPr>
  </w:style>
  <w:style w:type="character" w:styleId="Tekstrezerviranogmjesta">
    <w:name w:val="Placeholder Text"/>
    <w:basedOn w:val="Zadanifontodlomka"/>
    <w:uiPriority w:val="99"/>
    <w:semiHidden/>
    <w:rsid w:val="00F50710"/>
    <w:rPr>
      <w:color w:val="808080"/>
      <w:bdr w:val="none" w:color="auto" w:sz="0" w:space="0"/>
      <w:shd w:val="clear" w:color="auto" w:fill="auto"/>
    </w:rPr>
  </w:style>
  <w:style w:type="character" w:styleId="eSPISCCParagraphDefaultFont" w:customStyle="true">
    <w:name w:val="eSPIS_CC_Paragraph Default Font"/>
    <w:basedOn w:val="Zadanifontodlomka"/>
    <w:rsid w:val="00F50710"/>
    <w:rPr>
      <w:rFonts w:ascii="Times New Roman" w:hAnsi="Times New Roman" w:eastAsia="Times New Roman" w:cs="Times New Roman"/>
      <w:color w:val="000000"/>
      <w:sz w:val="24"/>
      <w:szCs w:val="24"/>
      <w:bdr w:val="none" w:color="auto" w:sz="0" w:space="0"/>
      <w:shd w:val="clear" w:color="auto" w:fill="auto"/>
      <w:lang w:val="hr-HR" w:eastAsia="hr-HR"/>
    </w:rPr>
  </w:style>
  <w:style w:type="character" w:styleId="PozadinaSvijetloZuta" w:customStyle="true">
    <w:name w:val="Pozadina_SvijetloZuta"/>
    <w:basedOn w:val="Zadanifontodlomka"/>
    <w:rsid w:val="00F50710"/>
    <w:rPr>
      <w:rFonts w:ascii="Times New Roman" w:hAnsi="Times New Roman" w:eastAsia="Times New Roman" w:cs="Times New Roman"/>
      <w:color w:val="000000"/>
      <w:sz w:val="24"/>
      <w:szCs w:val="24"/>
      <w:bdr w:val="none" w:color="auto" w:sz="0" w:space="0"/>
      <w:shd w:val="clear" w:color="auto" w:fill="FFFFCC"/>
      <w:lang w:val="hr-HR" w:eastAsia="hr-HR"/>
    </w:rPr>
  </w:style>
  <w:style w:type="character" w:styleId="PozadinaSvijetloCrvena" w:customStyle="true">
    <w:name w:val="Pozadina_SvijetloCrvena"/>
    <w:basedOn w:val="eSPISCCParagraphDefaultFont"/>
    <w:rsid w:val="00F50710"/>
    <w:rPr>
      <w:rFonts w:ascii="Times New Roman" w:hAnsi="Times New Roman" w:eastAsia="Times New Roman" w:cs="Times New Roman"/>
      <w:color w:val="000000"/>
      <w:sz w:val="24"/>
      <w:szCs w:val="24"/>
      <w:bdr w:val="none" w:color="auto" w:sz="0" w:space="0"/>
      <w:shd w:val="clear" w:color="auto" w:fill="FFCCCC"/>
      <w:lang w:val="hr-HR" w:eastAsia="hr-HR"/>
    </w:rPr>
  </w:style>
  <w:style w:type="character" w:styleId="PozadinaSvijetloZelena" w:customStyle="true">
    <w:name w:val="Pozadina_SvijetloZelena"/>
    <w:basedOn w:val="eSPISCCParagraphDefaultFont"/>
    <w:rsid w:val="00F50710"/>
    <w:rPr>
      <w:rFonts w:ascii="Times New Roman" w:hAnsi="Times New Roman" w:eastAsia="Times New Roman" w:cs="Times New Roman"/>
      <w:color w:val="000000"/>
      <w:sz w:val="24"/>
      <w:szCs w:val="24"/>
      <w:bdr w:val="none" w:color="auto" w:sz="0" w:space="0"/>
      <w:shd w:val="clear" w:color="auto" w:fill="CCFFCC"/>
      <w:lang w:val="hr-HR" w:eastAsia="hr-HR"/>
    </w:rPr>
  </w:style>
  <w:style w:type="paragraph" w:styleId="Tekstbalonia">
    <w:name w:val="Balloon Text"/>
    <w:basedOn w:val="Normal"/>
    <w:link w:val="TekstbaloniaChar"/>
    <w:uiPriority w:val="99"/>
    <w:semiHidden/>
    <w:unhideWhenUsed/>
    <w:rsid w:val="00F50710"/>
    <w:pPr>
      <w:spacing w:after="0" w:line="240" w:lineRule="auto"/>
    </w:pPr>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F50710"/>
    <w:rPr>
      <w:rFonts w:ascii="Segoe UI" w:hAnsi="Segoe UI" w:cs="Segoe UI"/>
      <w:sz w:val="18"/>
      <w:szCs w:val="18"/>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settings.xml" Type="http://schemas.openxmlformats.org/officeDocument/2006/relationships/settings" Id="rId3"/><Relationship Target="theme/theme1.xml" Type="http://schemas.openxmlformats.org/officeDocument/2006/relationships/theme" Id="rId7"/><Relationship Target="styles.xml" Type="http://schemas.openxmlformats.org/officeDocument/2006/relationships/styles" Id="rId2"/><Relationship Target="../customXml/item1.xml" Type="http://schemas.openxmlformats.org/officeDocument/2006/relationships/customXml" Id="rId1"/><Relationship Target="fontTable.xml" Type="http://schemas.openxmlformats.org/officeDocument/2006/relationships/fontTable" Id="rId6"/><Relationship Target="media/image1.gif" Type="http://schemas.openxmlformats.org/officeDocument/2006/relationships/image" Id="rId5"/><Relationship Target="webSettings.xml" Type="http://schemas.openxmlformats.org/officeDocument/2006/relationships/web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28. listopada 2026.</izvorni_sadrzaj>
    <derivirana_varijabla naziv="DomainObject.DatumDonosenjaOdluke_1">28.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Željko</izvorni_sadrzaj>
    <derivirana_varijabla naziv="DomainObject.DonositeljOdluke.Ime_1">Željko</derivirana_varijabla>
  </DomainObject.DonositeljOdluke.Ime>
  <DomainObject.DonositeljOdluke.Prezime>
    <izvorni_sadrzaj>Biliš</izvorni_sadrzaj>
    <derivirana_varijabla naziv="DomainObject.DonositeljOdluke.Prezime_1">Biliš</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569</izvorni_sadrzaj>
    <derivirana_varijabla naziv="DomainObject.Predmet.Broj_1">569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kolovoza 2024.</izvorni_sadrzaj>
    <derivirana_varijabla naziv="DomainObject.Predmet.DatumOsnivanja_1">13. kolovoza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Ikp-569/2024</izvorni_sadrzaj>
    <derivirana_varijabla naziv="DomainObject.Predmet.OznakaBroj_1">Pp Ikp-569/2024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Toni Erceg</izvorni_sadrzaj>
    <derivirana_varijabla naziv="DomainObject.Predmet.ProtustrankaFormated_1">  Toni Erceg</derivirana_varijabla>
  </DomainObject.Predmet.ProtustrankaFormated>
  <DomainObject.Predmet.ProtustrankaFormatedOIB>
    <izvorni_sadrzaj>  Toni Erceg, OIB 74993798966</izvorni_sadrzaj>
    <derivirana_varijabla naziv="DomainObject.Predmet.ProtustrankaFormatedOIB_1">  Toni Erceg, OIB 74993798966</derivirana_varijabla>
  </DomainObject.Predmet.ProtustrankaFormatedOIB>
  <DomainObject.Predmet.ProtustrankaFormatedWithAdress>
    <izvorni_sadrzaj> Toni Erceg, Put Malog Stona 2d, 20230 Ston</izvorni_sadrzaj>
    <derivirana_varijabla naziv="DomainObject.Predmet.ProtustrankaFormatedWithAdress_1"> Toni Erceg, Put Malog Stona 2d, 20230 Ston</derivirana_varijabla>
  </DomainObject.Predmet.ProtustrankaFormatedWithAdress>
  <DomainObject.Predmet.ProtustrankaFormatedWithAdressOIB>
    <izvorni_sadrzaj> Toni Erceg, OIB 74993798966, Put Malog Stona 2d, 20230 Ston</izvorni_sadrzaj>
    <derivirana_varijabla naziv="DomainObject.Predmet.ProtustrankaFormatedWithAdressOIB_1"> Toni Erceg, OIB 74993798966, Put Malog Stona 2d, 20230 Ston</derivirana_varijabla>
  </DomainObject.Predmet.ProtustrankaFormatedWithAdressOIB>
  <DomainObject.Predmet.ProtustrankaWithAdress>
    <izvorni_sadrzaj>Toni Erceg Put Malog Stona 2d, 20230 Ston</izvorni_sadrzaj>
    <derivirana_varijabla naziv="DomainObject.Predmet.ProtustrankaWithAdress_1">Toni Erceg Put Malog Stona 2d, 20230 Ston</derivirana_varijabla>
  </DomainObject.Predmet.ProtustrankaWithAdress>
  <DomainObject.Predmet.ProtustrankaWithAdressOIB>
    <izvorni_sadrzaj>Toni Erceg, OIB 74993798966, Put Malog Stona 2d, 20230 Ston</izvorni_sadrzaj>
    <derivirana_varijabla naziv="DomainObject.Predmet.ProtustrankaWithAdressOIB_1">Toni Erceg, OIB 74993798966, Put Malog Stona 2d, 20230 Ston</derivirana_varijabla>
  </DomainObject.Predmet.ProtustrankaWithAdressOIB>
  <DomainObject.Predmet.ProtustrankaNazivFormated>
    <izvorni_sadrzaj>Toni Erceg</izvorni_sadrzaj>
    <derivirana_varijabla naziv="DomainObject.Predmet.ProtustrankaNazivFormated_1">Toni Erceg</derivirana_varijabla>
  </DomainObject.Predmet.ProtustrankaNazivFormated>
  <DomainObject.Predmet.ProtustrankaNazivFormatedOIB>
    <izvorni_sadrzaj>Toni Erceg, OIB 74993798966</izvorni_sadrzaj>
    <derivirana_varijabla naziv="DomainObject.Predmet.ProtustrankaNazivFormatedOIB_1">Toni Erceg, OIB 74993798966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Željko Biliš 9.</izvorni_sadrzaj>
    <derivirana_varijabla naziv="DomainObject.Predmet.Referada.Naziv_1">Željko Biliš 9.</derivirana_varijabla>
  </DomainObject.Predmet.Referada.Naziv>
  <DomainObject.Predmet.Referada.Oznaka>
    <izvorni_sadrzaj>DU09</izvorni_sadrzaj>
    <derivirana_varijabla naziv="DomainObject.Predmet.Referada.Oznaka_1">DU09</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Dubrovniku</izvorni_sadrzaj>
    <derivirana_varijabla naziv="DomainObject.Predmet.Referada.Sud.Naziv_1">Općinski sud u Dubrovniku</derivirana_varijabla>
  </DomainObject.Predmet.Referada.Sud.Naziv>
  <DomainObject.Predmet.Referada.Sudac>
    <izvorni_sadrzaj>Željko Biliš</izvorni_sadrzaj>
    <derivirana_varijabla naziv="DomainObject.Predmet.Referada.Sudac_1">Željko Biliš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sud u Dubrovniku Stalna služba u Korčuli; Policijska postaja Korčula</izvorni_sadrzaj>
    <derivirana_varijabla naziv="DomainObject.Predmet.StrankaFormated_1">  Općinski sud u Dubrovniku Stalna služba u Korčuli; Policijska postaja Korčula</derivirana_varijabla>
  </DomainObject.Predmet.StrankaFormated>
  <DomainObject.Predmet.StrankaFormatedOIB>
    <izvorni_sadrzaj>  Općinski sud u Dubrovniku Stalna služba u Korčuli, OIB 48074464528; Policijska postaja Korčula</izvorni_sadrzaj>
    <derivirana_varijabla naziv="DomainObject.Predmet.StrankaFormatedOIB_1">  Općinski sud u Dubrovniku Stalna služba u Korčuli, OIB 48074464528; Policijska postaja Korčula</derivirana_varijabla>
  </DomainObject.Predmet.StrankaFormatedOIB>
  <DomainObject.Predmet.StrankaFormatedWithAdress>
    <izvorni_sadrzaj> Općinski sud u Dubrovniku Stalna služba u Korčuli, Šetalište F.Kršinića 50, 20260 Korčula; Policijska postaja Korčula, Obala Dr. Franje Tuđmana 6, 20260 Korčula</izvorni_sadrzaj>
    <derivirana_varijabla naziv="DomainObject.Predmet.StrankaFormatedWithAdress_1"> Općinski sud u Dubrovniku Stalna služba u Korčuli, Šetalište F.Kršinića 50, 20260 Korčula; Policijska postaja Korčula, Obala Dr. Franje Tuđmana 6, 20260 Korčula</derivirana_varijabla>
  </DomainObject.Predmet.StrankaFormatedWithAdress>
  <DomainObject.Predmet.StrankaFormatedWithAdressOIB>
    <izvorni_sadrzaj> Općinski sud u Dubrovniku Stalna služba u Korčuli, OIB 48074464528, Šetalište F.Kršinića 50, 20260 Korčula; Policijska postaja Korčula, Obala Dr. Franje Tuđmana 6, 20260 Korčula</izvorni_sadrzaj>
    <derivirana_varijabla naziv="DomainObject.Predmet.StrankaFormatedWithAdressOIB_1"> Općinski sud u Dubrovniku Stalna služba u Korčuli, OIB 48074464528, Šetalište F.Kršinića 50, 20260 Korčula; Policijska postaja Korčula, Obala Dr. Franje Tuđmana 6, 20260 Korčula</derivirana_varijabla>
  </DomainObject.Predmet.StrankaFormatedWithAdressOIB>
  <DomainObject.Predmet.StrankaWithAdress>
    <izvorni_sadrzaj>Općinski sud u Dubrovniku Stalna služba u Korčuli Šetalište F.Kršinića 50,20260 Korčula,Policijska postaja Korčula Obala Dr. Franje Tuđmana 6,20260 Korčula</izvorni_sadrzaj>
    <derivirana_varijabla naziv="DomainObject.Predmet.StrankaWithAdress_1">Općinski sud u Dubrovniku Stalna služba u Korčuli Šetalište F.Kršinića 50,20260 Korčula,Policijska postaja Korčula Obala Dr. Franje Tuđmana 6,20260 Korčula</derivirana_varijabla>
  </DomainObject.Predmet.StrankaWithAdress>
  <DomainObject.Predmet.StrankaWithAdressOIB>
    <izvorni_sadrzaj>Općinski sud u Dubrovniku Stalna služba u Korčuli, OIB 48074464528, Šetalište F.Kršinića 50,20260 Korčula,Policijska postaja Korčula, Obala Dr. Franje Tuđmana 6,20260 Korčula</izvorni_sadrzaj>
    <derivirana_varijabla naziv="DomainObject.Predmet.StrankaWithAdressOIB_1">Općinski sud u Dubrovniku Stalna služba u Korčuli, OIB 48074464528, Šetalište F.Kršinića 50,20260 Korčula,Policijska postaja Korčula, Obala Dr. Franje Tuđmana 6,20260 Korčula</derivirana_varijabla>
  </DomainObject.Predmet.StrankaWithAdressOIB>
  <DomainObject.Predmet.StrankaNazivFormated>
    <izvorni_sadrzaj>Općinski sud u Dubrovniku Stalna služba u Korčuli,Policijska postaja Korčula</izvorni_sadrzaj>
    <derivirana_varijabla naziv="DomainObject.Predmet.StrankaNazivFormated_1">Općinski sud u Dubrovniku Stalna služba u Korčuli,Policijska postaja Korčula</derivirana_varijabla>
  </DomainObject.Predmet.StrankaNazivFormated>
  <DomainObject.Predmet.StrankaNazivFormatedOIB>
    <izvorni_sadrzaj>Općinski sud u Dubrovniku Stalna služba u Korčuli, OIB 48074464528,Policijska postaja Korčula</izvorni_sadrzaj>
    <derivirana_varijabla naziv="DomainObject.Predmet.StrankaNazivFormatedOIB_1">Općinski sud u Dubrovniku Stalna služba u Korčuli, OIB 48074464528,Policijska postaja Korčula</derivirana_varijabla>
  </DomainObject.Predmet.StrankaNazivFormatedOIB>
  <DomainObject.Predmet.Sud.Adresa.Naselje>
    <izvorni_sadrzaj>Korčula</izvorni_sadrzaj>
    <derivirana_varijabla naziv="DomainObject.Predmet.Sud.Adresa.Naselje_1">Korčula</derivirana_varijabla>
  </DomainObject.Predmet.Sud.Adresa.Naselje>
  <DomainObject.Predmet.Sud.Adresa.NaseljeLokativ>
    <izvorni_sadrzaj>Korčuli</izvorni_sadrzaj>
    <derivirana_varijabla naziv="DomainObject.Predmet.Sud.Adresa.NaseljeLokativ_1">Korčuli</derivirana_varijabla>
  </DomainObject.Predmet.Sud.Adresa.NaseljeLokativ>
  <DomainObject.Predmet.Sud.Adresa.PostBroj>
    <izvorni_sadrzaj>20260</izvorni_sadrzaj>
    <derivirana_varijabla naziv="DomainObject.Predmet.Sud.Adresa.PostBroj_1">20260</derivirana_varijabla>
  </DomainObject.Predmet.Sud.Adresa.PostBroj>
  <DomainObject.Predmet.Sud.Adresa.UlicaIKBR>
    <izvorni_sadrzaj>Put Sv. Nikole</izvorni_sadrzaj>
    <derivirana_varijabla naziv="DomainObject.Predmet.Sud.Adresa.UlicaIKBR_1">Put Sv. Nikole</derivirana_varijabla>
  </DomainObject.Predmet.Sud.Adresa.UlicaIKBR>
  <DomainObject.Predmet.Sud.Naziv>
    <izvorni_sadrzaj>Općinski sud u Dubrovniku - Stalna služba u Korčuli</izvorni_sadrzaj>
    <derivirana_varijabla naziv="DomainObject.Predmet.Sud.Naziv_1">Općinski sud u Dubrovniku - Stalna služba u Korčuli</derivirana_varijabla>
  </DomainObject.Predmet.Sud.Naziv>
  <DomainObject.Predmet.Sud.Telefon.LokalniBroj>
    <izvorni_sadrzaj/>
    <derivirana_varijabla naziv="DomainObject.Predmet.Sud.Telefon.LokalniBroj_1"/>
  </DomainObject.Predmet.Sud.Telefon.LokalniBroj>
  <DomainObject.Predmet.TrenutnaLokacijaSpisa.Naziv>
    <izvorni_sadrzaj>izvršenje korčula</izvorni_sadrzaj>
    <derivirana_varijabla naziv="DomainObject.Predmet.TrenutnaLokacijaSpisa.Naziv_1">izvršenje korčula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Dubrovniku</izvorni_sadrzaj>
    <derivirana_varijabla naziv="DomainObject.Predmet.TrenutnaLokacijaSpisa.Sud.Naziv_1">Općinski sud u Dubrovniku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izvršenje korčula</izvorni_sadrzaj>
    <derivirana_varijabla naziv="DomainObject.Predmet.UstrojstvenaJedinicaVodi.Naziv_1">izvršenje korčula</derivirana_varijabla>
  </DomainObject.Predmet.UstrojstvenaJedinicaVodi.Naziv>
  <DomainObject.Predmet.UstrojstvenaJedinicaVodi.Oznaka>
    <izvorni_sadrzaj>IZVKO</izvorni_sadrzaj>
    <derivirana_varijabla naziv="DomainObject.Predmet.UstrojstvenaJedinicaVodi.Oznaka_1">IZVKO</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Dubrovniku</izvorni_sadrzaj>
    <derivirana_varijabla naziv="DomainObject.Predmet.UstrojstvenaJedinicaVodi.Sud.Naziv_1">Općinski sud u Dubrovniku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Marija Biliš</izvorni_sadrzaj>
    <derivirana_varijabla naziv="DomainObject.Predmet.Zapisnicar_1">Marija Biliš</derivirana_varijabla>
  </DomainObject.Predmet.Zapisnicar>
  <DomainObject.Predmet.StrankaListFormated>
    <izvorni_sadrzaj>
      <item>Općinski sud u Dubrovniku Stalna služba u Korčuli</item>
      <item>Policijska postaja Korčula</item>
    </izvorni_sadrzaj>
    <derivirana_varijabla naziv="DomainObject.Predmet.StrankaListFormated_1">
      <item>Općinski sud u Dubrovniku Stalna služba u Korčuli</item>
      <item>Policijska postaja Korčula</item>
    </derivirana_varijabla>
  </DomainObject.Predmet.StrankaListFormated>
  <DomainObject.Predmet.StrankaListFormatedOIB>
    <izvorni_sadrzaj>
      <item>Općinski sud u Dubrovniku Stalna služba u Korčuli, OIB 48074464528</item>
      <item>Policijska postaja Korčula</item>
    </izvorni_sadrzaj>
    <derivirana_varijabla naziv="DomainObject.Predmet.StrankaListFormatedOIB_1">
      <item>Općinski sud u Dubrovniku Stalna služba u Korčuli, OIB 48074464528</item>
      <item>Policijska postaja Korčula</item>
    </derivirana_varijabla>
  </DomainObject.Predmet.StrankaListFormatedOIB>
  <DomainObject.Predmet.StrankaListFormatedWithAdress>
    <izvorni_sadrzaj>
      <item>Općinski sud u Dubrovniku Stalna služba u Korčuli, Šetalište F.Kršinića 50, 20260 Korčula</item>
      <item>Policijska postaja Korčula, Obala Dr. Franje Tuđmana 6, 20260 Korčula</item>
    </izvorni_sadrzaj>
    <derivirana_varijabla naziv="DomainObject.Predmet.StrankaListFormatedWithAdress_1">
      <item>Općinski sud u Dubrovniku Stalna služba u Korčuli, Šetalište F.Kršinića 50, 20260 Korčula</item>
      <item>Policijska postaja Korčula, Obala Dr. Franje Tuđmana 6, 20260 Korčula</item>
    </derivirana_varijabla>
  </DomainObject.Predmet.StrankaListFormatedWithAdress>
  <DomainObject.Predmet.StrankaListFormatedWithAdressOIB>
    <izvorni_sadrzaj>
      <item>Općinski sud u Dubrovniku Stalna služba u Korčuli, OIB 48074464528, Šetalište F.Kršinića 50, 20260 Korčula</item>
      <item>Policijska postaja Korčula, Obala Dr. Franje Tuđmana 6, 20260 Korčula</item>
    </izvorni_sadrzaj>
    <derivirana_varijabla naziv="DomainObject.Predmet.StrankaListFormatedWithAdressOIB_1">
      <item>Općinski sud u Dubrovniku Stalna služba u Korčuli, OIB 48074464528, Šetalište F.Kršinića 50, 20260 Korčula</item>
      <item>Policijska postaja Korčula, Obala Dr. Franje Tuđmana 6, 20260 Korčula</item>
    </derivirana_varijabla>
  </DomainObject.Predmet.StrankaListFormatedWithAdressOIB>
  <DomainObject.Predmet.StrankaListNazivFormated>
    <izvorni_sadrzaj>
      <item>Općinski sud u Dubrovniku Stalna služba u Korčuli</item>
      <item>Policijska postaja Korčula</item>
    </izvorni_sadrzaj>
    <derivirana_varijabla naziv="DomainObject.Predmet.StrankaListNazivFormated_1">
      <item>Općinski sud u Dubrovniku Stalna služba u Korčuli</item>
      <item>Policijska postaja Korčula</item>
    </derivirana_varijabla>
  </DomainObject.Predmet.StrankaListNazivFormated>
  <DomainObject.Predmet.StrankaListNazivFormatedOIB>
    <izvorni_sadrzaj>
      <item>Općinski sud u Dubrovniku Stalna služba u Korčuli, OIB 48074464528</item>
      <item>Policijska postaja Korčula</item>
    </izvorni_sadrzaj>
    <derivirana_varijabla naziv="DomainObject.Predmet.StrankaListNazivFormatedOIB_1">
      <item>Općinski sud u Dubrovniku Stalna služba u Korčuli, OIB 48074464528</item>
      <item>Policijska postaja Korčula</item>
    </derivirana_varijabla>
  </DomainObject.Predmet.StrankaListNazivFormatedOIB>
  <DomainObject.Predmet.ProtuStrankaListFormated>
    <izvorni_sadrzaj>
      <item>Toni Erceg</item>
    </izvorni_sadrzaj>
    <derivirana_varijabla naziv="DomainObject.Predmet.ProtuStrankaListFormated_1">
      <item>Toni Erceg</item>
    </derivirana_varijabla>
  </DomainObject.Predmet.ProtuStrankaListFormated>
  <DomainObject.Predmet.ProtuStrankaListFormatedOIB>
    <izvorni_sadrzaj>
      <item>Toni Erceg, OIB 74993798966</item>
    </izvorni_sadrzaj>
    <derivirana_varijabla naziv="DomainObject.Predmet.ProtuStrankaListFormatedOIB_1">
      <item>Toni Erceg, OIB 74993798966</item>
    </derivirana_varijabla>
  </DomainObject.Predmet.ProtuStrankaListFormatedOIB>
  <DomainObject.Predmet.ProtuStrankaListFormatedWithAdress>
    <izvorni_sadrzaj>
      <item>Toni Erceg, Put Malog Stona 2d, 20230 Ston</item>
    </izvorni_sadrzaj>
    <derivirana_varijabla naziv="DomainObject.Predmet.ProtuStrankaListFormatedWithAdress_1">
      <item>Toni Erceg, Put Malog Stona 2d, 20230 Ston</item>
    </derivirana_varijabla>
  </DomainObject.Predmet.ProtuStrankaListFormatedWithAdress>
  <DomainObject.Predmet.ProtuStrankaListFormatedWithAdressOIB>
    <izvorni_sadrzaj>
      <item>Toni Erceg, OIB 74993798966, Put Malog Stona 2d, 20230 Ston</item>
    </izvorni_sadrzaj>
    <derivirana_varijabla naziv="DomainObject.Predmet.ProtuStrankaListFormatedWithAdressOIB_1">
      <item>Toni Erceg, OIB 74993798966, Put Malog Stona 2d, 20230 Ston</item>
    </derivirana_varijabla>
  </DomainObject.Predmet.ProtuStrankaListFormatedWithAdressOIB>
  <DomainObject.Predmet.ProtuStrankaListNazivFormated>
    <izvorni_sadrzaj>
      <item>Toni Erceg</item>
    </izvorni_sadrzaj>
    <derivirana_varijabla naziv="DomainObject.Predmet.ProtuStrankaListNazivFormated_1">
      <item>Toni Erceg</item>
    </derivirana_varijabla>
  </DomainObject.Predmet.ProtuStrankaListNazivFormated>
  <DomainObject.Predmet.ProtuStrankaListNazivFormatedOIB>
    <izvorni_sadrzaj>
      <item>Toni Erceg, OIB 74993798966</item>
    </izvorni_sadrzaj>
    <derivirana_varijabla naziv="DomainObject.Predmet.ProtuStrankaListNazivFormatedOIB_1">
      <item>Toni Erceg, OIB 74993798966</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236, 286, 16, 282</izvorni_sadrzaj>
    <derivirana_varijabla naziv="DomainObject.Predmet.ClanakZakona_1">236, 286, 16, 282</derivirana_varijabla>
  </DomainObject.Predmet.ClanakZakona>
  <DomainObject.Predmet.ClanakZakonaFull>
    <izvorni_sadrzaj>članka 236. stavka 1., članka 286. stavka 12., članka 16. stavka 1., članka 282. stavka 1.</izvorni_sadrzaj>
    <derivirana_varijabla naziv="DomainObject.Predmet.ClanakZakonaFull_1">članka 236. stavka 1., članka 286. stavka 12., članka 16. stavka 1., članka 282. stavka 1.</derivirana_varijabla>
  </DomainObject.Predmet.ClanakZakonaFull>
  <DomainObject.Predmet.Sud.Parent.Naziv>
    <izvorni_sadrzaj>Županijski sud u Dubrovniku</izvorni_sadrzaj>
    <derivirana_varijabla naziv="DomainObject.Predmet.Sud.Parent.Naziv_1">Županijski sud u Dubrovniku</derivirana_varijabla>
  </DomainObject.Predmet.Sud.Parent.Naziv>
  <DomainObject.Predmet.FunkcijaOsobe>
    <izvorni_sadrzaj/>
    <derivirana_varijabla naziv="DomainObject.Predmet.FunkcijaOsobe_1"/>
  </DomainObject.Predmet.FunkcijaOsobe>
  <DomainObject.Datum>
    <izvorni_sadrzaj>28. listopada 2026.</izvorni_sadrzaj>
    <derivirana_varijabla naziv="DomainObject.Datum_1">28. listopada 2026.</derivirana_varijabla>
  </DomainObject.Datum>
  <DomainObject.PoslovniBrojDokumenta>
    <izvorni_sadrzaj/>
    <derivirana_varijabla naziv="DomainObject.PoslovniBrojDokumenta_1"/>
  </DomainObject.PoslovniBrojDokumenta>
  <DomainObject.Predmet.StrankaIDrugi>
    <izvorni_sadrzaj>Općinski sud u Dubrovniku Stalna služba u Korčuli i dr.</izvorni_sadrzaj>
    <derivirana_varijabla naziv="DomainObject.Predmet.StrankaIDrugi_1">Općinski sud u Dubrovniku Stalna služba u Korčuli i dr.</derivirana_varijabla>
  </DomainObject.Predmet.StrankaIDrugi>
  <DomainObject.Predmet.ProtustrankaIDrugi>
    <izvorni_sadrzaj>Toni Erceg</izvorni_sadrzaj>
    <derivirana_varijabla naziv="DomainObject.Predmet.ProtustrankaIDrugi_1">Toni Erceg</derivirana_varijabla>
  </DomainObject.Predmet.ProtustrankaIDrugi>
  <DomainObject.Predmet.StrankaIDrugiAdressOIB>
    <izvorni_sadrzaj>Općinski sud u Dubrovniku Stalna služba u Korčuli, OIB 48074464528, Šetalište F.Kršinića 50, 20260 Korčula i dr.</izvorni_sadrzaj>
    <derivirana_varijabla naziv="DomainObject.Predmet.StrankaIDrugiAdressOIB_1">Općinski sud u Dubrovniku Stalna služba u Korčuli, OIB 48074464528, Šetalište F.Kršinića 50, 20260 Korčula i dr.</derivirana_varijabla>
  </DomainObject.Predmet.StrankaIDrugiAdressOIB>
  <DomainObject.Predmet.ProtustrankaIDrugiAdressOIB>
    <izvorni_sadrzaj>Toni Erceg, OIB 74993798966, Put Malog Stona 2d, 20230 Ston</izvorni_sadrzaj>
    <derivirana_varijabla naziv="DomainObject.Predmet.ProtustrankaIDrugiAdressOIB_1">Toni Erceg, OIB 74993798966, Put Malog Stona 2d, 20230 Ston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Toni Erceg</item>
      <item>Općinski sud u Dubrovniku Stalna služba u Korčuli</item>
      <item>Policijska postaja Korčula</item>
    </izvorni_sadrzaj>
    <derivirana_varijabla naziv="DomainObject.Predmet.SudioniciListNaziv_1">
      <item>Toni Erceg</item>
      <item>Općinski sud u Dubrovniku Stalna služba u Korčuli</item>
      <item>Policijska postaja Korčula</item>
    </derivirana_varijabla>
  </DomainObject.Predmet.SudioniciListNaziv>
  <DomainObject.Predmet.SudioniciListAdressOIB>
    <izvorni_sadrzaj>
      <item>Toni Erceg, OIB 74993798966, Put Malog Stona 2d,20230 Ston</item>
      <item>Općinski sud u Dubrovniku Stalna služba u Korčuli, OIB 48074464528, Šetalište F.Kršinića 50,20260 Korčula</item>
      <item>Policijska postaja Korčula, Obala Dr. Franje Tuđmana 6,20260 Korčula</item>
    </izvorni_sadrzaj>
    <derivirana_varijabla naziv="DomainObject.Predmet.SudioniciListAdressOIB_1">
      <item>Toni Erceg, OIB 74993798966, Put Malog Stona 2d,20230 Ston</item>
      <item>Općinski sud u Dubrovniku Stalna služba u Korčuli, OIB 48074464528, Šetalište F.Kršinića 50,20260 Korčula</item>
      <item>Policijska postaja Korčula, Obala Dr. Franje Tuđmana 6,20260 Korčula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1.520,18 EUR</izvorni_sadrzaj>
    <derivirana_varijabla naziv="DomainObject.Predmet.Pristojbe_1">trošak za novčana kazna u iznosu od 1.520,18 EUR</derivirana_varijabla>
  </DomainObject.Predmet.Pristojbe>
  <DomainObject.Predmet.PristojbeSudionikNazivOIB>
    <izvorni_sadrzaj>Toni Erceg, OIB 74993798966</izvorni_sadrzaj>
    <derivirana_varijabla naziv="DomainObject.Predmet.PristojbeSudionikNazivOIB_1">Toni Erceg, OIB 74993798966</derivirana_varijabla>
  </DomainObject.Predmet.PristojbeSudionikNazivOIB>
  <DomainObject.Predmet.PristojbePNB>
    <izvorni_sadrzaj>HR63 6050-3847-1069932647</izvorni_sadrzaj>
    <derivirana_varijabla naziv="DomainObject.Predmet.PristojbePNB_1">HR63 6050-3847-1069932647</derivirana_varijabla>
  </DomainObject.Predmet.PristojbePNB>
  <DomainObject.Predmet.PristojbeIznos>
    <izvorni_sadrzaj>1.520,18 EUR</izvorni_sadrzaj>
    <derivirana_varijabla naziv="DomainObject.Predmet.PristojbeIznos_1">1.520,18 EUR</derivirana_varijabla>
  </DomainObject.Predmet.PristojbeIznos>
  <DomainObject.Predmet.PristojbeOpisPlacanja>
    <izvorni_sadrzaj>Novčana kazna Pp-1800/2024, OS DU.</izvorni_sadrzaj>
    <derivirana_varijabla naziv="DomainObject.Predmet.PristojbeOpisPlacanja_1">Novčana kazna Pp-1800/2024, OS DU.</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74993798966</item>
      <item>, OIB 48074464528</item>
      <item>, OIB null</item>
    </izvorni_sadrzaj>
    <derivirana_varijabla naziv="DomainObject.Predmet.SudioniciListNazivOIB_1">
      <item>, OIB 74993798966</item>
      <item>, OIB 48074464528</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novčana kazna</izvorni_sadrzaj>
    <derivirana_varijabla naziv="DomainObject.Predmet.PristojbeNazivVrste_1">novčana kazna</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22. rujna 2026.</izvorni_sadrzaj>
    <derivirana_varijabla naziv="DomainObject.PredzadnjaOdlukaIzPredmeta.DatumDonosenjaOdluke_1">22. rujna 2026.</derivirana_varijabla>
  </DomainObject.PredzadnjaOdlukaIzPredmeta.DatumDonosenjaOdluke>
  <DomainObject.PredzadnjaOdlukaIzPredmeta.Oznaka>
    <izvorni_sadrzaj>Pp Ikp-569/2024-9</izvorni_sadrzaj>
    <derivirana_varijabla naziv="DomainObject.PredzadnjaOdlukaIzPredmeta.Oznaka_1">Pp Ikp-569/2024-9</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17. srpnja 2024.</izvorni_sadrzaj>
    <derivirana_varijabla naziv="DomainObject.Predmet.DatumPocetkaProcesa_1">17. srpnja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tem>Zakon o osobnoj iskaznici</item>
    </izvorni_sadrzaj>
    <derivirana_varijabla naziv="DomainObject.ZakonPravilnikList_1">
      <item>Zakon o sigurnosti prometa na cestama</item>
      <item>Zakon o osobnoj iskaznici</item>
    </derivirana_varijabla>
  </DomainObject.ZakonPravilnikList>
  <DomainObject.ZakonPravilnikFull>
    <izvorni_sadrzaj>Zakon o sigurnosti prometa na cestama, Zakon o osobnoj iskaznici</izvorni_sadrzaj>
    <derivirana_varijabla naziv="DomainObject.ZakonPravilnikFull_1">Zakon o sigurnosti prometa na cestama, Zakon o osobnoj iskaznici</derivirana_varijabla>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Toni Erceg, Put Malog Stona 2d, 20230 Ston</izvorni_sadrzaj>
    <derivirana_varijabla naziv="DomainObject.Predmet.OsudenikImePrezimeAdresa_1">Toni Erceg, Put Malog Stona 2d, 20230 Ston</derivirana_varijabla>
  </DomainObject.Predmet.OsudenikImePrezimeAdresa>
  <DomainObject.Predmet.OsudenikImePrezimeOIBDatRodenja>
    <izvorni_sadrzaj>Toni Erceg, OIB 74993798966, rođen-a 28.06.1982.</izvorni_sadrzaj>
    <derivirana_varijabla naziv="DomainObject.Predmet.OsudenikImePrezimeOIBDatRodenja_1">Toni Erceg, OIB 74993798966, rođen-a 28.06.1982.</derivirana_varijabla>
  </DomainObject.Predmet.OsudenikImePrezimeOIBDatRodenja>
  <DomainObject.IkpPredmet.OdlukaRjesenjeIshodisni>
    <izvorni_sadrzaj>Pp-1800/2024-3 donesena 17.07.2024.</izvorni_sadrzaj>
    <derivirana_varijabla naziv="DomainObject.IkpPredmet.OdlukaRjesenjeIshodisni_1">Pp-1800/2024-3 donesena 17.07.2024.</derivirana_varijabla>
  </DomainObject.IkpPredmet.OdlukaRjesenjeIshodisni>
  <DomainObject.IkpPredmet.NovcanaObaveza.PreostaliIznos>
    <izvorni_sadrzaj>1.520,18 EUR</izvorni_sadrzaj>
    <derivirana_varijabla naziv="DomainObject.IkpPredmet.NovcanaObaveza.PreostaliIznos_1">1.520,18 EUR</derivirana_varijabla>
  </DomainObject.IkpPredmet.NovcanaObaveza.PreostaliIznos>
  <DomainObject.IkpPredmet.NovcanaObaveza.PNB>
    <izvorni_sadrzaj>HR63 6050-3847-1069932647</izvorni_sadrzaj>
    <derivirana_varijabla naziv="DomainObject.IkpPredmet.NovcanaObaveza.PNB_1">HR63 6050-3847-1069932647</derivirana_varijabla>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01.08.2024.</izvorni_sadrzaj>
    <derivirana_varijabla naziv="DomainObject.IkpPredmet.IshodisnaOdlukaDatumPravomocnosti_1">01.08.2024.</derivirana_varijabla>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10.08.2024.</izvorni_sadrzaj>
    <derivirana_varijabla naziv="DomainObject.IkpPredmet.IshodisnaOdlukaDatumIzvrsnosti_1">10.08.2024.</derivirana_varijabla>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Pp-1800/2024</izvorni_sadrzaj>
    <derivirana_varijabla naziv="DomainObject.PrviPodnesak.OznakaBrojPodnositelja_1">Pp-1800/2024</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Pravosuda Republike Hrvatske</properties:Company>
  <properties:Pages>2</properties:Pages>
  <properties:Words>282</properties:Words>
  <properties:Characters>1522</properties:Characters>
  <properties:Lines>49</properties:Lines>
  <properties:Paragraphs>14</properties:Paragraphs>
  <properties:TotalTime>8</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2279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2020-12-29T07:04:00Z</dcterms:created>
  <dc:creator>Tihana Prvulović</dc:creator>
  <dc:description/>
  <cp:keywords/>
  <cp:lastModifiedBy>Tihana Prvulović</cp:lastModifiedBy>
  <cp:lastPrinted>2026-10-28T12:55:00Z</cp:lastPrinted>
  <dcterms:modified xmlns:xsi="http://www.w3.org/2001/XMLSchema-instance" xsi:type="dcterms:W3CDTF">2026-10-28T12:55:00Z</dcterms:modified>
  <cp:revision>10</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Poziv osuđeniku (poziv za rod.docx)</vt:lpwstr>
  </prop:property>
  <prop:property fmtid="{D5CDD505-2E9C-101B-9397-08002B2CF9AE}" pid="4" name="CC_coloring">
    <vt:bool>false</vt:bool>
  </prop:property>
  <prop:property fmtid="{D5CDD505-2E9C-101B-9397-08002B2CF9AE}" pid="5" name="BrojStranica">
    <vt:i4>2</vt:i4>
  </prop:property>
</prop:Properties>
</file>