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33e9c61" w14:paraId="33e9c61" w:rsidRDefault="003F25D5" w:rsidP="003C714E" w:rsidR="003F25D5">
      <w:pPr>
        <w:ind w:firstLine="708"/>
        <w15:collapsed w:val="false"/>
      </w:pPr>
      <w:bookmarkStart w:name="_GoBack" w:id="0"/>
      <w:bookmarkEnd w:id="0"/>
      <w:r>
        <w:rPr>
          <w:noProof/>
          <w:lang w:eastAsia="hr-HR" w:val="hr-HR"/>
        </w:rPr>
        <w:drawing>
          <wp:inline distR="0" distL="0" distB="0" distT="0">
            <wp:extent cy="960203" cx="719390"/>
            <wp:effectExtent b="0" r="5080" t="0" l="0"/>
            <wp:docPr name="Slika 1" id="1"/>
            <wp:cNvGraphicFramePr>
              <a:graphicFrameLocks noChangeAspect="true"/>
            </wp:cNvGraphicFramePr>
            <a:graphic>
              <a:graphicData uri="http://schemas.openxmlformats.org/drawingml/2006/picture">
                <pic:pic>
                  <pic:nvPicPr>
                    <pic:cNvPr name="Grb_RH.png" id="0"/>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0203" cx="719390"/>
                    </a:xfrm>
                    <a:prstGeom prst="rect">
                      <a:avLst/>
                    </a:prstGeom>
                  </pic:spPr>
                </pic:pic>
              </a:graphicData>
            </a:graphic>
          </wp:inline>
        </w:drawing>
      </w:r>
    </w:p>
    <w:p w:rsidRDefault="003F25D5" w:rsidP="006C094A" w:rsidR="003F25D5" w:rsidRPr="00EE2C09">
      <w:pPr>
        <w:spacing w:before="100"/>
        <w:rPr>
          <w:lang w:val="hr-HR"/>
        </w:rPr>
      </w:pPr>
      <w:r w:rsidRPr="00EE2C09">
        <w:rPr>
          <w:lang w:val="hr-HR"/>
        </w:rPr>
        <w:t>REPUBLIKA HRVATSKA</w:t>
      </w:r>
      <w:r w:rsidRPr="00EE2C09">
        <w:rPr>
          <w:lang w:val="hr-HR"/>
        </w:rPr>
        <w:tab/>
      </w:r>
      <w:r w:rsidRPr="00EE2C09">
        <w:rPr>
          <w:lang w:val="hr-HR"/>
        </w:rPr>
        <w:tab/>
      </w:r>
      <w:r w:rsidRPr="00EE2C09">
        <w:rPr>
          <w:lang w:val="hr-HR"/>
        </w:rPr>
        <w:tab/>
      </w:r>
      <w:r w:rsidRPr="00EE2C09">
        <w:rPr>
          <w:lang w:val="hr-HR"/>
        </w:rPr>
        <w:tab/>
      </w:r>
      <w:r w:rsidRPr="00EE2C09">
        <w:rPr>
          <w:lang w:val="hr-HR"/>
        </w:rPr>
        <w:tab/>
      </w:r>
      <w:r w:rsidRPr="00EE2C09">
        <w:rPr>
          <w:lang w:val="hr-HR"/>
        </w:rPr>
        <w:tab/>
      </w:r>
    </w:p>
    <w:p w:rsidRDefault="003F25D5" w:rsidP="003F25D5" w:rsidR="003F25D5" w:rsidRPr="00EE2C09">
      <w:pPr>
        <w:jc w:val="both"/>
        <w:rPr>
          <w:rFonts w:eastAsiaTheme="minorHAnsi"/>
          <w:bCs/>
          <w:lang w:val="hr-HR"/>
        </w:rPr>
      </w:pPr>
      <w:r w:rsidRPr="00EE2C09">
        <w:rPr>
          <w:lang w:val="hr-HR"/>
        </w:rPr>
        <w:t>TRGOVAČKI SUD U SPLITU</w:t>
      </w:r>
    </w:p>
    <w:p w:rsidRDefault="003F25D5" w:rsidP="003F25D5" w:rsidR="003F25D5" w:rsidRPr="00EE2C09">
      <w:pPr>
        <w:jc w:val="both"/>
        <w:rPr>
          <w:rFonts w:eastAsiaTheme="minorHAnsi"/>
          <w:bCs/>
          <w:lang w:val="hr-HR"/>
        </w:rPr>
      </w:pPr>
      <w:r w:rsidRPr="00EE2C09">
        <w:rPr>
          <w:rFonts w:eastAsiaTheme="minorHAnsi"/>
          <w:bCs/>
          <w:lang w:val="hr-HR"/>
        </w:rPr>
        <w:t xml:space="preserve">Sukoišanska 6, Split                                    </w:t>
      </w:r>
      <w:r w:rsidRPr="00EE2C09">
        <w:rPr>
          <w:rFonts w:eastAsiaTheme="minorHAnsi"/>
          <w:lang w:val="hr-HR"/>
        </w:rPr>
        <w:t>                                       </w:t>
      </w:r>
    </w:p>
    <w:p w:rsidRDefault="003F25D5" w:rsidP="003F25D5" w:rsidR="003F25D5" w:rsidRPr="00EE2C09">
      <w:pPr>
        <w:spacing w:after="260" w:before="260"/>
        <w:jc w:val="center"/>
        <w:rPr>
          <w:rFonts w:eastAsiaTheme="minorHAnsi"/>
          <w:spacing w:val="60"/>
          <w:lang w:val="hr-HR"/>
        </w:rPr>
      </w:pPr>
      <w:r w:rsidRPr="00EE2C09">
        <w:rPr>
          <w:rFonts w:eastAsiaTheme="minorHAnsi"/>
          <w:spacing w:val="60"/>
          <w:lang w:val="hr-HR"/>
        </w:rPr>
        <w:t xml:space="preserve">U IME REPUBLIKE HRVATSKE </w:t>
      </w:r>
    </w:p>
    <w:p w:rsidRDefault="003F25D5" w:rsidP="003F25D5" w:rsidR="003F25D5" w:rsidRPr="00EE2C09">
      <w:pPr>
        <w:spacing w:after="260" w:before="260"/>
        <w:jc w:val="center"/>
        <w:rPr>
          <w:rFonts w:eastAsiaTheme="minorHAnsi"/>
          <w:bCs/>
          <w:spacing w:val="60"/>
          <w:lang w:val="hr-HR"/>
        </w:rPr>
      </w:pPr>
      <w:r w:rsidRPr="00EE2C09">
        <w:rPr>
          <w:rFonts w:eastAsiaTheme="minorHAnsi"/>
          <w:bCs/>
          <w:spacing w:val="60"/>
          <w:lang w:val="hr-HR"/>
        </w:rPr>
        <w:t xml:space="preserve">RJEŠENJE </w:t>
      </w:r>
    </w:p>
    <w:p w:rsidRDefault="003F25D5" w:rsidP="003F25D5" w:rsidR="00AF2110" w:rsidRPr="00EE2C09">
      <w:pPr>
        <w:spacing w:before="220"/>
        <w:ind w:firstLine="709"/>
        <w:jc w:val="both"/>
        <w:rPr>
          <w:rFonts w:eastAsiaTheme="minorHAnsi"/>
          <w:lang w:val="hr-HR"/>
        </w:rPr>
      </w:pPr>
      <w:r w:rsidRPr="00EE2C09">
        <w:rPr>
          <w:rFonts w:eastAsiaTheme="minorHAnsi"/>
          <w:lang w:val="hr-HR"/>
        </w:rPr>
        <w:t xml:space="preserve">Trgovački sud u Splitu, po stečajnoj sutkinji Ani Golub Gruić, u postupku povodom </w:t>
      </w:r>
      <w:r w:rsidR="006C094A">
        <w:rPr>
          <w:rFonts w:eastAsiaTheme="minorHAnsi"/>
          <w:lang w:val="hr-HR"/>
        </w:rPr>
        <w:t>prijedloga</w:t>
      </w:r>
      <w:r w:rsidRPr="00EE2C09">
        <w:rPr>
          <w:rFonts w:eastAsiaTheme="minorHAnsi"/>
          <w:lang w:val="hr-HR"/>
        </w:rPr>
        <w:t xml:space="preserve"> FINANCIJSKE AGENCIJE, Regionalni centar Split, Podružnica Split, Mažuranićevo šetalište 24B, OIB: 85821130368, za </w:t>
      </w:r>
      <w:r w:rsidR="006C094A">
        <w:rPr>
          <w:rFonts w:eastAsiaTheme="minorHAnsi"/>
          <w:lang w:val="hr-HR"/>
        </w:rPr>
        <w:t>otvaranje</w:t>
      </w:r>
      <w:r w:rsidRPr="00EE2C09">
        <w:rPr>
          <w:rFonts w:eastAsiaTheme="minorHAnsi"/>
          <w:lang w:val="hr-HR"/>
        </w:rPr>
        <w:t xml:space="preserve"> stečajnog postupka nad dužnikom </w:t>
      </w:r>
      <w:r w:rsidR="006C094A">
        <w:rPr>
          <w:lang w:val="hr-HR"/>
        </w:rPr>
        <w:t>POZICIJA SPLIT d.o.o., OIB: 61765906697, Split, Vinogradska 78</w:t>
      </w:r>
      <w:r w:rsidRPr="00EE2C09">
        <w:rPr>
          <w:lang w:val="hr-HR"/>
        </w:rPr>
        <w:t xml:space="preserve">, </w:t>
      </w:r>
      <w:r w:rsidRPr="00EE2C09">
        <w:rPr>
          <w:rFonts w:eastAsiaTheme="minorHAnsi"/>
          <w:lang w:val="hr-HR"/>
        </w:rPr>
        <w:t>dana</w:t>
      </w:r>
      <w:r w:rsidR="00EB21AE">
        <w:rPr>
          <w:rFonts w:eastAsiaTheme="minorHAnsi"/>
          <w:lang w:val="hr-HR"/>
        </w:rPr>
        <w:t xml:space="preserve"> 18</w:t>
      </w:r>
      <w:r w:rsidR="006C094A">
        <w:rPr>
          <w:rFonts w:eastAsiaTheme="minorHAnsi"/>
          <w:lang w:val="hr-HR"/>
        </w:rPr>
        <w:t xml:space="preserve">. srpnja 2017. godine </w:t>
      </w:r>
    </w:p>
    <w:p w:rsidRDefault="00AF2110" w:rsidP="006C094A" w:rsidR="00AF2110" w:rsidRPr="00EE2C09">
      <w:pPr>
        <w:spacing w:after="240" w:before="140"/>
        <w:jc w:val="center"/>
        <w:rPr>
          <w:lang w:val="hr-HR"/>
        </w:rPr>
      </w:pPr>
      <w:r w:rsidRPr="00EE2C09">
        <w:rPr>
          <w:lang w:val="hr-HR"/>
        </w:rPr>
        <w:t>r i j e š i o    j e</w:t>
      </w:r>
    </w:p>
    <w:p w:rsidRDefault="00AF2110" w:rsidP="003C714E" w:rsidR="00AF2110" w:rsidRPr="00EE2C09">
      <w:pPr>
        <w:ind w:firstLine="708"/>
        <w:jc w:val="both"/>
        <w:rPr>
          <w:lang w:val="hr-HR"/>
        </w:rPr>
      </w:pPr>
      <w:r w:rsidRPr="00EE2C09">
        <w:rPr>
          <w:lang w:val="hr-HR"/>
        </w:rPr>
        <w:t xml:space="preserve">Odbacuje </w:t>
      </w:r>
      <w:r w:rsidR="006C094A">
        <w:rPr>
          <w:lang w:val="hr-HR"/>
        </w:rPr>
        <w:t>se prijedlog</w:t>
      </w:r>
      <w:r w:rsidRPr="00EE2C09">
        <w:rPr>
          <w:lang w:val="hr-HR"/>
        </w:rPr>
        <w:t xml:space="preserve"> predlagatelja </w:t>
      </w:r>
      <w:r w:rsidR="003F25D5" w:rsidRPr="00EE2C09">
        <w:rPr>
          <w:rFonts w:eastAsiaTheme="minorHAnsi"/>
          <w:lang w:val="hr-HR"/>
        </w:rPr>
        <w:t xml:space="preserve">FINANCIJSKE AGENCIJE, Regionalni centar Split, Podružnica Split, Mažuranićevo šetalište 24B, OIB: 85821130368 </w:t>
      </w:r>
      <w:r w:rsidRPr="00EE2C09">
        <w:rPr>
          <w:lang w:val="hr-HR"/>
        </w:rPr>
        <w:t xml:space="preserve">za </w:t>
      </w:r>
      <w:r w:rsidR="006C094A">
        <w:rPr>
          <w:lang w:val="hr-HR"/>
        </w:rPr>
        <w:t>otvaranje</w:t>
      </w:r>
      <w:r w:rsidRPr="00EE2C09">
        <w:rPr>
          <w:lang w:val="hr-HR"/>
        </w:rPr>
        <w:t xml:space="preserve"> stečajnog postupka nad dužnikom </w:t>
      </w:r>
      <w:r w:rsidR="006C094A" w:rsidRPr="006C094A">
        <w:rPr>
          <w:lang w:val="hr-HR"/>
        </w:rPr>
        <w:t>POZICIJA SPLIT d.o.o., OIB: 61765906697, Split, Vinogradska 78</w:t>
      </w:r>
      <w:r w:rsidRPr="00EE2C09">
        <w:rPr>
          <w:lang w:val="hr-HR"/>
        </w:rPr>
        <w:t>.</w:t>
      </w:r>
    </w:p>
    <w:p w:rsidRDefault="00AF2110" w:rsidP="006C094A" w:rsidR="00AF2110" w:rsidRPr="00EE2C09">
      <w:pPr>
        <w:spacing w:after="140" w:before="200"/>
        <w:jc w:val="center"/>
        <w:rPr>
          <w:lang w:val="hr-HR"/>
        </w:rPr>
      </w:pPr>
      <w:r w:rsidRPr="00EE2C09">
        <w:rPr>
          <w:lang w:val="hr-HR"/>
        </w:rPr>
        <w:t>Obrazloženje</w:t>
      </w:r>
    </w:p>
    <w:p w:rsidRDefault="003F25D5" w:rsidP="003F25D5" w:rsidR="003F25D5" w:rsidRPr="00EE2C09">
      <w:pPr>
        <w:ind w:firstLine="709"/>
        <w:jc w:val="both"/>
        <w:rPr>
          <w:lang w:val="hr-HR"/>
        </w:rPr>
      </w:pPr>
      <w:r w:rsidRPr="00EE2C09">
        <w:rPr>
          <w:lang w:val="hr-HR"/>
        </w:rPr>
        <w:t xml:space="preserve">Financijska agencija, Regionalni centar Split podnijela je ovom sudu </w:t>
      </w:r>
      <w:r w:rsidR="006C094A">
        <w:rPr>
          <w:lang w:val="hr-HR"/>
        </w:rPr>
        <w:t>dana 30. listopada</w:t>
      </w:r>
      <w:r w:rsidRPr="00EE2C09">
        <w:rPr>
          <w:lang w:val="hr-HR"/>
        </w:rPr>
        <w:t xml:space="preserve"> 2015. </w:t>
      </w:r>
      <w:r w:rsidR="006C094A">
        <w:rPr>
          <w:lang w:val="hr-HR"/>
        </w:rPr>
        <w:t>godine prijedloga</w:t>
      </w:r>
      <w:r w:rsidRPr="00EE2C09">
        <w:rPr>
          <w:lang w:val="hr-HR"/>
        </w:rPr>
        <w:t xml:space="preserve"> za </w:t>
      </w:r>
      <w:r w:rsidR="006C094A">
        <w:rPr>
          <w:lang w:val="hr-HR"/>
        </w:rPr>
        <w:t>otvaranje</w:t>
      </w:r>
      <w:r w:rsidRPr="00EE2C09">
        <w:rPr>
          <w:lang w:val="hr-HR"/>
        </w:rPr>
        <w:t xml:space="preserve"> stečajnog postupka nad </w:t>
      </w:r>
      <w:r w:rsidR="006C094A" w:rsidRPr="006C094A">
        <w:rPr>
          <w:lang w:val="hr-HR"/>
        </w:rPr>
        <w:t>POZICIJA SPLIT d.o.o., OIB: 61765906697, Split, Vinogradska 78</w:t>
      </w:r>
      <w:r w:rsidR="006C094A">
        <w:rPr>
          <w:lang w:val="hr-HR"/>
        </w:rPr>
        <w:t>.</w:t>
      </w:r>
    </w:p>
    <w:p w:rsidRDefault="003F25D5" w:rsidP="006C094A" w:rsidR="003F25D5" w:rsidRPr="00EE2C09">
      <w:pPr>
        <w:spacing w:before="200"/>
        <w:ind w:firstLine="708"/>
        <w:jc w:val="both"/>
        <w:rPr>
          <w:lang w:val="hr-HR"/>
        </w:rPr>
      </w:pPr>
      <w:r w:rsidRPr="00EE2C09">
        <w:rPr>
          <w:lang w:val="hr-HR"/>
        </w:rPr>
        <w:t>U podnesenom zahtjevu naveden</w:t>
      </w:r>
      <w:r w:rsidR="006C094A">
        <w:rPr>
          <w:lang w:val="hr-HR"/>
        </w:rPr>
        <w:t>o je da dužnik na dan 6. listopada</w:t>
      </w:r>
      <w:r w:rsidRPr="00EE2C09">
        <w:rPr>
          <w:lang w:val="hr-HR"/>
        </w:rPr>
        <w:t xml:space="preserve"> 2015. godine, u Očevidniku redoslijeda osnova za plaćanje, ima evidentirane neizvršene osnove za plaćan</w:t>
      </w:r>
      <w:r w:rsidR="006C094A">
        <w:rPr>
          <w:lang w:val="hr-HR"/>
        </w:rPr>
        <w:t xml:space="preserve">je u neprekinutom razdoblju od </w:t>
      </w:r>
      <w:r w:rsidRPr="00EE2C09">
        <w:rPr>
          <w:lang w:val="hr-HR"/>
        </w:rPr>
        <w:t>1</w:t>
      </w:r>
      <w:r w:rsidR="006C094A">
        <w:rPr>
          <w:lang w:val="hr-HR"/>
        </w:rPr>
        <w:t>2</w:t>
      </w:r>
      <w:r w:rsidRPr="00EE2C09">
        <w:rPr>
          <w:lang w:val="hr-HR"/>
        </w:rPr>
        <w:t xml:space="preserve">0 dana, u ukupnom iznosu od </w:t>
      </w:r>
      <w:r w:rsidR="006C094A">
        <w:rPr>
          <w:lang w:val="hr-HR"/>
        </w:rPr>
        <w:t>59.731,21</w:t>
      </w:r>
      <w:r w:rsidRPr="00EE2C09">
        <w:rPr>
          <w:lang w:val="hr-HR"/>
        </w:rPr>
        <w:t xml:space="preserve"> kuna, kao i da prema podacima koji su dostavljeni od Hrvatskog zavoda za mirovinsko osiguranje dužnik </w:t>
      </w:r>
      <w:r w:rsidR="006C094A">
        <w:rPr>
          <w:lang w:val="hr-HR"/>
        </w:rPr>
        <w:t>im</w:t>
      </w:r>
      <w:r w:rsidRPr="00EE2C09">
        <w:rPr>
          <w:lang w:val="hr-HR"/>
        </w:rPr>
        <w:t xml:space="preserve">a </w:t>
      </w:r>
      <w:r w:rsidR="006C094A">
        <w:rPr>
          <w:lang w:val="hr-HR"/>
        </w:rPr>
        <w:t xml:space="preserve">4 </w:t>
      </w:r>
      <w:r w:rsidRPr="00EE2C09">
        <w:rPr>
          <w:lang w:val="hr-HR"/>
        </w:rPr>
        <w:t>zaposlenih.</w:t>
      </w:r>
    </w:p>
    <w:p w:rsidRDefault="00AF2110" w:rsidP="006C094A" w:rsidR="00AF2110" w:rsidRPr="00EE2C09">
      <w:pPr>
        <w:spacing w:before="200"/>
        <w:ind w:firstLine="708"/>
        <w:jc w:val="both"/>
        <w:rPr>
          <w:lang w:val="hr-HR"/>
        </w:rPr>
      </w:pPr>
      <w:r w:rsidRPr="00EE2C09">
        <w:rPr>
          <w:lang w:val="hr-HR"/>
        </w:rPr>
        <w:t xml:space="preserve">Podneseni prijedlog za otvaranje stečajnog postupka nije dopušten, budući da je dužnik prije podnošenja prijedloga za otvaranje stečajnog postupka u ovom predmetu, pokrenuo postupak predstečajne nagodbe kod Financijske Agencije, Regionalni centar Zagreb.  </w:t>
      </w:r>
    </w:p>
    <w:p w:rsidRDefault="00AF2110" w:rsidP="006C094A" w:rsidR="00AF2110" w:rsidRPr="00EE2C09">
      <w:pPr>
        <w:spacing w:before="200"/>
        <w:jc w:val="both"/>
        <w:rPr>
          <w:lang w:val="hr-HR"/>
        </w:rPr>
      </w:pPr>
      <w:r w:rsidRPr="00EE2C09">
        <w:rPr>
          <w:lang w:val="hr-HR"/>
        </w:rPr>
        <w:tab/>
        <w:t>Naime, uvidom u podatke iz sudskog registra za dužnika utvrđeno je da je u sudskom registru ovog suda upisana zabilježba rješenja Financijske agencije, Regionalni centar Zagreb klase: UP-I/110/07/15-01/871</w:t>
      </w:r>
      <w:r w:rsidR="006C094A">
        <w:rPr>
          <w:lang w:val="hr-HR"/>
        </w:rPr>
        <w:t>1, Ur</w:t>
      </w:r>
      <w:r w:rsidRPr="00EE2C09">
        <w:rPr>
          <w:lang w:val="hr-HR"/>
        </w:rPr>
        <w:t>.br.: 04-0</w:t>
      </w:r>
      <w:r w:rsidR="006C094A">
        <w:rPr>
          <w:lang w:val="hr-HR"/>
        </w:rPr>
        <w:t>6-15</w:t>
      </w:r>
      <w:r w:rsidR="00D64E26">
        <w:rPr>
          <w:lang w:val="hr-HR"/>
        </w:rPr>
        <w:t>-871</w:t>
      </w:r>
      <w:r w:rsidR="006C094A">
        <w:rPr>
          <w:lang w:val="hr-HR"/>
        </w:rPr>
        <w:t>1</w:t>
      </w:r>
      <w:r w:rsidR="00D64E26">
        <w:rPr>
          <w:lang w:val="hr-HR"/>
        </w:rPr>
        <w:t>-</w:t>
      </w:r>
      <w:r w:rsidR="006C094A">
        <w:rPr>
          <w:lang w:val="hr-HR"/>
        </w:rPr>
        <w:t>24</w:t>
      </w:r>
      <w:r w:rsidR="00D64E26">
        <w:rPr>
          <w:lang w:val="hr-HR"/>
        </w:rPr>
        <w:t xml:space="preserve"> od </w:t>
      </w:r>
      <w:r w:rsidR="006C094A">
        <w:rPr>
          <w:lang w:val="hr-HR"/>
        </w:rPr>
        <w:t>7. prosinca 2015</w:t>
      </w:r>
      <w:r w:rsidR="00D64E26">
        <w:rPr>
          <w:lang w:val="hr-HR"/>
        </w:rPr>
        <w:t>. godine</w:t>
      </w:r>
      <w:r w:rsidRPr="00EE2C09">
        <w:rPr>
          <w:lang w:val="hr-HR"/>
        </w:rPr>
        <w:t>, a kojim rješenjem je otvoren postupak predstečajne nagodbe nad dužnikom.</w:t>
      </w:r>
    </w:p>
    <w:p w:rsidRDefault="00AF2110" w:rsidP="006C094A" w:rsidR="00AF2110" w:rsidRPr="00EE2C09">
      <w:pPr>
        <w:spacing w:before="200"/>
        <w:ind w:firstLine="708"/>
        <w:jc w:val="both"/>
        <w:rPr>
          <w:lang w:val="hr-HR"/>
        </w:rPr>
      </w:pPr>
      <w:r w:rsidRPr="00EE2C09">
        <w:rPr>
          <w:lang w:val="hr-HR"/>
        </w:rPr>
        <w:t xml:space="preserve">Nadalje, pregledom službenih web stranica Financijske agencije sud je </w:t>
      </w:r>
      <w:r w:rsidR="00D64E26">
        <w:rPr>
          <w:lang w:val="hr-HR"/>
        </w:rPr>
        <w:t>utvrdio da je dužnik dana 31. kolovoza 2015. godine</w:t>
      </w:r>
      <w:r w:rsidRPr="00EE2C09">
        <w:rPr>
          <w:lang w:val="hr-HR"/>
        </w:rPr>
        <w:t xml:space="preserve"> podnio Financijskoj agenciji prijedlog za otvaranje postupka predstečajne nagodbe, a koji prijedlog je Financijska agencija prihvatila i rješenjem od </w:t>
      </w:r>
      <w:r w:rsidR="006C094A">
        <w:rPr>
          <w:lang w:val="hr-HR"/>
        </w:rPr>
        <w:t>7. prosinca 2015</w:t>
      </w:r>
      <w:r w:rsidR="00D64E26">
        <w:rPr>
          <w:lang w:val="hr-HR"/>
        </w:rPr>
        <w:t>. godine</w:t>
      </w:r>
      <w:r w:rsidRPr="00EE2C09">
        <w:rPr>
          <w:lang w:val="hr-HR"/>
        </w:rPr>
        <w:t xml:space="preserve"> otvorila postupak pred</w:t>
      </w:r>
      <w:r w:rsidR="006C094A">
        <w:rPr>
          <w:lang w:val="hr-HR"/>
        </w:rPr>
        <w:t>stečajne nagodbe nad dužnikom.</w:t>
      </w:r>
    </w:p>
    <w:p w:rsidRDefault="00AF2110" w:rsidP="006C094A" w:rsidR="00AF2110" w:rsidRPr="00EE2C09">
      <w:pPr>
        <w:spacing w:before="200"/>
        <w:ind w:firstLine="708"/>
        <w:jc w:val="both"/>
        <w:rPr>
          <w:lang w:val="hr-HR"/>
        </w:rPr>
      </w:pPr>
      <w:r w:rsidRPr="00EE2C09">
        <w:rPr>
          <w:lang w:val="hr-HR"/>
        </w:rPr>
        <w:lastRenderedPageBreak/>
        <w:t>Odredbama čl. 442. st. 1. Stečajnog zakona (</w:t>
      </w:r>
      <w:r w:rsidR="00D64E26">
        <w:rPr>
          <w:lang w:val="hr-HR"/>
        </w:rPr>
        <w:t>„</w:t>
      </w:r>
      <w:r w:rsidRPr="00EE2C09">
        <w:rPr>
          <w:lang w:val="hr-HR"/>
        </w:rPr>
        <w:t>Narodne novine</w:t>
      </w:r>
      <w:r w:rsidR="00D64E26">
        <w:rPr>
          <w:lang w:val="hr-HR"/>
        </w:rPr>
        <w:t>“ broj 71/15;</w:t>
      </w:r>
      <w:r w:rsidRPr="00EE2C09">
        <w:rPr>
          <w:lang w:val="hr-HR"/>
        </w:rPr>
        <w:t xml:space="preserve"> dalje SZ) propisano je da će se postupci predstečajne nagodbe pokrenuti na temelju Zakona o financijskom poslovanju i predstečajnoj nagodbi (</w:t>
      </w:r>
      <w:r w:rsidR="00D64E26">
        <w:rPr>
          <w:lang w:val="hr-HR"/>
        </w:rPr>
        <w:t>„</w:t>
      </w:r>
      <w:r w:rsidRPr="00EE2C09">
        <w:rPr>
          <w:lang w:val="hr-HR"/>
        </w:rPr>
        <w:t>Narodne novine</w:t>
      </w:r>
      <w:r w:rsidR="00D64E26">
        <w:rPr>
          <w:lang w:val="hr-HR"/>
        </w:rPr>
        <w:t>“ broj 108/12, 144/12, 81/13 i 112/13;</w:t>
      </w:r>
      <w:r w:rsidRPr="00EE2C09">
        <w:rPr>
          <w:lang w:val="hr-HR"/>
        </w:rPr>
        <w:t xml:space="preserve"> dalje ZFPPN) dovršiti prema odredbama tog Zakona.</w:t>
      </w:r>
    </w:p>
    <w:p w:rsidRDefault="00AF2110" w:rsidP="006C094A" w:rsidR="00AF2110" w:rsidRPr="00EE2C09">
      <w:pPr>
        <w:spacing w:before="200"/>
        <w:jc w:val="both"/>
        <w:rPr>
          <w:lang w:val="hr-HR"/>
        </w:rPr>
      </w:pPr>
      <w:r w:rsidRPr="00EE2C09">
        <w:rPr>
          <w:lang w:val="hr-HR"/>
        </w:rPr>
        <w:tab/>
        <w:t xml:space="preserve">Odredbom čl. 39. Zakona o financijskom poslovanju i predstečajnoj nagodbi (Narodne novine br. 108/12, 144/12, 81/13 i 112/13, dalje ZFPPN) propisana su pravila o konkurenciji postupka predstečajne nagodbe i stečajnog postupka. Tako je stavkom 3. tog članka propisano da do okončanja postupka predstečajne nagodbe nije dopušteno pokrenuti stečajni postupak, dok je stavkom 4. tog članka propisano da prijedlog za otvaranje postupka predstečajne nagodbe nije dopušten ako je nad dužnikom pokrenut stečajni postupak. </w:t>
      </w:r>
    </w:p>
    <w:p w:rsidRDefault="00AF2110" w:rsidP="006C094A" w:rsidR="00AF2110" w:rsidRPr="00EE2C09">
      <w:pPr>
        <w:spacing w:before="200"/>
        <w:jc w:val="both"/>
        <w:rPr>
          <w:lang w:val="hr-HR"/>
        </w:rPr>
      </w:pPr>
      <w:r w:rsidRPr="00EE2C09">
        <w:rPr>
          <w:lang w:val="hr-HR"/>
        </w:rPr>
        <w:tab/>
        <w:t xml:space="preserve">Prema odredbi čl. 11 st. 1. SZ-a stečajni postupak se pokreće prijedlogom ovlaštene osobe, a koji prijedlog se, u skladu s odredbom čl. 8. SZ-a, podnosi trgovačkom sudu na čijem se području nalazi sjedište dužnika. </w:t>
      </w:r>
    </w:p>
    <w:p w:rsidRDefault="00AF2110" w:rsidP="006C094A" w:rsidR="00AF2110" w:rsidRPr="00EE2C09">
      <w:pPr>
        <w:spacing w:before="200"/>
        <w:ind w:firstLine="708"/>
        <w:jc w:val="both"/>
        <w:rPr>
          <w:lang w:val="hr-HR"/>
        </w:rPr>
      </w:pPr>
      <w:r w:rsidRPr="00EE2C09">
        <w:rPr>
          <w:lang w:val="hr-HR"/>
        </w:rPr>
        <w:t xml:space="preserve">Prema odredbi čl. </w:t>
      </w:r>
      <w:smartTag w:element="metricconverter" w:uri="urn:schemas-microsoft-com:office:smarttags">
        <w:smartTagPr>
          <w:attr w:val="27. st" w:name="ProductID"/>
        </w:smartTagPr>
        <w:r w:rsidRPr="00EE2C09">
          <w:rPr>
            <w:lang w:val="hr-HR"/>
          </w:rPr>
          <w:t>27. st</w:t>
        </w:r>
      </w:smartTag>
      <w:r w:rsidRPr="00EE2C09">
        <w:rPr>
          <w:lang w:val="hr-HR"/>
        </w:rPr>
        <w:t>. 2. ZFPPN-a postupak predstečajne nagodbe pokreće se prijedlogom dužnika, a koji prijedlog se, u skladu s odredbama čl. 26. ZFPPN-a, podnosi nadležnom regionalnom centru Financijske agencije.</w:t>
      </w:r>
    </w:p>
    <w:p w:rsidRDefault="00AF2110" w:rsidP="006C094A" w:rsidR="00AF2110" w:rsidRPr="00D64E26">
      <w:pPr>
        <w:spacing w:before="200"/>
        <w:ind w:firstLine="708"/>
        <w:jc w:val="both"/>
        <w:rPr>
          <w:lang w:val="hr-HR"/>
        </w:rPr>
      </w:pPr>
      <w:r w:rsidRPr="00D64E26">
        <w:rPr>
          <w:lang w:val="hr-HR"/>
        </w:rPr>
        <w:t xml:space="preserve">Odredbom čl. 115. st. 1. SZ-a propisano je da na temelju prijedloga za otvaranje stečajnog postupka sud donosi rješenje o pokretanju prethodnog postupka radi utvrđivanja pretpostavki za otvaranje stečajnog postupka (prethodni postupak), protiv kojeg nije dopuštena posebna žalba, ili taj prijedlog odbacuje rješenjem. </w:t>
      </w:r>
    </w:p>
    <w:p w:rsidRDefault="00AF2110" w:rsidP="006C094A" w:rsidR="00AF2110" w:rsidRPr="00EE2C09">
      <w:pPr>
        <w:spacing w:before="200"/>
        <w:ind w:firstLine="708"/>
        <w:jc w:val="both"/>
        <w:rPr>
          <w:lang w:val="hr-HR"/>
        </w:rPr>
      </w:pPr>
      <w:r w:rsidRPr="00EE2C09">
        <w:rPr>
          <w:lang w:val="hr-HR"/>
        </w:rPr>
        <w:t>Kako je</w:t>
      </w:r>
      <w:r w:rsidR="00C96794">
        <w:rPr>
          <w:lang w:val="hr-HR"/>
        </w:rPr>
        <w:t>,</w:t>
      </w:r>
      <w:r w:rsidRPr="00EE2C09">
        <w:rPr>
          <w:lang w:val="hr-HR"/>
        </w:rPr>
        <w:t xml:space="preserve"> dakle</w:t>
      </w:r>
      <w:r w:rsidR="00C96794">
        <w:rPr>
          <w:lang w:val="hr-HR"/>
        </w:rPr>
        <w:t>,</w:t>
      </w:r>
      <w:r w:rsidRPr="00EE2C09">
        <w:rPr>
          <w:lang w:val="hr-HR"/>
        </w:rPr>
        <w:t xml:space="preserve"> u konkretnom slučaju prijedlog za otvaranje stečajnog postupka podnesen nakon pokretanja postupka predstečajne nagodbe nad dužnikom, a koji postupak je i dalje u tijeku, to je stoga prijedlog predlagatelja u ovom predmetu, a sukladno odredbama čl. </w:t>
      </w:r>
      <w:smartTag w:element="metricconverter" w:uri="urn:schemas-microsoft-com:office:smarttags">
        <w:smartTagPr>
          <w:attr w:val="39. st" w:name="ProductID"/>
        </w:smartTagPr>
        <w:r w:rsidRPr="00EE2C09">
          <w:rPr>
            <w:lang w:val="hr-HR"/>
          </w:rPr>
          <w:t>39. st</w:t>
        </w:r>
      </w:smartTag>
      <w:r w:rsidRPr="00EE2C09">
        <w:rPr>
          <w:lang w:val="hr-HR"/>
        </w:rPr>
        <w:t>. 3. ZFPPN-a, nedopušten te je isti prijedlog trebalo odbaciti. Pravno stajalište o nedopuštenosti podnošenja prijedloga za otvaranje stečajnog postupka prije okončanja pokrenutog postupka predstečajne nagodbe izraženo je i u odluci Visokog trgovačkog suda</w:t>
      </w:r>
      <w:r w:rsidR="00C96794">
        <w:rPr>
          <w:lang w:val="hr-HR"/>
        </w:rPr>
        <w:t xml:space="preserve"> Republike Hrvatske </w:t>
      </w:r>
      <w:r w:rsidRPr="00EE2C09">
        <w:rPr>
          <w:lang w:val="hr-HR"/>
        </w:rPr>
        <w:t>posl. br. 65</w:t>
      </w:r>
      <w:r w:rsidR="006C094A">
        <w:rPr>
          <w:lang w:val="hr-HR"/>
        </w:rPr>
        <w:t xml:space="preserve"> Pž-8142/14-3 od 11. studenog </w:t>
      </w:r>
      <w:r w:rsidR="00C96794">
        <w:rPr>
          <w:lang w:val="hr-HR"/>
        </w:rPr>
        <w:t>2014. godine.</w:t>
      </w:r>
    </w:p>
    <w:p w:rsidRDefault="00AF2110" w:rsidP="006C094A" w:rsidR="00AF2110" w:rsidRPr="00EE2C09">
      <w:pPr>
        <w:spacing w:before="200"/>
        <w:jc w:val="both"/>
        <w:rPr>
          <w:lang w:val="hr-HR"/>
        </w:rPr>
      </w:pPr>
      <w:r w:rsidRPr="00EE2C09">
        <w:rPr>
          <w:lang w:val="hr-HR"/>
        </w:rPr>
        <w:tab/>
        <w:t xml:space="preserve">Na kraju valja napomenuti da je cilj postupka predstečajne nagodbe da se dužniku koji je postao nelikvidan i/ili insolventan omogući financijsko restrukturiranje na temelju kojeg će postati likvidan i solventan, a njegovim vjerovnicima da se omoguće povoljniji uvjeti namirenja njihovih tražbina od uvjeta koje bi vjerovnici ostvarili da je protiv dužnika pokrenut stečajni postupak (čl. 20. ZFPPN-a). Ukoliko pokrenuti postupak predstečajne nagodbe nad dužnikom ne bude okončan sklapanjem predstečajne nagodbe, odnosno ukoliko isti postupak bude okončan obustavom tog postupka, tada će i sama Financijska agencija, u slučaju da utvrdi da kod dužnika postoje stečajni razlozi, biti dužna po službenoj dužnosti podnijeti sudu prijedlog za otvaranje stečajnog postupka nad dužnikom. </w:t>
      </w:r>
    </w:p>
    <w:p w:rsidRDefault="00AF2110" w:rsidP="006C094A" w:rsidR="00AF2110" w:rsidRPr="00EE2C09">
      <w:pPr>
        <w:spacing w:before="200"/>
        <w:jc w:val="both"/>
        <w:rPr>
          <w:lang w:val="hr-HR"/>
        </w:rPr>
      </w:pPr>
      <w:r w:rsidRPr="00EE2C09">
        <w:rPr>
          <w:lang w:val="hr-HR"/>
        </w:rPr>
        <w:tab/>
        <w:t xml:space="preserve">Slijedom naprijed navedenog, a temeljem odredbi čl. 115. st. 1. SZ-a u vezi s čl. 39. st. 3. ZFPPN-a i čl. 442. st. 1. SZ-a, sud je odlučio kao u izreci ovog rješenja. </w:t>
      </w:r>
    </w:p>
    <w:p w:rsidRDefault="00AF2110" w:rsidP="00AF2110" w:rsidR="00AF2110" w:rsidRPr="00EE2C09">
      <w:pPr>
        <w:jc w:val="both"/>
        <w:rPr>
          <w:sz w:val="28"/>
          <w:szCs w:val="28"/>
          <w:lang w:val="hr-HR"/>
        </w:rPr>
      </w:pPr>
    </w:p>
    <w:p w:rsidRDefault="00AF2110" w:rsidP="00AF2110" w:rsidR="00AF2110" w:rsidRPr="00EE2C09">
      <w:pPr>
        <w:jc w:val="center"/>
        <w:rPr>
          <w:lang w:val="hr-HR"/>
        </w:rPr>
      </w:pPr>
      <w:r w:rsidRPr="00EE2C09">
        <w:rPr>
          <w:lang w:val="hr-HR"/>
        </w:rPr>
        <w:t xml:space="preserve"> U Splitu, </w:t>
      </w:r>
      <w:r w:rsidR="00EB21AE">
        <w:rPr>
          <w:lang w:val="hr-HR"/>
        </w:rPr>
        <w:t>18</w:t>
      </w:r>
      <w:r w:rsidR="006C094A">
        <w:rPr>
          <w:lang w:val="hr-HR"/>
        </w:rPr>
        <w:t>. srpnja</w:t>
      </w:r>
      <w:r w:rsidR="003F25D5" w:rsidRPr="00EE2C09">
        <w:rPr>
          <w:lang w:val="hr-HR"/>
        </w:rPr>
        <w:t xml:space="preserve"> 201</w:t>
      </w:r>
      <w:r w:rsidR="006C094A">
        <w:rPr>
          <w:lang w:val="hr-HR"/>
        </w:rPr>
        <w:t>7</w:t>
      </w:r>
      <w:r w:rsidR="003F25D5" w:rsidRPr="00EE2C09">
        <w:rPr>
          <w:lang w:val="hr-HR"/>
        </w:rPr>
        <w:t>. godine</w:t>
      </w:r>
    </w:p>
    <w:p w:rsidRDefault="00AF2110" w:rsidP="00AF2110" w:rsidR="00AF2110" w:rsidRPr="00EE2C09">
      <w:pPr>
        <w:jc w:val="both"/>
        <w:rPr>
          <w:sz w:val="16"/>
          <w:szCs w:val="16"/>
          <w:lang w:val="hr-HR"/>
        </w:rPr>
      </w:pPr>
      <w:r w:rsidRPr="00EE2C09">
        <w:rPr>
          <w:lang w:val="hr-HR"/>
        </w:rPr>
        <w:t xml:space="preserve"> </w:t>
      </w:r>
    </w:p>
    <w:p w:rsidRDefault="003F25D5" w:rsidP="003F25D5" w:rsidR="003F25D5" w:rsidRPr="00EE2C09">
      <w:pPr>
        <w:spacing w:before="200"/>
        <w:ind w:left="6480"/>
        <w:jc w:val="center"/>
        <w:rPr>
          <w:lang w:val="hr-HR"/>
        </w:rPr>
      </w:pPr>
      <w:r w:rsidRPr="00EE2C09">
        <w:rPr>
          <w:lang w:val="hr-HR"/>
        </w:rPr>
        <w:t>SUTKINJA</w:t>
      </w:r>
    </w:p>
    <w:p w:rsidRDefault="003F25D5" w:rsidP="003F25D5" w:rsidR="003F25D5" w:rsidRPr="00EE2C09">
      <w:pPr>
        <w:ind w:left="6480"/>
        <w:jc w:val="center"/>
        <w:rPr>
          <w:lang w:val="hr-HR"/>
        </w:rPr>
      </w:pPr>
      <w:r w:rsidRPr="00EE2C09">
        <w:rPr>
          <w:lang w:val="hr-HR"/>
        </w:rPr>
        <w:t>ANA GOLUB GRUIĆ</w:t>
      </w:r>
    </w:p>
    <w:p w:rsidRDefault="003F25D5" w:rsidP="003F25D5" w:rsidR="003F25D5" w:rsidRPr="00EE2C09">
      <w:pPr>
        <w:jc w:val="both"/>
        <w:rPr>
          <w:b/>
          <w:lang w:val="hr-HR"/>
        </w:rPr>
      </w:pPr>
    </w:p>
    <w:p w:rsidRDefault="003F25D5" w:rsidP="003F25D5" w:rsidR="003F25D5" w:rsidRPr="00EE2C09">
      <w:pPr>
        <w:spacing w:before="160"/>
        <w:jc w:val="both"/>
        <w:rPr>
          <w:lang w:val="hr-HR"/>
        </w:rPr>
      </w:pPr>
      <w:r w:rsidRPr="00EE2C09">
        <w:rPr>
          <w:lang w:val="hr-HR"/>
        </w:rPr>
        <w:t xml:space="preserve">POUKA O PRAVNOM LIJEKU: Protiv ovog rješenja dopuštena je žalba. Žalba se može izjaviti u roku od osam dana od dostave rješenja, a dostava ovog rješenja smatra se obavljenom istekom osmog dana od dana njegove objave na mrežnoj stranici e-Oglasna ploča sudova. Žalba se podnosi Trgovačkom sudu u Splitu, pismeno u tri primjerka, a o istoj odlučuje Visoki trgovački sud Republike Hrvatske. </w:t>
      </w:r>
    </w:p>
    <w:p w:rsidRDefault="003F25D5" w:rsidP="003F25D5" w:rsidR="003F25D5" w:rsidRPr="00EE2C09">
      <w:pPr>
        <w:jc w:val="both"/>
        <w:rPr>
          <w:b/>
          <w:lang w:val="hr-HR"/>
        </w:rPr>
      </w:pPr>
    </w:p>
    <w:p w:rsidRDefault="003F25D5" w:rsidP="003F25D5" w:rsidR="003F25D5" w:rsidRPr="00EE2C09">
      <w:pPr>
        <w:jc w:val="both"/>
        <w:rPr>
          <w:lang w:val="hr-HR"/>
        </w:rPr>
      </w:pPr>
      <w:r w:rsidRPr="00EE2C09">
        <w:rPr>
          <w:lang w:val="hr-HR"/>
        </w:rPr>
        <w:t xml:space="preserve">DNA: </w:t>
      </w:r>
    </w:p>
    <w:p w:rsidRDefault="003F25D5" w:rsidP="003F25D5" w:rsidR="003F25D5" w:rsidRPr="00EE2C09">
      <w:pPr>
        <w:jc w:val="both"/>
        <w:rPr>
          <w:lang w:val="hr-HR"/>
        </w:rPr>
      </w:pPr>
      <w:r w:rsidRPr="00EE2C09">
        <w:rPr>
          <w:lang w:val="hr-HR"/>
        </w:rPr>
        <w:t xml:space="preserve">- predlagatelju </w:t>
      </w:r>
    </w:p>
    <w:p w:rsidRDefault="003F25D5" w:rsidP="003F25D5" w:rsidR="003F25D5" w:rsidRPr="00EE2C09">
      <w:pPr>
        <w:jc w:val="both"/>
        <w:rPr>
          <w:lang w:val="hr-HR"/>
        </w:rPr>
      </w:pPr>
      <w:r w:rsidRPr="00EE2C09">
        <w:rPr>
          <w:lang w:val="hr-HR"/>
        </w:rPr>
        <w:t xml:space="preserve">- mrežna stranica e-Oglasna ploča sudova </w:t>
      </w:r>
    </w:p>
    <w:p w:rsidRDefault="003F25D5" w:rsidP="003F25D5" w:rsidR="003F25D5" w:rsidRPr="00EE2C09">
      <w:pPr>
        <w:jc w:val="both"/>
        <w:rPr>
          <w:lang w:val="hr-HR"/>
        </w:rPr>
      </w:pPr>
      <w:r w:rsidRPr="00EE2C09">
        <w:rPr>
          <w:lang w:val="hr-HR"/>
        </w:rPr>
        <w:t>- spis</w:t>
      </w:r>
    </w:p>
    <w:p w:rsidRDefault="003F25D5" w:rsidP="003F25D5" w:rsidR="003F25D5" w:rsidRPr="00EE2C09">
      <w:pPr>
        <w:jc w:val="both"/>
        <w:rPr>
          <w:lang w:val="hr-HR"/>
        </w:rPr>
      </w:pPr>
    </w:p>
    <w:p w:rsidRDefault="00AF2110" w:rsidP="003F25D5" w:rsidR="00AF2110" w:rsidRPr="00EE2C09">
      <w:pPr>
        <w:ind w:firstLine="708" w:left="7080"/>
        <w:rPr>
          <w:lang w:val="hr-HR"/>
        </w:rPr>
      </w:pPr>
    </w:p>
    <w:p w:rsidRDefault="00853B3E" w:rsidR="00853B3E" w:rsidRPr="00EE2C09">
      <w:pPr>
        <w:rPr>
          <w:lang w:val="hr-HR"/>
        </w:rPr>
      </w:pPr>
    </w:p>
    <w:sectPr w:rsidSect="003C714E" w:rsidR="00853B3E" w:rsidRPr="00EE2C09">
      <w:headerReference w:type="default" r:id="rId10"/>
      <w:headerReference w:type="first" r:id="rId11"/>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3C714E" w:rsidP="003C714E" w:rsidR="003C714E">
      <w:r>
        <w:separator/>
      </w:r>
    </w:p>
  </w:endnote>
  <w:endnote w:id="0" w:type="continuationSeparator">
    <w:p w:rsidRDefault="003C714E" w:rsidP="003C714E" w:rsidR="003C714E">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Arial Unicode MS">
    <w:panose1 w:val="020B0604020202020204"/>
    <w:charset w:val="00"/>
    <w:family w:val="roman"/>
    <w:notTrueType/>
    <w:pitch w:val="variable"/>
    <w:sig w:csb1="00000000" w:csb0="00000001" w:usb3="00000000" w:usb2="00000000" w:usb1="00000000" w:usb0="00000003"/>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3C714E" w:rsidP="003C714E" w:rsidR="003C714E">
      <w:r>
        <w:separator/>
      </w:r>
    </w:p>
  </w:footnote>
  <w:footnote w:id="0" w:type="continuationSeparator">
    <w:p w:rsidRDefault="003C714E" w:rsidP="003C714E" w:rsidR="003C714E">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652984423"/>
      <w:docPartObj>
        <w:docPartGallery w:val="Page Numbers (Top of Page)"/>
        <w:docPartUnique/>
      </w:docPartObj>
    </w:sdtPr>
    <w:sdtEndPr/>
    <w:sdtContent>
      <w:p w:rsidRDefault="003C714E" w:rsidR="003C714E">
        <w:pPr>
          <w:pStyle w:val="Zaglavlje"/>
          <w:jc w:val="center"/>
        </w:pPr>
        <w:r>
          <w:fldChar w:fldCharType="begin"/>
        </w:r>
        <w:r>
          <w:instrText>PAGE   \* MERGEFORMAT</w:instrText>
        </w:r>
        <w:r>
          <w:fldChar w:fldCharType="separate"/>
        </w:r>
        <w:r w:rsidR="006F4A41" w:rsidRPr="006F4A41">
          <w:rPr>
            <w:noProof/>
            <w:lang w:val="hr-HR"/>
          </w:rPr>
          <w:t>3</w:t>
        </w:r>
        <w:r>
          <w:fldChar w:fldCharType="end"/>
        </w:r>
      </w:p>
    </w:sdtContent>
  </w:sdt>
  <w:p w:rsidRDefault="003C714E" w:rsidP="003C714E" w:rsidR="003C714E" w:rsidRPr="003C714E">
    <w:pPr>
      <w:pStyle w:val="Zaglavlje"/>
      <w:jc w:val="right"/>
      <w:rPr>
        <w:lang w:val="hr-HR"/>
      </w:rPr>
    </w:pPr>
    <w:r>
      <w:rPr>
        <w:lang w:val="hr-HR"/>
      </w:rPr>
      <w:t>11. St-</w:t>
    </w:r>
    <w:r w:rsidR="006C094A">
      <w:rPr>
        <w:lang w:val="hr-HR"/>
      </w:rPr>
      <w:t>1671</w:t>
    </w:r>
    <w:r>
      <w:rPr>
        <w:lang w:val="hr-HR"/>
      </w:rPr>
      <w:t>/2015</w:t>
    </w:r>
  </w:p>
  <w:p w:rsidRDefault="003C714E" w:rsidR="003C714E">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3C714E" w:rsidP="003C714E" w:rsidR="003C714E" w:rsidRPr="003C714E">
    <w:pPr>
      <w:pStyle w:val="Zaglavlje"/>
      <w:jc w:val="right"/>
      <w:rPr>
        <w:lang w:val="hr-HR"/>
      </w:rPr>
    </w:pPr>
    <w:r>
      <w:rPr>
        <w:lang w:val="hr-HR"/>
      </w:rPr>
      <w:t>11. St-</w:t>
    </w:r>
    <w:r w:rsidR="006C094A">
      <w:rPr>
        <w:lang w:val="hr-HR"/>
      </w:rPr>
      <w:t>1671</w:t>
    </w:r>
    <w:r>
      <w:rPr>
        <w:lang w:val="hr-HR"/>
      </w:rPr>
      <w:t>/2015</w:t>
    </w:r>
  </w:p>
</w:hdr>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savePreviewPicture/>
  <w:hdrShapeDefaults>
    <o:shapedefaults v:ext="edit" spidmax="8193"/>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AF2110"/>
    <w:rsid w:val="00066650"/>
    <w:rsid w:val="00085E7C"/>
    <w:rsid w:val="000B4D96"/>
    <w:rsid w:val="003C2F22"/>
    <w:rsid w:val="003C714E"/>
    <w:rsid w:val="003F25D5"/>
    <w:rsid w:val="00417EA6"/>
    <w:rsid w:val="004E3E9B"/>
    <w:rsid w:val="006C094A"/>
    <w:rsid w:val="006F4A41"/>
    <w:rsid w:val="0071519E"/>
    <w:rsid w:val="007F7A84"/>
    <w:rsid w:val="00814EDB"/>
    <w:rsid w:val="00815142"/>
    <w:rsid w:val="008255DE"/>
    <w:rsid w:val="00853B3E"/>
    <w:rsid w:val="00981D37"/>
    <w:rsid w:val="00A51DE9"/>
    <w:rsid w:val="00AF2110"/>
    <w:rsid w:val="00B7506F"/>
    <w:rsid w:val="00C96794"/>
    <w:rsid w:val="00D64E26"/>
    <w:rsid w:val="00DD0D50"/>
    <w:rsid w:val="00E274AA"/>
    <w:rsid w:val="00EB21AE"/>
    <w:rsid w:val="00EB6A52"/>
    <w:rsid w:val="00EE2C09"/>
    <w:rsid w:val="00F2599E"/>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martTagType w:name="metricconverter" w:namespaceuri="urn:schemas-microsoft-com:office:smarttags"/>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0" w:name="heading 1"/>
    <w:lsdException w:qFormat="true" w:uiPriority="0"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AF2110"/>
    <w:rPr>
      <w:rFonts w:cs="Times New Roman" w:eastAsia="Times New Roman"/>
      <w:szCs w:val="24"/>
      <w:lang w:val="en-US"/>
    </w:rPr>
  </w:style>
  <w:style w:styleId="Naslov1" w:type="paragraph">
    <w:name w:val="heading 1"/>
    <w:basedOn w:val="Normal"/>
    <w:next w:val="Normal"/>
    <w:link w:val="Naslov1Char"/>
    <w:qFormat/>
    <w:rsid w:val="00AF2110"/>
    <w:pPr>
      <w:keepNext/>
      <w:jc w:val="center"/>
      <w:outlineLvl w:val="0"/>
    </w:pPr>
    <w:rPr>
      <w:rFonts w:eastAsia="Arial Unicode MS"/>
      <w:b/>
      <w:bCs/>
      <w:lang w:eastAsia="hr-HR" w:val="hr-HR"/>
    </w:rPr>
  </w:style>
  <w:style w:styleId="Naslov2" w:type="paragraph">
    <w:name w:val="heading 2"/>
    <w:basedOn w:val="Normal"/>
    <w:next w:val="Normal"/>
    <w:link w:val="Naslov2Char"/>
    <w:semiHidden/>
    <w:unhideWhenUsed/>
    <w:qFormat/>
    <w:rsid w:val="00AF2110"/>
    <w:pPr>
      <w:keepNext/>
      <w:jc w:val="center"/>
      <w:outlineLvl w:val="1"/>
    </w:pPr>
    <w:rPr>
      <w:rFonts w:eastAsia="Arial Unicode MS"/>
      <w:szCs w:val="20"/>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basedOn w:val="Zadanifontodlomka"/>
    <w:link w:val="Naslov1"/>
    <w:rsid w:val="00AF2110"/>
    <w:rPr>
      <w:rFonts w:cs="Times New Roman" w:eastAsia="Arial Unicode MS"/>
      <w:b/>
      <w:bCs/>
      <w:szCs w:val="24"/>
      <w:lang w:eastAsia="hr-HR"/>
    </w:rPr>
  </w:style>
  <w:style w:customStyle="true" w:styleId="Naslov2Char" w:type="character">
    <w:name w:val="Naslov 2 Char"/>
    <w:basedOn w:val="Zadanifontodlomka"/>
    <w:link w:val="Naslov2"/>
    <w:semiHidden/>
    <w:rsid w:val="00AF2110"/>
    <w:rPr>
      <w:rFonts w:cs="Times New Roman" w:eastAsia="Arial Unicode MS"/>
      <w:szCs w:val="20"/>
    </w:rPr>
  </w:style>
  <w:style w:customStyle="true" w:styleId="TijelotekstaChar" w:type="character">
    <w:name w:val="Tijelo teksta Char"/>
    <w:aliases w:val="uvlaka 3 Char,uvlaka 2 Char"/>
    <w:basedOn w:val="Zadanifontodlomka"/>
    <w:link w:val="Tijeloteksta"/>
    <w:semiHidden/>
    <w:locked/>
    <w:rsid w:val="00AF2110"/>
    <w:rPr>
      <w:rFonts w:cs="Times New Roman" w:eastAsia="Times New Roman"/>
      <w:lang w:val="en-AU"/>
    </w:rPr>
  </w:style>
  <w:style w:styleId="Tijeloteksta" w:type="paragraph">
    <w:name w:val="Body Text"/>
    <w:aliases w:val="uvlaka 3,uvlaka 2"/>
    <w:basedOn w:val="Normal"/>
    <w:link w:val="TijelotekstaChar"/>
    <w:semiHidden/>
    <w:unhideWhenUsed/>
    <w:rsid w:val="00AF2110"/>
    <w:pPr>
      <w:jc w:val="both"/>
    </w:pPr>
    <w:rPr>
      <w:szCs w:val="22"/>
      <w:lang w:val="en-AU"/>
    </w:rPr>
  </w:style>
  <w:style w:customStyle="true" w:styleId="TijelotekstaChar1" w:type="character">
    <w:name w:val="Tijelo teksta Char1"/>
    <w:basedOn w:val="Zadanifontodlomka"/>
    <w:uiPriority w:val="99"/>
    <w:semiHidden/>
    <w:rsid w:val="00AF2110"/>
    <w:rPr>
      <w:rFonts w:cs="Times New Roman" w:eastAsia="Times New Roman"/>
      <w:szCs w:val="24"/>
      <w:lang w:val="en-US"/>
    </w:rPr>
  </w:style>
  <w:style w:styleId="Tekstbalonia" w:type="paragraph">
    <w:name w:val="Balloon Text"/>
    <w:basedOn w:val="Normal"/>
    <w:link w:val="TekstbaloniaChar"/>
    <w:uiPriority w:val="99"/>
    <w:semiHidden/>
    <w:unhideWhenUsed/>
    <w:rsid w:val="003F25D5"/>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3F25D5"/>
    <w:rPr>
      <w:rFonts w:cs="Tahoma" w:eastAsia="Times New Roman" w:hAnsi="Tahoma" w:ascii="Tahoma"/>
      <w:sz w:val="16"/>
      <w:szCs w:val="16"/>
      <w:lang w:val="en-US"/>
    </w:rPr>
  </w:style>
  <w:style w:styleId="Zaglavlje" w:type="paragraph">
    <w:name w:val="header"/>
    <w:basedOn w:val="Normal"/>
    <w:link w:val="ZaglavljeChar"/>
    <w:uiPriority w:val="99"/>
    <w:unhideWhenUsed/>
    <w:rsid w:val="003C714E"/>
    <w:pPr>
      <w:tabs>
        <w:tab w:pos="4536" w:val="center"/>
        <w:tab w:pos="9072" w:val="right"/>
      </w:tabs>
    </w:pPr>
  </w:style>
  <w:style w:customStyle="true" w:styleId="ZaglavljeChar" w:type="character">
    <w:name w:val="Zaglavlje Char"/>
    <w:basedOn w:val="Zadanifontodlomka"/>
    <w:link w:val="Zaglavlje"/>
    <w:uiPriority w:val="99"/>
    <w:rsid w:val="003C714E"/>
    <w:rPr>
      <w:rFonts w:cs="Times New Roman" w:eastAsia="Times New Roman"/>
      <w:szCs w:val="24"/>
      <w:lang w:val="en-US"/>
    </w:rPr>
  </w:style>
  <w:style w:styleId="Podnoje" w:type="paragraph">
    <w:name w:val="footer"/>
    <w:basedOn w:val="Normal"/>
    <w:link w:val="PodnojeChar"/>
    <w:uiPriority w:val="99"/>
    <w:unhideWhenUsed/>
    <w:rsid w:val="003C714E"/>
    <w:pPr>
      <w:tabs>
        <w:tab w:pos="4536" w:val="center"/>
        <w:tab w:pos="9072" w:val="right"/>
      </w:tabs>
    </w:pPr>
  </w:style>
  <w:style w:customStyle="true" w:styleId="PodnojeChar" w:type="character">
    <w:name w:val="Podnožje Char"/>
    <w:basedOn w:val="Zadanifontodlomka"/>
    <w:link w:val="Podnoje"/>
    <w:uiPriority w:val="99"/>
    <w:rsid w:val="003C714E"/>
    <w:rPr>
      <w:rFonts w:cs="Times New Roman" w:eastAsia="Times New Roman"/>
      <w:szCs w:val="24"/>
      <w:lang w:val="en-US"/>
    </w:rPr>
  </w:style>
  <w:style w:styleId="Tekstrezerviranogmjesta" w:type="character">
    <w:name w:val="Placeholder Text"/>
    <w:basedOn w:val="Zadanifontodlomka"/>
    <w:uiPriority w:val="99"/>
    <w:semiHidden/>
    <w:rsid w:val="006F4A41"/>
    <w:rPr>
      <w:color w:val="808080"/>
      <w:bdr w:space="0" w:sz="0" w:color="auto" w:val="none"/>
      <w:shd w:fill="auto" w:color="auto" w:val="clear"/>
    </w:rPr>
  </w:style>
  <w:style w:customStyle="true" w:styleId="eSPISCCParagraphDefaultFont" w:type="character">
    <w:name w:val="eSPIS_CC_Paragraph Default Font"/>
    <w:basedOn w:val="Zadanifontodlomka"/>
    <w:rsid w:val="006F4A41"/>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6F4A41"/>
    <w:rPr>
      <w:bdr w:space="0" w:sz="0" w:color="auto" w:val="none"/>
      <w:shd w:fill="FFFFCC" w:color="auto" w:val="clear"/>
      <w:lang w:val="hr-HR"/>
    </w:rPr>
  </w:style>
  <w:style w:customStyle="true" w:styleId="PozadinaSvijetloCrvena" w:type="character">
    <w:name w:val="Pozadina_SvijetloCrvena"/>
    <w:basedOn w:val="eSPISCCParagraphDefaultFont"/>
    <w:rsid w:val="006F4A41"/>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6F4A41"/>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uiPriority="0"/>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AF2110"/>
    <w:rPr>
      <w:rFonts w:cs="Times New Roman" w:eastAsia="Times New Roman"/>
      <w:szCs w:val="24"/>
      <w:lang w:val="en-US"/>
    </w:rPr>
  </w:style>
  <w:style w:styleId="Naslov1" w:type="paragraph">
    <w:name w:val="heading 1"/>
    <w:basedOn w:val="Normal"/>
    <w:next w:val="Normal"/>
    <w:link w:val="Naslov1Char"/>
    <w:qFormat/>
    <w:rsid w:val="00AF2110"/>
    <w:pPr>
      <w:keepNext/>
      <w:jc w:val="center"/>
      <w:outlineLvl w:val="0"/>
    </w:pPr>
    <w:rPr>
      <w:rFonts w:eastAsia="Arial Unicode MS"/>
      <w:b/>
      <w:bCs/>
      <w:lang w:eastAsia="hr-HR" w:val="hr-HR"/>
    </w:rPr>
  </w:style>
  <w:style w:styleId="Naslov2" w:type="paragraph">
    <w:name w:val="heading 2"/>
    <w:basedOn w:val="Normal"/>
    <w:next w:val="Normal"/>
    <w:link w:val="Naslov2Char"/>
    <w:semiHidden/>
    <w:unhideWhenUsed/>
    <w:qFormat/>
    <w:rsid w:val="00AF2110"/>
    <w:pPr>
      <w:keepNext/>
      <w:jc w:val="center"/>
      <w:outlineLvl w:val="1"/>
    </w:pPr>
    <w:rPr>
      <w:rFonts w:eastAsia="Arial Unicode MS"/>
      <w:szCs w:val="20"/>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basedOn w:val="Zadanifontodlomka"/>
    <w:link w:val="Naslov1"/>
    <w:rsid w:val="00AF2110"/>
    <w:rPr>
      <w:rFonts w:cs="Times New Roman" w:eastAsia="Arial Unicode MS"/>
      <w:b/>
      <w:bCs/>
      <w:szCs w:val="24"/>
      <w:lang w:eastAsia="hr-HR"/>
    </w:rPr>
  </w:style>
  <w:style w:customStyle="1" w:styleId="Naslov2Char" w:type="character">
    <w:name w:val="Naslov 2 Char"/>
    <w:basedOn w:val="Zadanifontodlomka"/>
    <w:link w:val="Naslov2"/>
    <w:semiHidden/>
    <w:rsid w:val="00AF2110"/>
    <w:rPr>
      <w:rFonts w:cs="Times New Roman" w:eastAsia="Arial Unicode MS"/>
      <w:szCs w:val="20"/>
    </w:rPr>
  </w:style>
  <w:style w:customStyle="1" w:styleId="TijelotekstaChar" w:type="character">
    <w:name w:val="Tijelo teksta Char"/>
    <w:aliases w:val="uvlaka 3 Char,uvlaka 2 Char"/>
    <w:basedOn w:val="Zadanifontodlomka"/>
    <w:link w:val="Tijeloteksta"/>
    <w:semiHidden/>
    <w:locked/>
    <w:rsid w:val="00AF2110"/>
    <w:rPr>
      <w:rFonts w:cs="Times New Roman" w:eastAsia="Times New Roman"/>
      <w:lang w:val="en-AU"/>
    </w:rPr>
  </w:style>
  <w:style w:styleId="Tijeloteksta" w:type="paragraph">
    <w:name w:val="Body Text"/>
    <w:aliases w:val="uvlaka 3,uvlaka 2"/>
    <w:basedOn w:val="Normal"/>
    <w:link w:val="TijelotekstaChar"/>
    <w:semiHidden/>
    <w:unhideWhenUsed/>
    <w:rsid w:val="00AF2110"/>
    <w:pPr>
      <w:jc w:val="both"/>
    </w:pPr>
    <w:rPr>
      <w:szCs w:val="22"/>
      <w:lang w:val="en-AU"/>
    </w:rPr>
  </w:style>
  <w:style w:customStyle="1" w:styleId="TijelotekstaChar1" w:type="character">
    <w:name w:val="Tijelo teksta Char1"/>
    <w:basedOn w:val="Zadanifontodlomka"/>
    <w:uiPriority w:val="99"/>
    <w:semiHidden/>
    <w:rsid w:val="00AF2110"/>
    <w:rPr>
      <w:rFonts w:cs="Times New Roman" w:eastAsia="Times New Roman"/>
      <w:szCs w:val="24"/>
      <w:lang w:val="en-US"/>
    </w:rPr>
  </w:style>
  <w:style w:styleId="Tekstbalonia" w:type="paragraph">
    <w:name w:val="Balloon Text"/>
    <w:basedOn w:val="Normal"/>
    <w:link w:val="TekstbaloniaChar"/>
    <w:uiPriority w:val="99"/>
    <w:semiHidden/>
    <w:unhideWhenUsed/>
    <w:rsid w:val="003F25D5"/>
    <w:rPr>
      <w:rFonts w:ascii="Tahoma" w:cs="Tahoma" w:hAnsi="Tahoma"/>
      <w:sz w:val="16"/>
      <w:szCs w:val="16"/>
    </w:rPr>
  </w:style>
  <w:style w:customStyle="1" w:styleId="TekstbaloniaChar" w:type="character">
    <w:name w:val="Tekst balončića Char"/>
    <w:basedOn w:val="Zadanifontodlomka"/>
    <w:link w:val="Tekstbalonia"/>
    <w:uiPriority w:val="99"/>
    <w:semiHidden/>
    <w:rsid w:val="003F25D5"/>
    <w:rPr>
      <w:rFonts w:ascii="Tahoma" w:cs="Tahoma" w:eastAsia="Times New Roman" w:hAnsi="Tahoma"/>
      <w:sz w:val="16"/>
      <w:szCs w:val="16"/>
      <w:lang w:val="en-US"/>
    </w:rPr>
  </w:style>
  <w:style w:styleId="Zaglavlje" w:type="paragraph">
    <w:name w:val="header"/>
    <w:basedOn w:val="Normal"/>
    <w:link w:val="ZaglavljeChar"/>
    <w:uiPriority w:val="99"/>
    <w:unhideWhenUsed/>
    <w:rsid w:val="003C714E"/>
    <w:pPr>
      <w:tabs>
        <w:tab w:pos="4536" w:val="center"/>
        <w:tab w:pos="9072" w:val="right"/>
      </w:tabs>
    </w:pPr>
  </w:style>
  <w:style w:customStyle="1" w:styleId="ZaglavljeChar" w:type="character">
    <w:name w:val="Zaglavlje Char"/>
    <w:basedOn w:val="Zadanifontodlomka"/>
    <w:link w:val="Zaglavlje"/>
    <w:uiPriority w:val="99"/>
    <w:rsid w:val="003C714E"/>
    <w:rPr>
      <w:rFonts w:cs="Times New Roman" w:eastAsia="Times New Roman"/>
      <w:szCs w:val="24"/>
      <w:lang w:val="en-US"/>
    </w:rPr>
  </w:style>
  <w:style w:styleId="Podnoje" w:type="paragraph">
    <w:name w:val="footer"/>
    <w:basedOn w:val="Normal"/>
    <w:link w:val="PodnojeChar"/>
    <w:uiPriority w:val="99"/>
    <w:unhideWhenUsed/>
    <w:rsid w:val="003C714E"/>
    <w:pPr>
      <w:tabs>
        <w:tab w:pos="4536" w:val="center"/>
        <w:tab w:pos="9072" w:val="right"/>
      </w:tabs>
    </w:pPr>
  </w:style>
  <w:style w:customStyle="1" w:styleId="PodnojeChar" w:type="character">
    <w:name w:val="Podnožje Char"/>
    <w:basedOn w:val="Zadanifontodlomka"/>
    <w:link w:val="Podnoje"/>
    <w:uiPriority w:val="99"/>
    <w:rsid w:val="003C714E"/>
    <w:rPr>
      <w:rFonts w:cs="Times New Roman" w:eastAsia="Times New Roman"/>
      <w:szCs w:val="24"/>
      <w:lang w:val="en-US"/>
    </w:rPr>
  </w:style>
  <w:style w:styleId="Tekstrezerviranogmjesta" w:type="character">
    <w:name w:val="Placeholder Text"/>
    <w:basedOn w:val="Zadanifontodlomka"/>
    <w:uiPriority w:val="99"/>
    <w:semiHidden/>
    <w:rsid w:val="006F4A41"/>
    <w:rPr>
      <w:color w:val="808080"/>
      <w:bdr w:color="auto" w:space="0" w:sz="0" w:val="none"/>
      <w:shd w:color="auto" w:fill="auto" w:val="clear"/>
    </w:rPr>
  </w:style>
  <w:style w:customStyle="1" w:styleId="eSPISCCParagraphDefaultFont" w:type="character">
    <w:name w:val="eSPIS_CC_Paragraph Default Font"/>
    <w:basedOn w:val="Zadanifontodlomka"/>
    <w:rsid w:val="006F4A41"/>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6F4A41"/>
    <w:rPr>
      <w:bdr w:color="auto" w:space="0" w:sz="0" w:val="none"/>
      <w:shd w:color="auto" w:fill="FFFFCC" w:val="clear"/>
      <w:lang w:val="hr-HR"/>
    </w:rPr>
  </w:style>
  <w:style w:customStyle="1" w:styleId="PozadinaSvijetloCrvena" w:type="character">
    <w:name w:val="Pozadina_SvijetloCrvena"/>
    <w:basedOn w:val="eSPISCCParagraphDefaultFont"/>
    <w:rsid w:val="006F4A41"/>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6F4A41"/>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00336568">
      <w:bodyDiv w:val="true"/>
      <w:marLeft w:val="0"/>
      <w:marRight w:val="0"/>
      <w:marTop w:val="0"/>
      <w:marBottom w:val="0"/>
      <w:divBdr>
        <w:top w:space="0" w:sz="0" w:color="auto" w:val="none"/>
        <w:left w:space="0" w:sz="0" w:color="auto" w:val="none"/>
        <w:bottom w:space="0" w:sz="0" w:color="auto" w:val="none"/>
        <w:right w:space="0" w:sz="0" w:color="auto" w:val="none"/>
      </w:divBdr>
    </w:div>
    <w:div w:id="2121072818">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18. srpnja 2017.</izvorni_sadrzaj>
    <derivirana_varijabla naziv="DomainObject.DatumDonosenjaOdluke_1">18. srpnja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Ana</izvorni_sadrzaj>
    <derivirana_varijabla naziv="DomainObject.DonositeljOdluke.Ime_1">Ana</derivirana_varijabla>
  </DomainObject.DonositeljOdluke.Ime>
  <DomainObject.DonositeljOdluke.Prezime>
    <izvorni_sadrzaj>Golub Gruić</izvorni_sadrzaj>
    <derivirana_varijabla naziv="DomainObject.DonositeljOdluke.Prezime_1">Golub Gruić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1671</izvorni_sadrzaj>
    <derivirana_varijabla naziv="DomainObject.Predmet.Broj_1">1671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studenog 2015.</izvorni_sadrzaj>
    <derivirana_varijabla naziv="DomainObject.Predmet.DatumOsnivanja_1">9. studenog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St-1671/2015</izvorni_sadrzaj>
    <derivirana_varijabla naziv="DomainObject.Predmet.OznakaBroj_1">St-1671/2015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POZICIJA SPLIT d.o.o. za usluge i rekreaciju</izvorni_sadrzaj>
    <derivirana_varijabla naziv="DomainObject.Predmet.ProtustrankaFormated_1">  POZICIJA SPLIT d.o.o. za usluge i rekreaciju</derivirana_varijabla>
  </DomainObject.Predmet.ProtustrankaFormated>
  <DomainObject.Predmet.ProtustrankaFormatedOIB>
    <izvorni_sadrzaj>  POZICIJA SPLIT d.o.o. za usluge i rekreaciju, OIB 61765906697</izvorni_sadrzaj>
    <derivirana_varijabla naziv="DomainObject.Predmet.ProtustrankaFormatedOIB_1">  POZICIJA SPLIT d.o.o. za usluge i rekreaciju, OIB 61765906697</derivirana_varijabla>
  </DomainObject.Predmet.ProtustrankaFormatedOIB>
  <DomainObject.Predmet.ProtustrankaFormatedWithAdress>
    <izvorni_sadrzaj> POZICIJA SPLIT d.o.o. za usluge i rekreaciju, Vinogradska 78, 21000 Split</izvorni_sadrzaj>
    <derivirana_varijabla naziv="DomainObject.Predmet.ProtustrankaFormatedWithAdress_1"> POZICIJA SPLIT d.o.o. za usluge i rekreaciju, Vinogradska 78, 21000 Split</derivirana_varijabla>
  </DomainObject.Predmet.ProtustrankaFormatedWithAdress>
  <DomainObject.Predmet.ProtustrankaFormatedWithAdressOIB>
    <izvorni_sadrzaj> POZICIJA SPLIT d.o.o. za usluge i rekreaciju, OIB 61765906697, Vinogradska 78, 21000 Split</izvorni_sadrzaj>
    <derivirana_varijabla naziv="DomainObject.Predmet.ProtustrankaFormatedWithAdressOIB_1"> POZICIJA SPLIT d.o.o. za usluge i rekreaciju, OIB 61765906697, Vinogradska 78, 21000 Split</derivirana_varijabla>
  </DomainObject.Predmet.ProtustrankaFormatedWithAdressOIB>
  <DomainObject.Predmet.ProtustrankaWithAdress>
    <izvorni_sadrzaj>POZICIJA SPLIT d.o.o. za usluge i rekreaciju Vinogradska 78, 21000 Split</izvorni_sadrzaj>
    <derivirana_varijabla naziv="DomainObject.Predmet.ProtustrankaWithAdress_1">POZICIJA SPLIT d.o.o. za usluge i rekreaciju Vinogradska 78, 21000 Split</derivirana_varijabla>
  </DomainObject.Predmet.ProtustrankaWithAdress>
  <DomainObject.Predmet.ProtustrankaWithAdressOIB>
    <izvorni_sadrzaj>POZICIJA SPLIT d.o.o. za usluge i rekreaciju, OIB 61765906697, Vinogradska 78, 21000 Split</izvorni_sadrzaj>
    <derivirana_varijabla naziv="DomainObject.Predmet.ProtustrankaWithAdressOIB_1">POZICIJA SPLIT d.o.o. za usluge i rekreaciju, OIB 61765906697, Vinogradska 78, 21000 Split</derivirana_varijabla>
  </DomainObject.Predmet.ProtustrankaWithAdressOIB>
  <DomainObject.Predmet.ProtustrankaNazivFormated>
    <izvorni_sadrzaj>POZICIJA SPLIT d.o.o. za usluge i rekreaciju</izvorni_sadrzaj>
    <derivirana_varijabla naziv="DomainObject.Predmet.ProtustrankaNazivFormated_1">POZICIJA SPLIT d.o.o. za usluge i rekreaciju</derivirana_varijabla>
  </DomainObject.Predmet.ProtustrankaNazivFormated>
  <DomainObject.Predmet.ProtustrankaNazivFormatedOIB>
    <izvorni_sadrzaj>POZICIJA SPLIT d.o.o. za usluge i rekreaciju, OIB 61765906697</izvorni_sadrzaj>
    <derivirana_varijabla naziv="DomainObject.Predmet.ProtustrankaNazivFormatedOIB_1">POZICIJA SPLIT d.o.o. za usluge i rekreaciju, OIB 61765906697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11</izvorni_sadrzaj>
    <derivirana_varijabla naziv="DomainObject.Predmet.Referada.Naziv_1">Referada 11</derivirana_varijabla>
  </DomainObject.Predmet.Referada.Naziv>
  <DomainObject.Predmet.Referada.Oznaka>
    <izvorni_sadrzaj>Ref 11</izvorni_sadrzaj>
    <derivirana_varijabla naziv="DomainObject.Predmet.Referada.Oznaka_1">Ref 11</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202</izvorni_sadrzaj>
    <derivirana_varijabla naziv="DomainObject.Predmet.Referada.Prostorija.Oznaka_1">202</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Ana Golub Gruić</izvorni_sadrzaj>
    <derivirana_varijabla naziv="DomainObject.Predmet.Referada.Sudac_1">Ana Golub Gruić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Mažuranićeva 24b, 21000 Split</izvorni_sadrzaj>
    <derivirana_varijabla naziv="DomainObject.Predmet.StrankaFormatedWithAdress_1"> FINANCIJSKA AGENCIJA RC SPLIT, Mažuranićeva 24b, 21000 Split</derivirana_varijabla>
  </DomainObject.Predmet.StrankaFormatedWithAdress>
  <DomainObject.Predmet.StrankaFormatedWithAdressOIB>
    <izvorni_sadrzaj> FINANCIJSKA AGENCIJA RC SPLIT, OIB 85821130368, Mažuranićeva 24b, 21000 Split</izvorni_sadrzaj>
    <derivirana_varijabla naziv="DomainObject.Predmet.StrankaFormatedWithAdressOIB_1"> FINANCIJSKA AGENCIJA RC SPLIT, OIB 85821130368, Mažuranićeva 24b, 21000 Split</derivirana_varijabla>
  </DomainObject.Predmet.StrankaFormatedWithAdressOIB>
  <DomainObject.Predmet.StrankaWithAdress>
    <izvorni_sadrzaj>FINANCIJSKA AGENCIJA RC SPLIT Mažuranićeva 24b,21000 Split</izvorni_sadrzaj>
    <derivirana_varijabla naziv="DomainObject.Predmet.StrankaWithAdress_1">FINANCIJSKA AGENCIJA RC SPLIT Mažuranićeva 24b,21000 Split</derivirana_varijabla>
  </DomainObject.Predmet.StrankaWithAdress>
  <DomainObject.Predmet.StrankaWithAdressOIB>
    <izvorni_sadrzaj>FINANCIJSKA AGENCIJA RC SPLIT, OIB 85821130368, Mažuranićeva 24b,21000 Split</izvorni_sadrzaj>
    <derivirana_varijabla naziv="DomainObject.Predmet.StrankaWithAdressOIB_1">FINANCIJSKA AGENCIJA RC SPLIT, OIB 85821130368, Mažuranićeva 24b,21000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11</izvorni_sadrzaj>
    <derivirana_varijabla naziv="DomainObject.Predmet.TrenutnaLokacijaSpisa.Naziv_1">Referada 11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59731.21</izvorni_sadrzaj>
    <derivirana_varijabla naziv="DomainObject.Predmet.TrenutnaVrijednost_1">59731.21</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Ana Jelaska</izvorni_sadrzaj>
    <derivirana_varijabla naziv="DomainObject.Predmet.Zapisnicar_1">Ana Jelaska</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Mažuranićeva 24b, 21000 Split</item>
    </izvorni_sadrzaj>
    <derivirana_varijabla naziv="DomainObject.Predmet.StrankaListFormatedWithAdress_1">
      <item>FINANCIJSKA AGENCIJA RC SPLIT, Mažuranićeva 24b, 21000 Split</item>
    </derivirana_varijabla>
  </DomainObject.Predmet.StrankaListFormatedWithAdress>
  <DomainObject.Predmet.StrankaListFormatedWithAdressOIB>
    <izvorni_sadrzaj>
      <item>FINANCIJSKA AGENCIJA RC SPLIT, OIB 85821130368, Mažuranićeva 24b, 21000 Split</item>
    </izvorni_sadrzaj>
    <derivirana_varijabla naziv="DomainObject.Predmet.StrankaListFormatedWithAdressOIB_1">
      <item>FINANCIJSKA AGENCIJA RC SPLIT, OIB 85821130368, Mažuranićeva 24b,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POZICIJA SPLIT d.o.o. za usluge i rekreaciju</item>
    </izvorni_sadrzaj>
    <derivirana_varijabla naziv="DomainObject.Predmet.ProtuStrankaListFormated_1">
      <item>POZICIJA SPLIT d.o.o. za usluge i rekreaciju</item>
    </derivirana_varijabla>
  </DomainObject.Predmet.ProtuStrankaListFormated>
  <DomainObject.Predmet.ProtuStrankaListFormatedOIB>
    <izvorni_sadrzaj>
      <item>POZICIJA SPLIT d.o.o. za usluge i rekreaciju, OIB 61765906697</item>
    </izvorni_sadrzaj>
    <derivirana_varijabla naziv="DomainObject.Predmet.ProtuStrankaListFormatedOIB_1">
      <item>POZICIJA SPLIT d.o.o. za usluge i rekreaciju, OIB 61765906697</item>
    </derivirana_varijabla>
  </DomainObject.Predmet.ProtuStrankaListFormatedOIB>
  <DomainObject.Predmet.ProtuStrankaListFormatedWithAdress>
    <izvorni_sadrzaj>
      <item>POZICIJA SPLIT d.o.o. za usluge i rekreaciju, Vinogradska 78, 21000 Split</item>
    </izvorni_sadrzaj>
    <derivirana_varijabla naziv="DomainObject.Predmet.ProtuStrankaListFormatedWithAdress_1">
      <item>POZICIJA SPLIT d.o.o. za usluge i rekreaciju, Vinogradska 78, 21000 Split</item>
    </derivirana_varijabla>
  </DomainObject.Predmet.ProtuStrankaListFormatedWithAdress>
  <DomainObject.Predmet.ProtuStrankaListFormatedWithAdressOIB>
    <izvorni_sadrzaj>
      <item>POZICIJA SPLIT d.o.o. za usluge i rekreaciju, OIB 61765906697, Vinogradska 78, 21000 Split</item>
    </izvorni_sadrzaj>
    <derivirana_varijabla naziv="DomainObject.Predmet.ProtuStrankaListFormatedWithAdressOIB_1">
      <item>POZICIJA SPLIT d.o.o. za usluge i rekreaciju, OIB 61765906697, Vinogradska 78, 21000 Split</item>
    </derivirana_varijabla>
  </DomainObject.Predmet.ProtuStrankaListFormatedWithAdressOIB>
  <DomainObject.Predmet.ProtuStrankaListNazivFormated>
    <izvorni_sadrzaj>
      <item>POZICIJA SPLIT d.o.o. za usluge i rekreaciju</item>
    </izvorni_sadrzaj>
    <derivirana_varijabla naziv="DomainObject.Predmet.ProtuStrankaListNazivFormated_1">
      <item>POZICIJA SPLIT d.o.o. za usluge i rekreaciju</item>
    </derivirana_varijabla>
  </DomainObject.Predmet.ProtuStrankaListNazivFormated>
  <DomainObject.Predmet.ProtuStrankaListNazivFormatedOIB>
    <izvorni_sadrzaj>
      <item>POZICIJA SPLIT d.o.o. za usluge i rekreaciju, OIB 61765906697</item>
    </izvorni_sadrzaj>
    <derivirana_varijabla naziv="DomainObject.Predmet.ProtuStrankaListNazivFormatedOIB_1">
      <item>POZICIJA SPLIT d.o.o. za usluge i rekreaciju, OIB 61765906697</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18. srpnja 2017.</izvorni_sadrzaj>
    <derivirana_varijabla naziv="DomainObject.Datum_1">18. srpnja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POZICIJA SPLIT d.o.o. za usluge i rekreaciju</izvorni_sadrzaj>
    <derivirana_varijabla naziv="DomainObject.Predmet.ProtustrankaIDrugi_1">POZICIJA SPLIT d.o.o. za usluge i rekreaciju</derivirana_varijabla>
  </DomainObject.Predmet.ProtustrankaIDrugi>
  <DomainObject.Predmet.StrankaIDrugiAdressOIB>
    <izvorni_sadrzaj>FINANCIJSKA AGENCIJA RC SPLIT, OIB 85821130368, Mažuranićeva 24b, 21000 Split</izvorni_sadrzaj>
    <derivirana_varijabla naziv="DomainObject.Predmet.StrankaIDrugiAdressOIB_1">FINANCIJSKA AGENCIJA RC SPLIT, OIB 85821130368, Mažuranićeva 24b, 21000 Split</derivirana_varijabla>
  </DomainObject.Predmet.StrankaIDrugiAdressOIB>
  <DomainObject.Predmet.ProtustrankaIDrugiAdressOIB>
    <izvorni_sadrzaj>POZICIJA SPLIT d.o.o. za usluge i rekreaciju, OIB 61765906697, Vinogradska 78, 21000 Split</izvorni_sadrzaj>
    <derivirana_varijabla naziv="DomainObject.Predmet.ProtustrankaIDrugiAdressOIB_1">POZICIJA SPLIT d.o.o. za usluge i rekreaciju, OIB 61765906697, Vinogradska 78,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POZICIJA SPLIT d.o.o. za usluge i rekreaciju</item>
      <item>FINANCIJSKA AGENCIJA RC SPLIT</item>
    </izvorni_sadrzaj>
    <derivirana_varijabla naziv="DomainObject.Predmet.SudioniciListNaziv_1">
      <item>POZICIJA SPLIT d.o.o. za usluge i rekreaciju</item>
      <item>FINANCIJSKA AGENCIJA RC SPLIT</item>
    </derivirana_varijabla>
  </DomainObject.Predmet.SudioniciListNaziv>
  <DomainObject.Predmet.SudioniciListAdressOIB>
    <izvorni_sadrzaj>
      <item>POZICIJA SPLIT d.o.o. za usluge i rekreaciju, OIB 61765906697, Vinogradska 78,21000 Split</item>
      <item>FINANCIJSKA AGENCIJA RC SPLIT, OIB 85821130368, Mažuranićeva 24b,21000 Split</item>
    </izvorni_sadrzaj>
    <derivirana_varijabla naziv="DomainObject.Predmet.SudioniciListAdressOIB_1">
      <item>POZICIJA SPLIT d.o.o. za usluge i rekreaciju, OIB 61765906697, Vinogradska 78,21000 Split</item>
      <item>FINANCIJSKA AGENCIJA RC SPLIT, OIB 85821130368, Mažuranićeva 24b,21000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61765906697</item>
      <item>, OIB 85821130368</item>
    </izvorni_sadrzaj>
    <derivirana_varijabla naziv="DomainObject.Predmet.SudioniciListNazivOIB_1">
      <item>, OIB 61765906697</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BBBFA97-C352-47B3-84D9-5C8A489D341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843</properties:Words>
  <properties:Characters>5041</properties:Characters>
  <properties:Lines>93</properties:Lines>
  <properties:Paragraphs>30</properties:Paragraphs>
  <properties:TotalTime>8</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5959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2016-12-19T09:30:00Z</dcterms:created>
  <dc:creator>Katarina Mikulić</dc:creator>
  <cp:lastModifiedBy>Ana Golub Gruić</cp:lastModifiedBy>
  <cp:lastPrinted>2017-07-18T12:09:00Z</cp:lastPrinted>
  <dcterms:modified xmlns:xsi="http://www.w3.org/2001/XMLSchema-instance" xsi:type="dcterms:W3CDTF">2017-07-18T12:44:00Z</dcterms:modified>
  <cp:revision>6</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3</vt:i4>
  </prop:property>
</prop:Properties>
</file>