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54A8D" w:rsidRDefault="00254A8D" w:rsidP="00AB540D"/>
    <w:p w:rsidR="002E63D6" w:rsidRP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955506">
        <w:rPr>
          <w:rFonts w:ascii="Arial" w:hAnsi="Arial" w:cs="Arial"/>
        </w:rPr>
        <w:t>18</w:t>
      </w:r>
      <w:r w:rsidR="005B368E">
        <w:rPr>
          <w:rFonts w:ascii="Arial" w:hAnsi="Arial" w:cs="Arial"/>
        </w:rPr>
        <w:t>586</w:t>
      </w:r>
      <w:r w:rsidR="00986B21">
        <w:rPr>
          <w:rFonts w:ascii="Arial" w:hAnsi="Arial" w:cs="Arial"/>
        </w:rPr>
        <w:t>/2025-4</w:t>
      </w:r>
      <w:r w:rsidR="00955506">
        <w:rPr>
          <w:rFonts w:ascii="Arial" w:hAnsi="Arial" w:cs="Arial"/>
        </w:rPr>
        <w:t>.</w:t>
      </w:r>
    </w:p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A3D3A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A3D3A">
        <w:rPr>
          <w:rFonts w:ascii="Arial" w:eastAsiaTheme="minorHAnsi" w:hAnsi="Arial" w:cs="Arial"/>
          <w:b/>
          <w:color w:val="000000"/>
          <w:lang w:eastAsia="en-US"/>
        </w:rPr>
        <w:t xml:space="preserve">. 3938 k.o. </w:t>
      </w:r>
      <w:proofErr w:type="spellStart"/>
      <w:r w:rsidRPr="00AA3D3A"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Poslek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Andre, Gora 2 u 2520/10080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Poslek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Neže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u 420/10080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Poslek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Kate u 420/10080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Štorek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Antuna,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Osredek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2 u 120/10080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Štorek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Jure,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Osredek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2 u 120/10080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Žučko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Antonije,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Košnička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Gora 29 u 20/10080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Kundih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Josipa, Gora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Košnička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8, Gora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Košnička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u 20/10080 dijela, Gregurić Ljubice,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Osredek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10 u 105/10080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Kundih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Augustina, Zagreb, Naselje Februarskih Žrt.21-C u 140/10080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Tumpa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Darka, Zagreb,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Buconjićeva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17 u 70/10080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Poslek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Josipa,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Košnički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Hum 2 u 420/10080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Kundih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Fane,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Košnička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Gora 7 u 420/10080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Ključanić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Anke, Petrovče,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Arja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Vas 33 u 420/10080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Kmezić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Gordana,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Kikićeva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ulica 3, Zagreb u 210/10080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Kmezić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Gordana,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Kikićeva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ulica 3, Zagreb u 210/10080 dijela, Gregurić Anice,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Osredek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10 u 315/10080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Poslek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Ane,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Gora 1 u 756/10080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Kundih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Josipa, Gora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Košnička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8, Gora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Košnička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u 140/10080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Poslek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Tomice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Gora 3,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Gora, Pregrada u 504/10080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Oberč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Slavice,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Šmarješke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Toplice, Brezovica 21, Slovenija u 1260/10080 dijela,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Krnc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Marije, Mirna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Peč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, Grč Vrh 24, Slovenija u 1260/10080 dijela i Balaban Ive, Aleja Antuna Augustinčića 11, Zagreb u 210/10080 dijela, upisane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>. 277 preko potoka, oranica, površine 58 m2,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278 preko potoka, oranica, površine 144 m2,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279 pri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hiži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oranica, površine 2421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280 pri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hiži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oranica, površine 554 m2,</w:t>
      </w: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3726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Poslek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Andre, Gora 2 u 2520/10080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Poslek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Neže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420/10080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Poslek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Kate u 420/10080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Štorek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Antuna,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Osredek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 u 120/10080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Štorek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Jure,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Osredek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 u 120/10080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Žučko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Antonije,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Košnička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Gora 29 u 20/10080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Kundih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Gora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Košnička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8, Gora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Košnička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20/10080 dijela, Gregurić Ljubice,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Osredek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 u 105/10080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Kundih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Augustina, Zagreb, Naselje Februarskih Žrt.21-C u 140/10080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Tumpa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Darka,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Buconjićeva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17 u 70/10080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Poslek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Košnički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Hum 2 u 420/10080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Kundih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Fane,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Košnička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Gora 7 u 420/10080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Ključanić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Anke, Petrovče,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Arja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Vas 33 u 420/10080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Kmezić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Gordana,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Kikićeva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ulica 3, Zagreb u 210/10080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Kmezić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Gordana,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Kikićeva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ulica 3, Zagreb u 210/10080 dijela, Gregurić Anice,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Osredek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 u 315/10080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Poslek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Gora 1 u 756/10080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Kundih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Slavka, Gora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Košnička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8, Gora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Košnička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140/10080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Poslek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Tomice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Gora 3,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Gora, Pregrada u 504/10080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Oberč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Slavice,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Šmarješke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Toplice, Brezovica 21, Slovenija u 1260/10080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Krnc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Mirna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Peč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Grč Vrh 24, Slovenija u 1260/10080 dijela i Balaban Ive, Aleja Antuna Augustinčića 11, Zagreb u 210/10080 </w:t>
      </w:r>
      <w:r>
        <w:rPr>
          <w:rFonts w:ascii="Arial" w:eastAsiaTheme="minorHAnsi" w:hAnsi="Arial" w:cs="Arial"/>
          <w:color w:val="000000"/>
          <w:lang w:eastAsia="en-US"/>
        </w:rPr>
        <w:lastRenderedPageBreak/>
        <w:t xml:space="preserve">dijela, 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285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Osredek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kuća i dvorište površine 719 m2, oranica površine 1439 m2, livada površine 2403 m2, voćnjak površine 360 m2,</w:t>
      </w: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3277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Bosnar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Sofije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1231/1 kod kuće, livada površine 442 m2,</w:t>
      </w: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B368E" w:rsidRPr="00AA3D3A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A3D3A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A3D3A">
        <w:rPr>
          <w:rFonts w:ascii="Arial" w:eastAsiaTheme="minorHAnsi" w:hAnsi="Arial" w:cs="Arial"/>
          <w:b/>
          <w:color w:val="000000"/>
          <w:lang w:eastAsia="en-US"/>
        </w:rPr>
        <w:t xml:space="preserve">. 3623 k.o. </w:t>
      </w:r>
      <w:proofErr w:type="spellStart"/>
      <w:r w:rsidRPr="00AA3D3A"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Štorek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Andre,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Osredek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22 u 12/48 dijela, Gregurić Ljubice,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Osredek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10 u 3/48 dijela, Gregurić Anice,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Osredek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10 u 9/48 dijela i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Štorek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Kate,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Košnička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 xml:space="preserve"> Gora 3 uz 24/48 dijela, upisane </w:t>
      </w:r>
      <w:proofErr w:type="spellStart"/>
      <w:r w:rsidRPr="00AA3D3A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AA3D3A">
        <w:rPr>
          <w:rFonts w:ascii="Arial" w:eastAsiaTheme="minorHAnsi" w:hAnsi="Arial" w:cs="Arial"/>
          <w:color w:val="000000"/>
          <w:lang w:eastAsia="en-US"/>
        </w:rPr>
        <w:t>. 1231/2 kod kuće, pašnjak površine 284 m2,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1232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krček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 površine 342 m2,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1236 luka, oranica površine 712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1237 luka, oranica površine 468 m2,</w:t>
      </w: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predlagateljica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predlaže  donošenje Rješenja  kojim će se odrediti brisanje prava vlasništva odnosno suvlasništva upisanih vlasnika odnosno suvlasnika  za navedene nekretnine,  uz uknjižbu prava vlasništva za korist Anice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Matošec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Osredek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OIB 96733567810 u cijelosti  bez upisanih tereta, te otvaranje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z.k.uloška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 navedene nekretnine.</w:t>
      </w: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2E63D6">
        <w:rPr>
          <w:rFonts w:ascii="Arial" w:hAnsi="Arial" w:cs="Arial"/>
        </w:rPr>
        <w:t>U Pregradi 8. siječnja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955506">
        <w:rPr>
          <w:rFonts w:ascii="Arial" w:hAnsi="Arial" w:cs="Arial"/>
        </w:rPr>
        <w:t>,v.r</w:t>
      </w:r>
      <w:proofErr w:type="spellEnd"/>
      <w:r w:rsidR="00955506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54A8D" w:rsidRDefault="00955506" w:rsidP="00955506">
      <w:pPr>
        <w:ind w:left="4248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955506" w:rsidRPr="00955506" w:rsidRDefault="00955506" w:rsidP="00955506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Vesna Galović</w:t>
      </w:r>
    </w:p>
    <w:p w:rsidR="00254A8D" w:rsidRDefault="00254A8D" w:rsidP="00AB540D"/>
    <w:bookmarkEnd w:id="0"/>
    <w:p w:rsidR="00254A8D" w:rsidRPr="00AB540D" w:rsidRDefault="00254A8D" w:rsidP="00AB540D"/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AC" w:rsidRDefault="00C872AC">
      <w:r>
        <w:separator/>
      </w:r>
    </w:p>
  </w:endnote>
  <w:endnote w:type="continuationSeparator" w:id="0">
    <w:p w:rsidR="00C872AC" w:rsidRDefault="00C8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AC" w:rsidRDefault="00C872AC">
      <w:r>
        <w:separator/>
      </w:r>
    </w:p>
  </w:footnote>
  <w:footnote w:type="continuationSeparator" w:id="0">
    <w:p w:rsidR="00C872AC" w:rsidRDefault="00C8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C872AC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5B368E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5B368E">
      <w:rPr>
        <w:rFonts w:ascii="Arial" w:hAnsi="Arial" w:cs="Arial"/>
      </w:rPr>
      <w:t>P-Z-18586/2025-4.</w:t>
    </w:r>
  </w:p>
  <w:p w:rsidR="0066452F" w:rsidRDefault="00C872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36F5F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570C"/>
    <w:rsid w:val="002E63D6"/>
    <w:rsid w:val="00306B6A"/>
    <w:rsid w:val="00316B0F"/>
    <w:rsid w:val="00323E93"/>
    <w:rsid w:val="0038622B"/>
    <w:rsid w:val="00434150"/>
    <w:rsid w:val="004B0A84"/>
    <w:rsid w:val="004B6BEF"/>
    <w:rsid w:val="004E39DF"/>
    <w:rsid w:val="00503315"/>
    <w:rsid w:val="005520F0"/>
    <w:rsid w:val="00574EA8"/>
    <w:rsid w:val="005B368E"/>
    <w:rsid w:val="006127D8"/>
    <w:rsid w:val="00644410"/>
    <w:rsid w:val="00696623"/>
    <w:rsid w:val="006D363B"/>
    <w:rsid w:val="006F3324"/>
    <w:rsid w:val="00700494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A67686"/>
    <w:rsid w:val="00AB1FBD"/>
    <w:rsid w:val="00AB540D"/>
    <w:rsid w:val="00B341B4"/>
    <w:rsid w:val="00C726FE"/>
    <w:rsid w:val="00C8165A"/>
    <w:rsid w:val="00C872AC"/>
    <w:rsid w:val="00D37E00"/>
    <w:rsid w:val="00D95D0F"/>
    <w:rsid w:val="00EC5F39"/>
    <w:rsid w:val="00EC62DF"/>
    <w:rsid w:val="00F304C3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D8073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C067-A0C6-400F-BCB4-20EA4A9B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6</cp:revision>
  <cp:lastPrinted>2026-01-08T13:13:00Z</cp:lastPrinted>
  <dcterms:created xsi:type="dcterms:W3CDTF">2026-01-08T10:52:00Z</dcterms:created>
  <dcterms:modified xsi:type="dcterms:W3CDTF">2026-01-08T13:13:00Z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