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ad80b1" w14:paraId="fad80b1" w:rsidRDefault="00165CDF" w:rsidP="00165CDF" w:rsidR="00165CDF">
      <w:pPr>
        <w:pStyle w:val="Tijeloteksta"/>
        <w:jc w:val="both"/>
        <w:outlineLvl w:val="0"/>
        <w15:collapsed w:val="false"/>
        <w:rPr>
          <w:noProof/>
        </w:rPr>
      </w:pPr>
      <w:bookmarkStart w:name="_GoBack" w:id="0"/>
      <w:bookmarkEnd w:id="0"/>
      <w:r>
        <w:rPr>
          <w:noProof/>
        </w:rPr>
        <w:t xml:space="preserve">                </w:t>
      </w:r>
    </w:p>
    <w:p w:rsidRDefault="00165CDF" w:rsidP="00165CDF" w:rsidR="00165CDF">
      <w:pPr>
        <w:pStyle w:val="Tijeloteksta"/>
        <w:jc w:val="both"/>
        <w:outlineLvl w:val="0"/>
        <w:rPr>
          <w:rFonts w:cs="Times New Roman" w:hAnsi="Times New Roman" w:ascii="Times New Roman"/>
          <w:sz w:val="24"/>
        </w:rPr>
      </w:pPr>
      <w:r>
        <w:rPr>
          <w:noProof/>
        </w:rPr>
        <w:t xml:space="preserve">                  </w:t>
      </w:r>
      <w:r>
        <w:rPr>
          <w:noProof/>
        </w:rPr>
        <w:drawing>
          <wp:inline distR="0" distL="0" distB="0" distT="0">
            <wp:extent cy="962025" cx="723265"/>
            <wp:effectExtent b="9525" r="63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265"/>
                    </a:xfrm>
                    <a:prstGeom prst="rect">
                      <a:avLst/>
                    </a:prstGeom>
                    <a:noFill/>
                    <a:ln>
                      <a:noFill/>
                    </a:ln>
                  </pic:spPr>
                </pic:pic>
              </a:graphicData>
            </a:graphic>
          </wp:inline>
        </w:drawing>
      </w:r>
    </w:p>
    <w:p w:rsidRDefault="00165CDF" w:rsidP="00165CDF" w:rsidR="00165CDF">
      <w:pPr>
        <w:rPr>
          <w:sz w:val="24"/>
          <w:szCs w:val="24"/>
        </w:rPr>
      </w:pPr>
      <w:r>
        <w:rPr>
          <w:sz w:val="24"/>
          <w:szCs w:val="24"/>
        </w:rPr>
        <w:t xml:space="preserve">     REPUBLIKA HRVATSKA</w:t>
      </w:r>
    </w:p>
    <w:p w:rsidRDefault="00165CDF" w:rsidP="00165CDF" w:rsidR="00165CDF">
      <w:pPr>
        <w:rPr>
          <w:sz w:val="24"/>
          <w:szCs w:val="24"/>
        </w:rPr>
      </w:pPr>
      <w:r>
        <w:rPr>
          <w:sz w:val="24"/>
          <w:szCs w:val="24"/>
        </w:rPr>
        <w:t>TRGOVAČKI SUD U ZAGREBU                                                                  20. St-2401/16-3</w:t>
      </w:r>
    </w:p>
    <w:p w:rsidRDefault="00165CDF" w:rsidP="00165CDF" w:rsidR="00165CDF">
      <w:pPr>
        <w:rPr>
          <w:sz w:val="24"/>
          <w:szCs w:val="24"/>
        </w:rPr>
      </w:pPr>
      <w:r>
        <w:rPr>
          <w:sz w:val="24"/>
          <w:szCs w:val="24"/>
        </w:rPr>
        <w:t xml:space="preserve">        Zagreb, Amruševa 2/II</w:t>
      </w:r>
    </w:p>
    <w:p w:rsidRDefault="00165CDF" w:rsidP="00165CDF" w:rsidR="00165CDF">
      <w:pPr>
        <w:rPr>
          <w:sz w:val="24"/>
          <w:szCs w:val="24"/>
        </w:rPr>
      </w:pPr>
    </w:p>
    <w:p w:rsidRDefault="00165CDF" w:rsidP="00165CDF" w:rsidR="00165CDF">
      <w:pPr>
        <w:rPr>
          <w:sz w:val="24"/>
          <w:szCs w:val="24"/>
        </w:rPr>
      </w:pPr>
    </w:p>
    <w:p w:rsidRDefault="00165CDF" w:rsidP="00165CDF" w:rsidR="00165CDF">
      <w:pPr>
        <w:jc w:val="center"/>
        <w:rPr>
          <w:sz w:val="24"/>
          <w:szCs w:val="24"/>
        </w:rPr>
      </w:pPr>
      <w:r>
        <w:rPr>
          <w:sz w:val="24"/>
          <w:szCs w:val="24"/>
        </w:rPr>
        <w:t>R E P U B L I K A   H R V A T S K A</w:t>
      </w:r>
    </w:p>
    <w:p w:rsidRDefault="00165CDF" w:rsidP="00165CDF" w:rsidR="00165CDF">
      <w:pPr>
        <w:jc w:val="center"/>
        <w:rPr>
          <w:sz w:val="24"/>
          <w:szCs w:val="24"/>
        </w:rPr>
      </w:pPr>
    </w:p>
    <w:p w:rsidRDefault="00165CDF" w:rsidP="00165CDF" w:rsidR="00165CDF">
      <w:pPr>
        <w:jc w:val="center"/>
        <w:rPr>
          <w:sz w:val="24"/>
          <w:szCs w:val="24"/>
        </w:rPr>
      </w:pPr>
      <w:r>
        <w:rPr>
          <w:sz w:val="24"/>
          <w:szCs w:val="24"/>
        </w:rPr>
        <w:t>R J E Š E NJ E</w:t>
      </w:r>
    </w:p>
    <w:p w:rsidRDefault="00165CDF" w:rsidP="00165CDF" w:rsidR="00165CDF">
      <w:pPr>
        <w:jc w:val="center"/>
        <w:rPr>
          <w:sz w:val="24"/>
          <w:szCs w:val="24"/>
        </w:rPr>
      </w:pPr>
      <w:r>
        <w:rPr>
          <w:sz w:val="24"/>
          <w:szCs w:val="24"/>
        </w:rPr>
        <w:t xml:space="preserve">i </w:t>
      </w:r>
    </w:p>
    <w:p w:rsidRDefault="00165CDF" w:rsidP="00165CDF" w:rsidR="00165CDF">
      <w:pPr>
        <w:jc w:val="center"/>
        <w:rPr>
          <w:sz w:val="24"/>
          <w:szCs w:val="24"/>
        </w:rPr>
      </w:pPr>
      <w:r>
        <w:rPr>
          <w:sz w:val="24"/>
          <w:szCs w:val="24"/>
        </w:rPr>
        <w:t>Z A K LJ U Č A K</w:t>
      </w:r>
    </w:p>
    <w:p w:rsidRDefault="00165CDF" w:rsidP="00165CDF" w:rsidR="00165CDF">
      <w:pPr>
        <w:rPr>
          <w:b/>
          <w:sz w:val="24"/>
          <w:szCs w:val="24"/>
        </w:rPr>
      </w:pPr>
    </w:p>
    <w:p w:rsidRDefault="00165CDF" w:rsidP="00165CDF" w:rsidR="00165CDF">
      <w:pPr>
        <w:rPr>
          <w:b/>
          <w:sz w:val="24"/>
          <w:szCs w:val="24"/>
        </w:rPr>
      </w:pPr>
    </w:p>
    <w:p w:rsidRDefault="00165CDF" w:rsidP="00165CDF" w:rsidR="00165CDF">
      <w:pPr>
        <w:ind w:firstLine="720"/>
        <w:jc w:val="both"/>
        <w:rPr>
          <w:sz w:val="24"/>
          <w:szCs w:val="24"/>
          <w:lang w:val="pt-BR"/>
        </w:rPr>
      </w:pPr>
      <w:r>
        <w:rPr>
          <w:sz w:val="24"/>
          <w:szCs w:val="24"/>
        </w:rPr>
        <w:t>TRGOVAČKI SUD U ZAGREBU, po sucu pojedincu Luciji Butigan, postupajući po prijedlogu Financijske agencije Zagreb, Regionalni centar Zagreb, Podružnica Zagreb, Trg svibanjskih žrtava 1995. 1, u stečajnom postupku nad dužnikom STARIMPEX, poduzeće za unutrašnju i vanjsku trgovinu, d.o.o., Samobor, Perkovčeva 76,</w:t>
      </w:r>
      <w:r w:rsidR="00C753E3">
        <w:rPr>
          <w:sz w:val="24"/>
          <w:szCs w:val="24"/>
        </w:rPr>
        <w:t xml:space="preserve"> OIB </w:t>
      </w:r>
      <w:r w:rsidR="00C753E3" w:rsidRPr="00C753E3">
        <w:rPr>
          <w:sz w:val="24"/>
          <w:szCs w:val="24"/>
        </w:rPr>
        <w:t>24621094640</w:t>
      </w:r>
      <w:r w:rsidR="00C753E3">
        <w:rPr>
          <w:sz w:val="24"/>
          <w:szCs w:val="24"/>
        </w:rPr>
        <w:t>,</w:t>
      </w:r>
      <w:r>
        <w:rPr>
          <w:sz w:val="24"/>
          <w:szCs w:val="24"/>
        </w:rPr>
        <w:t xml:space="preserve">  dana 7. studenog 2017.</w:t>
      </w:r>
      <w:r>
        <w:rPr>
          <w:sz w:val="24"/>
          <w:szCs w:val="24"/>
          <w:lang w:val="pt-BR"/>
        </w:rPr>
        <w:t xml:space="preserve"> </w:t>
      </w:r>
    </w:p>
    <w:p w:rsidRDefault="00165CDF" w:rsidP="00165CDF" w:rsidR="00165CDF">
      <w:pPr>
        <w:ind w:firstLine="720"/>
        <w:jc w:val="both"/>
        <w:rPr>
          <w:sz w:val="24"/>
          <w:szCs w:val="24"/>
          <w:lang w:val="pt-BR"/>
        </w:rPr>
      </w:pPr>
    </w:p>
    <w:p w:rsidRDefault="00165CDF" w:rsidP="00165CDF" w:rsidR="00165CDF">
      <w:pPr>
        <w:jc w:val="center"/>
        <w:rPr>
          <w:sz w:val="24"/>
          <w:szCs w:val="24"/>
        </w:rPr>
      </w:pPr>
      <w:r>
        <w:rPr>
          <w:sz w:val="24"/>
          <w:szCs w:val="24"/>
        </w:rPr>
        <w:t xml:space="preserve">r i j e š i o    j e </w:t>
      </w:r>
    </w:p>
    <w:p w:rsidRDefault="00165CDF" w:rsidP="00165CDF" w:rsidR="00165CDF">
      <w:pPr>
        <w:jc w:val="both"/>
        <w:rPr>
          <w:b/>
          <w:sz w:val="24"/>
          <w:szCs w:val="24"/>
        </w:rPr>
      </w:pPr>
    </w:p>
    <w:p w:rsidRDefault="00165CDF" w:rsidP="00165CDF" w:rsidR="00165CDF">
      <w:pPr>
        <w:ind w:firstLine="720"/>
        <w:jc w:val="both"/>
        <w:rPr>
          <w:color w:val="FF0000"/>
          <w:sz w:val="24"/>
          <w:szCs w:val="24"/>
        </w:rPr>
      </w:pPr>
      <w:r>
        <w:rPr>
          <w:sz w:val="24"/>
          <w:szCs w:val="24"/>
        </w:rPr>
        <w:t>Pokreće se prethodni postupak radi utvrđivanja uvjeta za otvaranje stečajnog postupka nad dužnikom STARIMPEX, poduzeće za unutrašnju i vanjsku trgovinu, d.o.o., Samobor, Perkovčeva 76</w:t>
      </w:r>
      <w:r w:rsidR="00C753E3">
        <w:rPr>
          <w:sz w:val="24"/>
          <w:szCs w:val="24"/>
        </w:rPr>
        <w:t xml:space="preserve">, OIB </w:t>
      </w:r>
      <w:r w:rsidR="00C753E3" w:rsidRPr="00C753E3">
        <w:rPr>
          <w:sz w:val="24"/>
          <w:szCs w:val="24"/>
        </w:rPr>
        <w:t>24621094640</w:t>
      </w:r>
      <w:r>
        <w:rPr>
          <w:sz w:val="24"/>
          <w:szCs w:val="24"/>
        </w:rPr>
        <w:t>.</w:t>
      </w:r>
    </w:p>
    <w:p w:rsidRDefault="00165CDF" w:rsidP="00165CDF" w:rsidR="00165CDF">
      <w:pPr>
        <w:jc w:val="both"/>
        <w:rPr>
          <w:sz w:val="24"/>
          <w:szCs w:val="24"/>
        </w:rPr>
      </w:pPr>
    </w:p>
    <w:p w:rsidRDefault="00165CDF" w:rsidP="00165CDF" w:rsidR="00165CDF">
      <w:pPr>
        <w:jc w:val="center"/>
        <w:rPr>
          <w:sz w:val="24"/>
          <w:szCs w:val="24"/>
        </w:rPr>
      </w:pPr>
      <w:r>
        <w:rPr>
          <w:sz w:val="24"/>
          <w:szCs w:val="24"/>
        </w:rPr>
        <w:t>z a k l j u č i o   j e</w:t>
      </w:r>
    </w:p>
    <w:p w:rsidRDefault="00165CDF" w:rsidP="00165CDF" w:rsidR="00165CDF">
      <w:pPr>
        <w:jc w:val="both"/>
        <w:rPr>
          <w:sz w:val="24"/>
          <w:szCs w:val="24"/>
        </w:rPr>
      </w:pPr>
    </w:p>
    <w:p w:rsidRDefault="00165CDF" w:rsidP="00165CDF" w:rsidR="00165CDF">
      <w:pPr>
        <w:ind w:firstLine="720"/>
        <w:jc w:val="both"/>
        <w:rPr>
          <w:sz w:val="24"/>
          <w:szCs w:val="24"/>
        </w:rPr>
      </w:pPr>
      <w:r>
        <w:rPr>
          <w:sz w:val="24"/>
          <w:szCs w:val="24"/>
        </w:rPr>
        <w:t xml:space="preserve">I. Naređuje se direktoru dužnika Vesna Benda, Bobovica 38, 41 430 Samobor, OIB </w:t>
      </w:r>
      <w:r w:rsidRPr="00165CDF">
        <w:rPr>
          <w:sz w:val="24"/>
          <w:szCs w:val="24"/>
        </w:rPr>
        <w:t>66349206048</w:t>
      </w:r>
      <w:r>
        <w:rPr>
          <w:sz w:val="24"/>
          <w:szCs w:val="24"/>
        </w:rPr>
        <w:t xml:space="preserve">, u roku 8 dana dostaviti ovom sudu pisano izvješće o financijsko-gospodarskom stanju dužnika u kojem će, među ostalim, biti naznačeni podaci o imovini dužnika, a osobito: popis nekretnina i pokretnina koje čine imovinu dužnika te gdje se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 </w:t>
      </w:r>
    </w:p>
    <w:p w:rsidRDefault="00165CDF" w:rsidP="00165CDF" w:rsidR="00165CDF">
      <w:pPr>
        <w:ind w:firstLine="720"/>
        <w:jc w:val="both"/>
        <w:rPr>
          <w:sz w:val="24"/>
          <w:szCs w:val="24"/>
        </w:rPr>
      </w:pPr>
      <w:r>
        <w:rPr>
          <w:sz w:val="24"/>
          <w:szCs w:val="24"/>
        </w:rPr>
        <w:t>II. Ako direktor dužnika u dodijeljenom roku ne dostavi pisano izvješće o financijsko-gospodarskom stanju dužnika, sud će mu izreći novčanu kaznu u iznosu od 1.000,00 kn i zaprijetiti mu novim novčanim kaznama u iznosu od 2.000,00 kn sve dok se ne pokori naredbi iz točke I. izreke zaključka.</w:t>
      </w:r>
    </w:p>
    <w:p w:rsidRDefault="00165CDF" w:rsidP="00165CDF" w:rsidR="00165CDF">
      <w:pPr>
        <w:ind w:firstLine="720"/>
        <w:jc w:val="both"/>
        <w:rPr>
          <w:sz w:val="24"/>
          <w:szCs w:val="24"/>
        </w:rPr>
      </w:pPr>
      <w:r>
        <w:rPr>
          <w:sz w:val="24"/>
          <w:szCs w:val="24"/>
        </w:rPr>
        <w:t>III. Ako direktor dužnika u dodijeljenom roku ne dostavi izvješće ili dostavi netočno ili nepotpuno izvješće odgovara vjerovnicima za štetu koju time prouzroče.</w:t>
      </w:r>
    </w:p>
    <w:p w:rsidRDefault="00165CDF" w:rsidP="00165CDF" w:rsidR="00165CDF">
      <w:pPr>
        <w:ind w:firstLine="720"/>
        <w:jc w:val="both"/>
        <w:rPr>
          <w:sz w:val="24"/>
          <w:szCs w:val="24"/>
        </w:rPr>
      </w:pPr>
      <w:r>
        <w:rPr>
          <w:sz w:val="24"/>
          <w:szCs w:val="24"/>
        </w:rPr>
        <w:t xml:space="preserve">IV. Direktor dužnika odgovara kazneno za davanje netočnih ili nepotpunih podataka, obavijesti, izvješća, izjava ili popisa kao za davanje lažnog iskaza u sudskom postupku. </w:t>
      </w:r>
    </w:p>
    <w:p w:rsidRDefault="00165CDF" w:rsidP="00165CDF" w:rsidR="00165CDF">
      <w:pPr>
        <w:ind w:firstLine="720"/>
        <w:jc w:val="both"/>
        <w:rPr>
          <w:sz w:val="24"/>
          <w:szCs w:val="24"/>
        </w:rPr>
      </w:pPr>
      <w:r>
        <w:rPr>
          <w:sz w:val="24"/>
          <w:szCs w:val="24"/>
        </w:rPr>
        <w:t>V</w:t>
      </w:r>
      <w:r>
        <w:rPr>
          <w:b/>
          <w:sz w:val="24"/>
          <w:szCs w:val="24"/>
        </w:rPr>
        <w:t xml:space="preserve">. </w:t>
      </w:r>
      <w:r>
        <w:rPr>
          <w:sz w:val="24"/>
          <w:szCs w:val="24"/>
        </w:rPr>
        <w:t xml:space="preserve">Određuje se ročište radi izjašnjenja o prijedlogu za otvaranje stečajnog postupka za dan: </w:t>
      </w:r>
    </w:p>
    <w:p w:rsidRDefault="00165CDF" w:rsidP="00165CDF" w:rsidR="00165CDF">
      <w:pPr>
        <w:ind w:firstLine="720"/>
        <w:jc w:val="both"/>
        <w:rPr>
          <w:sz w:val="24"/>
          <w:szCs w:val="24"/>
        </w:rPr>
      </w:pPr>
    </w:p>
    <w:p w:rsidRDefault="00165CDF" w:rsidP="00165CDF" w:rsidR="00165CDF">
      <w:pPr>
        <w:ind w:left="1003"/>
        <w:jc w:val="center"/>
        <w:rPr>
          <w:sz w:val="24"/>
          <w:szCs w:val="24"/>
        </w:rPr>
      </w:pPr>
    </w:p>
    <w:p w:rsidRDefault="00165CDF" w:rsidP="00165CDF" w:rsidR="00165CDF">
      <w:pPr>
        <w:ind w:left="1003"/>
        <w:jc w:val="center"/>
        <w:rPr>
          <w:sz w:val="24"/>
          <w:szCs w:val="24"/>
        </w:rPr>
      </w:pPr>
    </w:p>
    <w:p w:rsidRDefault="00165CDF" w:rsidP="00165CDF" w:rsidR="00165CDF">
      <w:pPr>
        <w:ind w:left="1003"/>
        <w:jc w:val="center"/>
        <w:rPr>
          <w:b/>
          <w:sz w:val="24"/>
          <w:szCs w:val="24"/>
        </w:rPr>
      </w:pPr>
      <w:r>
        <w:rPr>
          <w:sz w:val="24"/>
          <w:szCs w:val="24"/>
        </w:rPr>
        <w:t>5. prosinca 2017. u 9.30 sati</w:t>
      </w:r>
    </w:p>
    <w:p w:rsidRDefault="00165CDF" w:rsidP="00165CDF" w:rsidR="00165CDF">
      <w:pPr>
        <w:ind w:left="1003"/>
        <w:jc w:val="center"/>
        <w:rPr>
          <w:sz w:val="24"/>
          <w:szCs w:val="24"/>
        </w:rPr>
      </w:pPr>
      <w:r>
        <w:rPr>
          <w:sz w:val="24"/>
          <w:szCs w:val="24"/>
        </w:rPr>
        <w:t>u zgradi Trgovačkog suda u Zagrebu, Petrinjska 8, soba broj 91/II,</w:t>
      </w:r>
    </w:p>
    <w:p w:rsidRDefault="00165CDF" w:rsidP="00165CDF" w:rsidR="00165CDF">
      <w:pPr>
        <w:jc w:val="both"/>
        <w:rPr>
          <w:sz w:val="24"/>
          <w:szCs w:val="24"/>
        </w:rPr>
      </w:pPr>
    </w:p>
    <w:p w:rsidRDefault="00165CDF" w:rsidP="00165CDF" w:rsidR="00165CDF">
      <w:pPr>
        <w:jc w:val="both"/>
        <w:rPr>
          <w:sz w:val="24"/>
          <w:szCs w:val="24"/>
        </w:rPr>
      </w:pPr>
    </w:p>
    <w:p w:rsidRDefault="00165CDF" w:rsidP="00165CDF" w:rsidR="00165CDF">
      <w:pPr>
        <w:ind w:firstLine="283" w:left="720"/>
        <w:jc w:val="both"/>
        <w:rPr>
          <w:sz w:val="24"/>
          <w:szCs w:val="24"/>
        </w:rPr>
      </w:pPr>
      <w:r>
        <w:rPr>
          <w:sz w:val="24"/>
          <w:szCs w:val="24"/>
        </w:rPr>
        <w:t>na koje ročište se dostavom ovog zaključka pozivaju:</w:t>
      </w:r>
    </w:p>
    <w:p w:rsidRDefault="00165CDF" w:rsidP="00165CDF" w:rsidR="00165CDF">
      <w:pPr>
        <w:ind w:firstLine="283" w:left="720"/>
        <w:jc w:val="both"/>
        <w:rPr>
          <w:sz w:val="24"/>
          <w:szCs w:val="24"/>
        </w:rPr>
      </w:pPr>
      <w:r>
        <w:rPr>
          <w:sz w:val="24"/>
          <w:szCs w:val="24"/>
        </w:rPr>
        <w:t xml:space="preserve">- dužnik </w:t>
      </w:r>
    </w:p>
    <w:p w:rsidRDefault="00165CDF" w:rsidP="00165CDF" w:rsidR="00165CDF">
      <w:pPr>
        <w:ind w:firstLine="283" w:left="720"/>
        <w:jc w:val="both"/>
        <w:rPr>
          <w:sz w:val="24"/>
          <w:szCs w:val="24"/>
        </w:rPr>
      </w:pPr>
      <w:r>
        <w:rPr>
          <w:sz w:val="24"/>
          <w:szCs w:val="24"/>
        </w:rPr>
        <w:t xml:space="preserve">- zastupnik po zakonu dužnika </w:t>
      </w:r>
    </w:p>
    <w:p w:rsidRDefault="00165CDF" w:rsidP="00165CDF" w:rsidR="00165CDF">
      <w:pPr>
        <w:ind w:firstLine="283" w:left="720"/>
        <w:jc w:val="both"/>
        <w:rPr>
          <w:sz w:val="24"/>
          <w:szCs w:val="24"/>
        </w:rPr>
      </w:pPr>
      <w:r>
        <w:rPr>
          <w:sz w:val="24"/>
          <w:szCs w:val="24"/>
        </w:rPr>
        <w:t>- FINA</w:t>
      </w:r>
    </w:p>
    <w:p w:rsidRDefault="00165CDF" w:rsidP="00165CDF" w:rsidR="00165CDF">
      <w:pPr>
        <w:ind w:firstLine="283" w:left="720"/>
        <w:jc w:val="both"/>
        <w:rPr>
          <w:sz w:val="24"/>
          <w:szCs w:val="24"/>
        </w:rPr>
      </w:pPr>
      <w:r>
        <w:rPr>
          <w:sz w:val="24"/>
          <w:szCs w:val="24"/>
        </w:rPr>
        <w:t xml:space="preserve">  </w:t>
      </w:r>
    </w:p>
    <w:p w:rsidRDefault="00165CDF" w:rsidP="00165CDF" w:rsidR="00165CDF">
      <w:pPr>
        <w:ind w:left="720"/>
        <w:jc w:val="both"/>
        <w:rPr>
          <w:sz w:val="24"/>
          <w:szCs w:val="24"/>
        </w:rPr>
      </w:pPr>
      <w:r>
        <w:rPr>
          <w:sz w:val="24"/>
          <w:szCs w:val="24"/>
        </w:rPr>
        <w:t xml:space="preserve">VI. Pozvane osobe mogu se o prijedlogu i  pisano izjasniti. </w:t>
      </w:r>
    </w:p>
    <w:p w:rsidRDefault="00165CDF" w:rsidP="00165CDF" w:rsidR="00165CDF">
      <w:pPr>
        <w:jc w:val="both"/>
        <w:rPr>
          <w:sz w:val="24"/>
          <w:szCs w:val="24"/>
        </w:rPr>
      </w:pPr>
    </w:p>
    <w:p w:rsidRDefault="00165CDF" w:rsidP="00165CDF" w:rsidR="00165CDF">
      <w:pPr>
        <w:jc w:val="both"/>
        <w:rPr>
          <w:sz w:val="24"/>
          <w:szCs w:val="24"/>
        </w:rPr>
      </w:pPr>
    </w:p>
    <w:p w:rsidRDefault="00165CDF" w:rsidP="00165CDF" w:rsidR="00165CDF">
      <w:pPr>
        <w:jc w:val="center"/>
        <w:rPr>
          <w:sz w:val="24"/>
          <w:szCs w:val="24"/>
        </w:rPr>
      </w:pPr>
      <w:r>
        <w:rPr>
          <w:sz w:val="24"/>
          <w:szCs w:val="24"/>
        </w:rPr>
        <w:t>Obrazloženje</w:t>
      </w:r>
    </w:p>
    <w:p w:rsidRDefault="00165CDF" w:rsidP="00165CDF" w:rsidR="00165CDF">
      <w:pPr>
        <w:rPr>
          <w:sz w:val="24"/>
          <w:szCs w:val="24"/>
        </w:rPr>
      </w:pPr>
    </w:p>
    <w:p w:rsidRDefault="00165CDF" w:rsidP="00165CDF" w:rsidR="00165CDF">
      <w:pPr>
        <w:rPr>
          <w:sz w:val="24"/>
          <w:szCs w:val="24"/>
          <w:u w:val="single"/>
        </w:rPr>
      </w:pPr>
      <w:r>
        <w:rPr>
          <w:sz w:val="24"/>
          <w:szCs w:val="24"/>
        </w:rPr>
        <w:tab/>
      </w:r>
      <w:r>
        <w:rPr>
          <w:sz w:val="24"/>
          <w:szCs w:val="24"/>
          <w:u w:val="single"/>
        </w:rPr>
        <w:t>U odnosu na rješenje</w:t>
      </w:r>
    </w:p>
    <w:p w:rsidRDefault="00165CDF" w:rsidP="00165CDF" w:rsidR="00165CDF">
      <w:pPr>
        <w:ind w:firstLine="709"/>
        <w:jc w:val="both"/>
        <w:rPr>
          <w:sz w:val="24"/>
          <w:szCs w:val="24"/>
        </w:rPr>
      </w:pPr>
    </w:p>
    <w:p w:rsidRDefault="00165CDF" w:rsidP="00165CDF" w:rsidR="00165CDF">
      <w:pPr>
        <w:ind w:firstLine="709"/>
        <w:jc w:val="both"/>
        <w:rPr>
          <w:sz w:val="24"/>
          <w:szCs w:val="24"/>
        </w:rPr>
      </w:pPr>
      <w:r>
        <w:rPr>
          <w:sz w:val="24"/>
          <w:szCs w:val="24"/>
        </w:rPr>
        <w:t>Financijska agencija, Regionalni centar Zagreb, podnijela je ovom sudu prijedlog za otvaranje stečajnog postupka nad dužnikom STARIMPEX, poduzeće za unutrašnju i vanjsku trgovinu, d.o.o., Samobor, Perkovčeva 76</w:t>
      </w:r>
      <w:r w:rsidR="00C753E3">
        <w:rPr>
          <w:sz w:val="24"/>
          <w:szCs w:val="24"/>
        </w:rPr>
        <w:t xml:space="preserve">, OIB </w:t>
      </w:r>
      <w:r w:rsidR="00C753E3" w:rsidRPr="00C753E3">
        <w:rPr>
          <w:sz w:val="24"/>
          <w:szCs w:val="24"/>
        </w:rPr>
        <w:t>24621094640</w:t>
      </w:r>
      <w:r>
        <w:rPr>
          <w:sz w:val="24"/>
          <w:szCs w:val="24"/>
        </w:rPr>
        <w:t>.</w:t>
      </w:r>
    </w:p>
    <w:p w:rsidRDefault="00165CDF" w:rsidP="00165CDF" w:rsidR="00165CDF">
      <w:pPr>
        <w:ind w:firstLine="709"/>
        <w:jc w:val="both"/>
        <w:rPr>
          <w:sz w:val="24"/>
          <w:szCs w:val="24"/>
        </w:rPr>
      </w:pPr>
      <w:r>
        <w:rPr>
          <w:sz w:val="24"/>
          <w:szCs w:val="24"/>
        </w:rPr>
        <w:t>Prijedlog je podnesen na temelju čl. 444. st. 2. Stečajnog zakona („Narodne novine“ broj 71/15, dalje: SZ). Prema odredbi čl. 444. st. 2. SZ-a Financijska agencija je dužna  podnijeti prijedlog za otvaranje stečajnog postupka za pravne osobe koje na dan stupanja na snagu stečajnog zakona u Očevidniku redoslijeda osnova za plaćanje imaju evidentirane neizvršene osnove za plaćanje u neprekinutom razdoblju od 120 dana:</w:t>
      </w:r>
    </w:p>
    <w:p w:rsidRDefault="00165CDF" w:rsidP="00165CDF" w:rsidR="00165CDF">
      <w:pPr>
        <w:pStyle w:val="Odlomakpopisa"/>
        <w:numPr>
          <w:ilvl w:val="0"/>
          <w:numId w:val="1"/>
        </w:numPr>
        <w:jc w:val="both"/>
        <w:rPr>
          <w:sz w:val="24"/>
          <w:szCs w:val="24"/>
        </w:rPr>
      </w:pPr>
      <w:r>
        <w:rPr>
          <w:sz w:val="24"/>
          <w:szCs w:val="24"/>
        </w:rPr>
        <w:t xml:space="preserve">najkasnije osam mjeseci, ali ne ranije od šest mjeseci od dana stupanja na snagu stečajnog zakona za pravnu osobu koja u Očevidniku redoslijeda osnova za plaćanje ima evidentirane neizvršene osnove za plaćanje u neprekinutom razdoblju od 120 dana i jednog zaposlenog.  </w:t>
      </w:r>
    </w:p>
    <w:p w:rsidRDefault="00165CDF" w:rsidP="00165CDF" w:rsidR="00165CDF">
      <w:pPr>
        <w:pStyle w:val="Odlomakpopisa"/>
        <w:numPr>
          <w:ilvl w:val="0"/>
          <w:numId w:val="1"/>
        </w:numPr>
        <w:jc w:val="both"/>
        <w:rPr>
          <w:sz w:val="24"/>
          <w:szCs w:val="24"/>
        </w:rPr>
      </w:pPr>
      <w:r>
        <w:rPr>
          <w:sz w:val="24"/>
          <w:szCs w:val="24"/>
        </w:rPr>
        <w:t xml:space="preserve">najkasnije deset mjeseci, ali ne ranije od osam mjeseci od dana stupanja na snagu stečajnog zakona za pravnu osobu koja u Očevidniku redoslijeda osnova za plaćanje ima evidentirane neizvršene osnove za plaćanje u neprekinutom razdoblju od 120 dana i dva ili više zaposlenih.  </w:t>
      </w:r>
    </w:p>
    <w:p w:rsidRDefault="00165CDF" w:rsidP="00165CDF" w:rsidR="00165CDF">
      <w:pPr>
        <w:jc w:val="both"/>
        <w:rPr>
          <w:sz w:val="24"/>
          <w:szCs w:val="24"/>
        </w:rPr>
      </w:pPr>
    </w:p>
    <w:p w:rsidRDefault="00165CDF" w:rsidP="00165CDF" w:rsidR="00165CDF">
      <w:pPr>
        <w:ind w:firstLine="709"/>
        <w:jc w:val="both"/>
        <w:rPr>
          <w:sz w:val="24"/>
          <w:szCs w:val="24"/>
        </w:rPr>
      </w:pPr>
      <w:r>
        <w:rPr>
          <w:sz w:val="24"/>
          <w:szCs w:val="24"/>
        </w:rPr>
        <w:t xml:space="preserve">Financijska agencija, kao predlagatelj, navela je u prijedlogu za otvaranje stečajnog postupka kako dužnik na dan 1. rujna 2015. u Očevidniku redoslijeda osnova za plaćanje ima evidentirane neizvršene osnove za plaćanje u neprekinutom razdoblju od 4.627 dana, u ukupnom iznosu od 57.396,44 kn, kao i da dužnik ima 1 zaposlenog. S obzirom na to da predlagatelj vodi Očevidnik redoslijeda osnova za plaćanje, sud je prihvatio predlagateljeve tvrdnje o neprekinutom razdoblju evidentiranih neizvršenih osnova za plaćanje koji su zavedeni u Očevidniku  redoslijeda osnova za plaćanje. </w:t>
      </w:r>
    </w:p>
    <w:p w:rsidRDefault="00165CDF" w:rsidP="00165CDF" w:rsidR="00165CDF">
      <w:pPr>
        <w:ind w:firstLine="709"/>
        <w:jc w:val="both"/>
        <w:rPr>
          <w:sz w:val="24"/>
          <w:szCs w:val="24"/>
        </w:rPr>
      </w:pPr>
      <w:r>
        <w:rPr>
          <w:sz w:val="24"/>
          <w:szCs w:val="24"/>
        </w:rPr>
        <w:t xml:space="preserve">Odredbom čl. 115. st. 1. SZ-a propisano je da sud na temelju prijedloga za otvaranje stečajnoga postupka donosi rješenje o pokretanju prethodnoga postupka radi utvrđivanja pretpostavki za otvaranje stečajnoga postupka (prethodni postupak). </w:t>
      </w:r>
    </w:p>
    <w:p w:rsidRDefault="00165CDF" w:rsidP="00165CDF" w:rsidR="00165CDF">
      <w:pPr>
        <w:ind w:firstLine="709"/>
        <w:jc w:val="both"/>
        <w:rPr>
          <w:sz w:val="24"/>
          <w:szCs w:val="24"/>
        </w:rPr>
      </w:pPr>
      <w:r>
        <w:rPr>
          <w:sz w:val="24"/>
          <w:szCs w:val="24"/>
        </w:rPr>
        <w:t>S obzirom na to da iz predlagateljevih navoda proizlazi kako dužnik ima evidentirane neizvršene osnove za plaćanje u neprekinutom razdoblju od 120 dana, sud je na temelju odredbe čl. 110. st. 1. i 115. st. 1. SZ-a riješio kao u izreci.</w:t>
      </w:r>
    </w:p>
    <w:p w:rsidRDefault="00165CDF" w:rsidP="00165CDF" w:rsidR="00165CDF">
      <w:pPr>
        <w:jc w:val="both"/>
        <w:rPr>
          <w:sz w:val="24"/>
          <w:szCs w:val="24"/>
        </w:rPr>
      </w:pPr>
    </w:p>
    <w:p w:rsidRDefault="00165CDF" w:rsidP="00165CDF" w:rsidR="00165CDF">
      <w:pPr>
        <w:ind w:firstLine="709"/>
        <w:jc w:val="both"/>
        <w:rPr>
          <w:sz w:val="24"/>
          <w:szCs w:val="24"/>
          <w:u w:val="single"/>
        </w:rPr>
      </w:pPr>
    </w:p>
    <w:p w:rsidRDefault="00165CDF" w:rsidP="00165CDF" w:rsidR="00165CDF">
      <w:pPr>
        <w:ind w:firstLine="709"/>
        <w:jc w:val="both"/>
        <w:rPr>
          <w:sz w:val="24"/>
          <w:szCs w:val="24"/>
          <w:u w:val="single"/>
        </w:rPr>
      </w:pPr>
    </w:p>
    <w:p w:rsidRDefault="00165CDF" w:rsidP="00165CDF" w:rsidR="00165CDF">
      <w:pPr>
        <w:ind w:firstLine="709"/>
        <w:jc w:val="both"/>
        <w:rPr>
          <w:sz w:val="24"/>
          <w:szCs w:val="24"/>
          <w:u w:val="single"/>
        </w:rPr>
      </w:pPr>
    </w:p>
    <w:p w:rsidRDefault="00165CDF" w:rsidP="00165CDF" w:rsidR="00165CDF">
      <w:pPr>
        <w:ind w:firstLine="709"/>
        <w:jc w:val="both"/>
        <w:rPr>
          <w:sz w:val="24"/>
          <w:szCs w:val="24"/>
          <w:u w:val="single"/>
        </w:rPr>
      </w:pPr>
      <w:r>
        <w:rPr>
          <w:sz w:val="24"/>
          <w:szCs w:val="24"/>
          <w:u w:val="single"/>
        </w:rPr>
        <w:t>U odnosu na zaključak</w:t>
      </w:r>
    </w:p>
    <w:p w:rsidRDefault="00165CDF" w:rsidP="00165CDF" w:rsidR="00165CDF">
      <w:pPr>
        <w:ind w:firstLine="709"/>
        <w:jc w:val="both"/>
        <w:rPr>
          <w:sz w:val="24"/>
          <w:szCs w:val="24"/>
        </w:rPr>
      </w:pPr>
    </w:p>
    <w:p w:rsidRDefault="00165CDF" w:rsidP="00165CDF" w:rsidR="00165CDF">
      <w:pPr>
        <w:ind w:firstLine="720"/>
        <w:jc w:val="both"/>
        <w:rPr>
          <w:sz w:val="24"/>
          <w:szCs w:val="24"/>
        </w:rPr>
      </w:pPr>
      <w:r>
        <w:rPr>
          <w:sz w:val="24"/>
          <w:szCs w:val="24"/>
        </w:rPr>
        <w:t>Prema odredbi čl. 117. st. 1. SZ-a osobe ovlaštene za zastupanje dužnika po zakonu dužne su nakon podnošenja prijedloga za otvaranje stečajnog postupka stečajnim tijelima na njihov zahtjev, bez odgode, pružiti sve potrebne podatke i obavijesti, a prema odredbi stavka 2. tog članka sud može zaključkom narediti stečajnom dužniku, odnosno osobi ovlaštenoj za zastupanje dužnika po zakonu da u određenom trenutku preda izvješće o financijsko-gospodarskom stanju.</w:t>
      </w:r>
    </w:p>
    <w:p w:rsidRDefault="00165CDF" w:rsidP="00165CDF" w:rsidR="00165CDF">
      <w:pPr>
        <w:ind w:firstLine="720"/>
        <w:jc w:val="both"/>
        <w:rPr>
          <w:sz w:val="24"/>
          <w:szCs w:val="24"/>
        </w:rPr>
      </w:pPr>
      <w:r>
        <w:rPr>
          <w:sz w:val="24"/>
          <w:szCs w:val="24"/>
        </w:rPr>
        <w:t xml:space="preserve">Imajući u vidu činjenicu da sud, na temelju navoda iz prijedloga za otvaranje stečajnog postupka, odnosno iz drugih javno dostupnih podataka, nije mogao utvrditi imovinu dužnika, naređeno je, po osnovi čl. 117. st. 1. i. 2. SZ-a, osobi ovlaštenoj za zastupanje dužnika dostaviti izvješće o financijsko-gospodarskom stanju dužnika, u kojem će biti navedena cjelokupna imovina dužnika (točka. I. zaključka),  s time da je potrebno dodati kako je odluka iz točke II. izreke zaključka donesena na temelju odredbi čl. 117. st. 1., 2. i  6. SZ-a u vezi s čl. 177., 178. i 180. SZ-a, a točka III. izreke zaključka utemeljena je na odredbe čl. 117. st. 3. SZ-a i odluka iz točke IV. izreke zaključka donesena je na temelju odredbe čl. 117. st. 4. SZ-a. </w:t>
      </w:r>
    </w:p>
    <w:p w:rsidRDefault="00165CDF" w:rsidP="00165CDF" w:rsidR="00165CDF">
      <w:pPr>
        <w:ind w:firstLine="709"/>
        <w:jc w:val="both"/>
        <w:rPr>
          <w:sz w:val="24"/>
          <w:szCs w:val="24"/>
        </w:rPr>
      </w:pPr>
      <w:r>
        <w:rPr>
          <w:sz w:val="24"/>
          <w:szCs w:val="24"/>
        </w:rPr>
        <w:t xml:space="preserve"> Prema odredbi čl. 123. st.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temeljem čl. 123. st. 1. SZ-a zakazao ročište radi očitovanja o prijedlogu za otvaranje stečajnog postupka (točka V. zaključka). Osobe koje su pozvane na navedeno ročište o prijedlogu mogu se očitovati i pisano (čl. 123. st. 2. SZ-a).</w:t>
      </w:r>
    </w:p>
    <w:p w:rsidRDefault="00165CDF" w:rsidP="00165CDF" w:rsidR="00165CDF">
      <w:pPr>
        <w:jc w:val="both"/>
        <w:rPr>
          <w:sz w:val="24"/>
          <w:szCs w:val="24"/>
        </w:rPr>
      </w:pPr>
    </w:p>
    <w:p w:rsidRDefault="00165CDF" w:rsidP="00165CDF" w:rsidR="00165CDF">
      <w:pPr>
        <w:ind w:firstLine="720"/>
        <w:jc w:val="center"/>
        <w:rPr>
          <w:sz w:val="24"/>
          <w:szCs w:val="24"/>
        </w:rPr>
      </w:pPr>
      <w:r>
        <w:rPr>
          <w:sz w:val="24"/>
          <w:szCs w:val="24"/>
        </w:rPr>
        <w:t xml:space="preserve">U Zagrebu </w:t>
      </w:r>
      <w:r w:rsidR="005673D0">
        <w:rPr>
          <w:sz w:val="24"/>
          <w:szCs w:val="24"/>
        </w:rPr>
        <w:t>7</w:t>
      </w:r>
      <w:r>
        <w:rPr>
          <w:sz w:val="24"/>
          <w:szCs w:val="24"/>
        </w:rPr>
        <w:t xml:space="preserve">. </w:t>
      </w:r>
      <w:r w:rsidR="005673D0">
        <w:rPr>
          <w:sz w:val="24"/>
          <w:szCs w:val="24"/>
        </w:rPr>
        <w:t>studenog</w:t>
      </w:r>
      <w:r>
        <w:rPr>
          <w:sz w:val="24"/>
          <w:szCs w:val="24"/>
        </w:rPr>
        <w:t xml:space="preserve"> 2017.</w:t>
      </w:r>
    </w:p>
    <w:p w:rsidRDefault="00165CDF" w:rsidP="00165CDF" w:rsidR="00165CDF">
      <w:pPr>
        <w:ind w:firstLine="720"/>
        <w:jc w:val="center"/>
        <w:rPr>
          <w:sz w:val="24"/>
          <w:szCs w:val="24"/>
        </w:rPr>
      </w:pPr>
    </w:p>
    <w:p w:rsidRDefault="00165CDF" w:rsidP="00165CDF" w:rsidR="00165CDF">
      <w:pPr>
        <w:tabs>
          <w:tab w:pos="5100" w:val="left"/>
        </w:tabs>
        <w:ind w:firstLine="720"/>
        <w:rPr>
          <w:sz w:val="24"/>
          <w:szCs w:val="24"/>
        </w:rPr>
      </w:pPr>
      <w:r>
        <w:rPr>
          <w:sz w:val="24"/>
          <w:szCs w:val="24"/>
        </w:rPr>
        <w:tab/>
        <w:t xml:space="preserve">                                    Sudac:</w:t>
      </w:r>
    </w:p>
    <w:p w:rsidRDefault="00165CDF" w:rsidP="00165CDF" w:rsidR="00165CDF">
      <w:pPr>
        <w:tabs>
          <w:tab w:pos="5100" w:val="left"/>
        </w:tabs>
        <w:ind w:firstLine="720"/>
        <w:rPr>
          <w:sz w:val="24"/>
          <w:szCs w:val="24"/>
        </w:rPr>
      </w:pPr>
    </w:p>
    <w:p w:rsidRDefault="00165CDF" w:rsidP="005673D0" w:rsidR="00165CDF">
      <w:pPr>
        <w:ind w:left="5040"/>
        <w:rPr>
          <w:sz w:val="24"/>
          <w:szCs w:val="24"/>
        </w:rPr>
      </w:pPr>
      <w:r>
        <w:rPr>
          <w:sz w:val="24"/>
          <w:szCs w:val="24"/>
        </w:rPr>
        <w:t xml:space="preserve">                             Lucija Butigan</w:t>
      </w:r>
      <w:r w:rsidR="005673D0">
        <w:rPr>
          <w:sz w:val="24"/>
          <w:szCs w:val="24"/>
        </w:rPr>
        <w:t>, v.r.</w:t>
      </w:r>
    </w:p>
    <w:p w:rsidRDefault="00165CDF" w:rsidP="00165CDF" w:rsidR="00165CDF">
      <w:pPr>
        <w:jc w:val="both"/>
        <w:rPr>
          <w:szCs w:val="24"/>
        </w:rPr>
      </w:pPr>
    </w:p>
    <w:p w:rsidRDefault="00165CDF" w:rsidP="005673D0" w:rsidR="00165CDF">
      <w:pPr>
        <w:ind w:left="1363"/>
        <w:jc w:val="both"/>
        <w:rPr>
          <w:sz w:val="24"/>
          <w:szCs w:val="24"/>
        </w:rPr>
      </w:pPr>
      <w:r>
        <w:rPr>
          <w:color w:val="FFFFFF"/>
          <w:sz w:val="24"/>
          <w:szCs w:val="24"/>
        </w:rPr>
        <w:t xml:space="preserve">ŽDO                                                   </w:t>
      </w:r>
    </w:p>
    <w:p w:rsidRDefault="00165CDF" w:rsidP="00165CDF" w:rsidR="00165CDF">
      <w:pPr>
        <w:jc w:val="both"/>
        <w:rPr>
          <w:sz w:val="24"/>
          <w:szCs w:val="24"/>
        </w:rPr>
      </w:pPr>
    </w:p>
    <w:p w:rsidRDefault="00165CDF" w:rsidP="00165CDF" w:rsidR="00165CDF">
      <w:pPr>
        <w:jc w:val="both"/>
        <w:rPr>
          <w:sz w:val="24"/>
          <w:szCs w:val="24"/>
        </w:rPr>
      </w:pPr>
      <w:r>
        <w:rPr>
          <w:sz w:val="24"/>
          <w:szCs w:val="24"/>
        </w:rPr>
        <w:t>Uputa o pravnom lijeku:</w:t>
      </w:r>
    </w:p>
    <w:p w:rsidRDefault="00165CDF" w:rsidP="00165CDF" w:rsidR="00165CDF">
      <w:pPr>
        <w:jc w:val="both"/>
        <w:rPr>
          <w:sz w:val="24"/>
          <w:szCs w:val="24"/>
        </w:rPr>
      </w:pPr>
      <w:r>
        <w:rPr>
          <w:sz w:val="24"/>
          <w:szCs w:val="24"/>
        </w:rPr>
        <w:t>Protiv rješenja nije dopuštena žalba (čl. 115. stavak 1. SZ-a).</w:t>
      </w:r>
    </w:p>
    <w:p w:rsidRDefault="00165CDF" w:rsidP="00165CDF" w:rsidR="00165CDF">
      <w:pPr>
        <w:jc w:val="both"/>
        <w:rPr>
          <w:sz w:val="24"/>
          <w:szCs w:val="24"/>
        </w:rPr>
      </w:pPr>
      <w:r>
        <w:rPr>
          <w:sz w:val="24"/>
          <w:szCs w:val="24"/>
        </w:rPr>
        <w:t>Protiv zaključka nije dopuštena žalba (čl. 19. stavak 7. SZ-a)</w:t>
      </w:r>
    </w:p>
    <w:p w:rsidRDefault="005673D0" w:rsidP="00165CDF" w:rsidR="005673D0">
      <w:pPr>
        <w:jc w:val="both"/>
        <w:rPr>
          <w:sz w:val="24"/>
          <w:szCs w:val="24"/>
        </w:rPr>
      </w:pPr>
    </w:p>
    <w:p w:rsidRDefault="005673D0" w:rsidP="005673D0" w:rsidR="005673D0">
      <w:pPr>
        <w:ind w:firstLine="53" w:left="4903"/>
        <w:jc w:val="both"/>
        <w:rPr>
          <w:sz w:val="24"/>
          <w:szCs w:val="24"/>
        </w:rPr>
      </w:pPr>
      <w:r>
        <w:rPr>
          <w:sz w:val="24"/>
          <w:szCs w:val="24"/>
        </w:rPr>
        <w:t>Za točnost otpravka - ovlašteni službenik</w:t>
      </w:r>
    </w:p>
    <w:p w:rsidRDefault="005673D0" w:rsidP="005673D0" w:rsidR="005673D0">
      <w:pPr>
        <w:ind w:left="1363"/>
        <w:jc w:val="both"/>
        <w:rPr>
          <w:sz w:val="24"/>
          <w:szCs w:val="24"/>
        </w:rPr>
      </w:pPr>
      <w:r>
        <w:rPr>
          <w:sz w:val="24"/>
          <w:szCs w:val="24"/>
        </w:rPr>
        <w:t xml:space="preserve">                                                                                       Antonija Fuš</w:t>
      </w:r>
    </w:p>
    <w:p w:rsidRDefault="00165CDF" w:rsidP="00165CDF" w:rsidR="00165CDF">
      <w:pPr>
        <w:jc w:val="both"/>
        <w:rPr>
          <w:sz w:val="24"/>
          <w:szCs w:val="24"/>
        </w:rPr>
      </w:pPr>
    </w:p>
    <w:p w:rsidRDefault="005673D0" w:rsidP="00165CDF" w:rsidR="005673D0">
      <w:pPr>
        <w:jc w:val="both"/>
        <w:rPr>
          <w:sz w:val="24"/>
          <w:szCs w:val="24"/>
        </w:rPr>
      </w:pPr>
    </w:p>
    <w:p w:rsidRDefault="005673D0" w:rsidP="00165CDF" w:rsidR="00165CDF">
      <w:pPr>
        <w:jc w:val="both"/>
        <w:rPr>
          <w:sz w:val="24"/>
          <w:szCs w:val="24"/>
        </w:rPr>
      </w:pPr>
      <w:r>
        <w:rPr>
          <w:sz w:val="24"/>
          <w:szCs w:val="24"/>
        </w:rPr>
        <w:t>DNA:</w:t>
      </w:r>
    </w:p>
    <w:p w:rsidRDefault="005673D0" w:rsidP="00165CDF" w:rsidR="005673D0">
      <w:pPr>
        <w:jc w:val="both"/>
        <w:rPr>
          <w:sz w:val="24"/>
          <w:szCs w:val="24"/>
        </w:rPr>
      </w:pPr>
      <w:r>
        <w:rPr>
          <w:sz w:val="24"/>
          <w:szCs w:val="24"/>
        </w:rPr>
        <w:t>-predlagatelju</w:t>
      </w:r>
    </w:p>
    <w:p w:rsidRDefault="005673D0" w:rsidP="00165CDF" w:rsidR="005673D0">
      <w:pPr>
        <w:jc w:val="both"/>
        <w:rPr>
          <w:sz w:val="24"/>
          <w:szCs w:val="24"/>
        </w:rPr>
      </w:pPr>
      <w:r>
        <w:rPr>
          <w:sz w:val="24"/>
          <w:szCs w:val="24"/>
        </w:rPr>
        <w:t>-dužniku</w:t>
      </w:r>
    </w:p>
    <w:p w:rsidRDefault="005673D0" w:rsidP="00165CDF" w:rsidR="005673D0">
      <w:pPr>
        <w:jc w:val="both"/>
        <w:rPr>
          <w:sz w:val="24"/>
          <w:szCs w:val="24"/>
        </w:rPr>
      </w:pPr>
      <w:r>
        <w:rPr>
          <w:sz w:val="24"/>
          <w:szCs w:val="24"/>
        </w:rPr>
        <w:t>-zz dužnika</w:t>
      </w:r>
    </w:p>
    <w:p w:rsidRDefault="005673D0" w:rsidP="00C753E3" w:rsidR="00165CDF">
      <w:pPr>
        <w:jc w:val="both"/>
        <w:rPr>
          <w:color w:val="FFFFFF"/>
          <w:sz w:val="24"/>
          <w:szCs w:val="24"/>
        </w:rPr>
      </w:pPr>
      <w:r>
        <w:rPr>
          <w:sz w:val="24"/>
          <w:szCs w:val="24"/>
        </w:rPr>
        <w:t>-e-oglasna ploča suda</w:t>
      </w:r>
      <w:r w:rsidR="00165CDF">
        <w:rPr>
          <w:color w:val="FFFFFF"/>
          <w:sz w:val="24"/>
          <w:szCs w:val="24"/>
        </w:rPr>
        <w:t xml:space="preserve">predlagatelju,  </w:t>
      </w:r>
    </w:p>
    <w:p w:rsidRDefault="00E33188" w:rsidR="00E33188"/>
    <w:sectPr w:rsidSect="00165CDF" w:rsidR="00E33188">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65CDF" w:rsidP="00165CDF" w:rsidR="00165CDF">
      <w:r>
        <w:separator/>
      </w:r>
    </w:p>
  </w:endnote>
  <w:endnote w:id="0" w:type="continuationSeparator">
    <w:p w:rsidRDefault="00165CDF" w:rsidP="00165CDF" w:rsidR="00165CD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65CDF" w:rsidP="00165CDF" w:rsidR="00165CDF">
      <w:r>
        <w:separator/>
      </w:r>
    </w:p>
  </w:footnote>
  <w:footnote w:id="0" w:type="continuationSeparator">
    <w:p w:rsidRDefault="00165CDF" w:rsidP="00165CDF" w:rsidR="00165CD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65CDF" w:rsidP="00165CDF" w:rsidR="00165CDF" w:rsidRPr="00165CDF">
    <w:pPr>
      <w:pStyle w:val="Zaglavlje"/>
      <w:tabs>
        <w:tab w:pos="7088" w:val="left"/>
      </w:tabs>
      <w:rPr>
        <w:sz w:val="24"/>
        <w:szCs w:val="24"/>
      </w:rPr>
    </w:pPr>
    <w:r>
      <w:tab/>
    </w:r>
    <w:sdt>
      <w:sdtPr>
        <w:id w:val="412058403"/>
        <w:docPartObj>
          <w:docPartGallery w:val="Page Numbers (Top of Page)"/>
          <w:docPartUnique/>
        </w:docPartObj>
      </w:sdtPr>
      <w:sdtEndPr/>
      <w:sdtContent>
        <w:r>
          <w:fldChar w:fldCharType="begin"/>
        </w:r>
        <w:r>
          <w:instrText>PAGE   \* MERGEFORMAT</w:instrText>
        </w:r>
        <w:r>
          <w:fldChar w:fldCharType="separate"/>
        </w:r>
        <w:r w:rsidR="00870011">
          <w:rPr>
            <w:noProof/>
          </w:rPr>
          <w:t>3</w:t>
        </w:r>
        <w:r>
          <w:fldChar w:fldCharType="end"/>
        </w:r>
      </w:sdtContent>
    </w:sdt>
    <w:r>
      <w:tab/>
    </w:r>
    <w:r w:rsidRPr="00165CDF">
      <w:rPr>
        <w:sz w:val="24"/>
        <w:szCs w:val="24"/>
      </w:rPr>
      <w:t>20. St-2401/16-3</w:t>
    </w:r>
  </w:p>
  <w:p w:rsidRDefault="00165CDF" w:rsidR="00165CDF">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8E31D2"/>
    <w:multiLevelType w:val="hybridMultilevel"/>
    <w:tmpl w:val="0AA850E6"/>
    <w:lvl w:tplc="AD2ACD8C" w:ilvl="0">
      <w:start w:val="14"/>
      <w:numFmt w:val="bullet"/>
      <w:lvlText w:val="-"/>
      <w:lvlJc w:val="left"/>
      <w:pPr>
        <w:ind w:hanging="360" w:left="1069"/>
      </w:pPr>
      <w:rPr>
        <w:rFonts w:cs="Times New Roman" w:eastAsia="Times New Roman" w:hAnsi="Times New Roman" w:ascii="Times New Roman" w:hint="default"/>
      </w:rPr>
    </w:lvl>
    <w:lvl w:tplc="041A0003" w:ilvl="1">
      <w:start w:val="1"/>
      <w:numFmt w:val="bullet"/>
      <w:lvlText w:val="o"/>
      <w:lvlJc w:val="left"/>
      <w:pPr>
        <w:ind w:hanging="360" w:left="1789"/>
      </w:pPr>
      <w:rPr>
        <w:rFonts w:cs="Courier New" w:hAnsi="Courier New" w:ascii="Courier New" w:hint="default"/>
      </w:rPr>
    </w:lvl>
    <w:lvl w:tplc="041A0005" w:ilvl="2">
      <w:start w:val="1"/>
      <w:numFmt w:val="bullet"/>
      <w:lvlText w:val=""/>
      <w:lvlJc w:val="left"/>
      <w:pPr>
        <w:ind w:hanging="360" w:left="2509"/>
      </w:pPr>
      <w:rPr>
        <w:rFonts w:hAnsi="Wingdings" w:ascii="Wingdings" w:hint="default"/>
      </w:rPr>
    </w:lvl>
    <w:lvl w:tplc="041A0001" w:ilvl="3">
      <w:start w:val="1"/>
      <w:numFmt w:val="bullet"/>
      <w:lvlText w:val=""/>
      <w:lvlJc w:val="left"/>
      <w:pPr>
        <w:ind w:hanging="360" w:left="3229"/>
      </w:pPr>
      <w:rPr>
        <w:rFonts w:hAnsi="Symbol" w:ascii="Symbol" w:hint="default"/>
      </w:rPr>
    </w:lvl>
    <w:lvl w:tplc="041A0003" w:ilvl="4">
      <w:start w:val="1"/>
      <w:numFmt w:val="bullet"/>
      <w:lvlText w:val="o"/>
      <w:lvlJc w:val="left"/>
      <w:pPr>
        <w:ind w:hanging="360" w:left="3949"/>
      </w:pPr>
      <w:rPr>
        <w:rFonts w:cs="Courier New" w:hAnsi="Courier New" w:ascii="Courier New" w:hint="default"/>
      </w:rPr>
    </w:lvl>
    <w:lvl w:tplc="041A0005" w:ilvl="5">
      <w:start w:val="1"/>
      <w:numFmt w:val="bullet"/>
      <w:lvlText w:val=""/>
      <w:lvlJc w:val="left"/>
      <w:pPr>
        <w:ind w:hanging="360" w:left="4669"/>
      </w:pPr>
      <w:rPr>
        <w:rFonts w:hAnsi="Wingdings" w:ascii="Wingdings" w:hint="default"/>
      </w:rPr>
    </w:lvl>
    <w:lvl w:tplc="041A0001" w:ilvl="6">
      <w:start w:val="1"/>
      <w:numFmt w:val="bullet"/>
      <w:lvlText w:val=""/>
      <w:lvlJc w:val="left"/>
      <w:pPr>
        <w:ind w:hanging="360" w:left="5389"/>
      </w:pPr>
      <w:rPr>
        <w:rFonts w:hAnsi="Symbol" w:ascii="Symbol" w:hint="default"/>
      </w:rPr>
    </w:lvl>
    <w:lvl w:tplc="041A0003" w:ilvl="7">
      <w:start w:val="1"/>
      <w:numFmt w:val="bullet"/>
      <w:lvlText w:val="o"/>
      <w:lvlJc w:val="left"/>
      <w:pPr>
        <w:ind w:hanging="360" w:left="6109"/>
      </w:pPr>
      <w:rPr>
        <w:rFonts w:cs="Courier New" w:hAnsi="Courier New" w:ascii="Courier New" w:hint="default"/>
      </w:rPr>
    </w:lvl>
    <w:lvl w:tplc="041A0005" w:ilvl="8">
      <w:start w:val="1"/>
      <w:numFmt w:val="bullet"/>
      <w:lvlText w:val=""/>
      <w:lvlJc w:val="left"/>
      <w:pPr>
        <w:ind w:hanging="360" w:left="6829"/>
      </w:pPr>
      <w:rPr>
        <w:rFonts w:hAnsi="Wingdings" w:ascii="Wingdings" w:hint="default"/>
      </w:rPr>
    </w:lvl>
  </w:abstractNum>
  <w:abstractNum w:abstractNumId="1">
    <w:nsid w:val="66E06C53"/>
    <w:multiLevelType w:val="hybridMultilevel"/>
    <w:tmpl w:val="21DC4DF0"/>
    <w:lvl w:tplc="A922147C" w:ilvl="0">
      <w:start w:val="1"/>
      <w:numFmt w:val="decimal"/>
      <w:lvlText w:val="%1."/>
      <w:lvlJc w:val="left"/>
      <w:pPr>
        <w:tabs>
          <w:tab w:pos="1363" w:val="num"/>
        </w:tabs>
        <w:ind w:hanging="360" w:left="1363"/>
      </w:pPr>
    </w:lvl>
    <w:lvl w:tplc="041A0019" w:ilvl="1">
      <w:start w:val="1"/>
      <w:numFmt w:val="lowerLetter"/>
      <w:lvlText w:val="%2."/>
      <w:lvlJc w:val="left"/>
      <w:pPr>
        <w:tabs>
          <w:tab w:pos="2083" w:val="num"/>
        </w:tabs>
        <w:ind w:hanging="360" w:left="2083"/>
      </w:pPr>
    </w:lvl>
    <w:lvl w:tplc="041A001B" w:ilvl="2">
      <w:start w:val="1"/>
      <w:numFmt w:val="lowerRoman"/>
      <w:lvlText w:val="%3."/>
      <w:lvlJc w:val="right"/>
      <w:pPr>
        <w:tabs>
          <w:tab w:pos="2803" w:val="num"/>
        </w:tabs>
        <w:ind w:hanging="180" w:left="2803"/>
      </w:pPr>
    </w:lvl>
    <w:lvl w:tplc="041A000F" w:ilvl="3">
      <w:start w:val="1"/>
      <w:numFmt w:val="decimal"/>
      <w:lvlText w:val="%4."/>
      <w:lvlJc w:val="left"/>
      <w:pPr>
        <w:tabs>
          <w:tab w:pos="3523" w:val="num"/>
        </w:tabs>
        <w:ind w:hanging="360" w:left="3523"/>
      </w:pPr>
    </w:lvl>
    <w:lvl w:tplc="041A0019" w:ilvl="4">
      <w:start w:val="1"/>
      <w:numFmt w:val="lowerLetter"/>
      <w:lvlText w:val="%5."/>
      <w:lvlJc w:val="left"/>
      <w:pPr>
        <w:tabs>
          <w:tab w:pos="4243" w:val="num"/>
        </w:tabs>
        <w:ind w:hanging="360" w:left="4243"/>
      </w:pPr>
    </w:lvl>
    <w:lvl w:tplc="041A001B" w:ilvl="5">
      <w:start w:val="1"/>
      <w:numFmt w:val="lowerRoman"/>
      <w:lvlText w:val="%6."/>
      <w:lvlJc w:val="right"/>
      <w:pPr>
        <w:tabs>
          <w:tab w:pos="4963" w:val="num"/>
        </w:tabs>
        <w:ind w:hanging="180" w:left="4963"/>
      </w:pPr>
    </w:lvl>
    <w:lvl w:tplc="041A000F" w:ilvl="6">
      <w:start w:val="1"/>
      <w:numFmt w:val="decimal"/>
      <w:lvlText w:val="%7."/>
      <w:lvlJc w:val="left"/>
      <w:pPr>
        <w:tabs>
          <w:tab w:pos="5683" w:val="num"/>
        </w:tabs>
        <w:ind w:hanging="360" w:left="5683"/>
      </w:pPr>
    </w:lvl>
    <w:lvl w:tplc="041A0019" w:ilvl="7">
      <w:start w:val="1"/>
      <w:numFmt w:val="lowerLetter"/>
      <w:lvlText w:val="%8."/>
      <w:lvlJc w:val="left"/>
      <w:pPr>
        <w:tabs>
          <w:tab w:pos="6403" w:val="num"/>
        </w:tabs>
        <w:ind w:hanging="360" w:left="6403"/>
      </w:pPr>
    </w:lvl>
    <w:lvl w:tplc="041A001B" w:ilvl="8">
      <w:start w:val="1"/>
      <w:numFmt w:val="lowerRoman"/>
      <w:lvlText w:val="%9."/>
      <w:lvlJc w:val="right"/>
      <w:pPr>
        <w:tabs>
          <w:tab w:pos="7123" w:val="num"/>
        </w:tabs>
        <w:ind w:hanging="180" w:left="7123"/>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F6715"/>
    <w:rsid w:val="00165CDF"/>
    <w:rsid w:val="00331AD6"/>
    <w:rsid w:val="005673D0"/>
    <w:rsid w:val="00870011"/>
    <w:rsid w:val="00BE3772"/>
    <w:rsid w:val="00C753E3"/>
    <w:rsid w:val="00CE0253"/>
    <w:rsid w:val="00E33188"/>
    <w:rsid w:val="00FF671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65CDF"/>
    <w:pPr>
      <w:overflowPunct w:val="false"/>
      <w:autoSpaceDE w:val="false"/>
      <w:autoSpaceDN w:val="false"/>
      <w:adjustRightInd w:val="false"/>
    </w:pPr>
    <w:rPr>
      <w:rFonts w:cs="Times New Roman" w:eastAsia="Times New Roman"/>
      <w:sz w:val="20"/>
      <w:szCs w:val="20"/>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semiHidden/>
    <w:unhideWhenUsed/>
    <w:rsid w:val="00165CDF"/>
    <w:pPr>
      <w:overflowPunct/>
      <w:autoSpaceDE/>
      <w:autoSpaceDN/>
      <w:adjustRightInd/>
    </w:pPr>
    <w:rPr>
      <w:rFonts w:cs="Arial" w:hAnsi="Arial" w:ascii="Arial"/>
      <w:sz w:val="22"/>
      <w:szCs w:val="24"/>
    </w:rPr>
  </w:style>
  <w:style w:customStyle="true" w:styleId="TijelotekstaChar" w:type="character">
    <w:name w:val="Tijelo teksta Char"/>
    <w:basedOn w:val="Zadanifontodlomka"/>
    <w:link w:val="Tijeloteksta"/>
    <w:semiHidden/>
    <w:rsid w:val="00165CDF"/>
    <w:rPr>
      <w:rFonts w:cs="Arial" w:eastAsia="Times New Roman" w:hAnsi="Arial" w:ascii="Arial"/>
      <w:sz w:val="22"/>
      <w:szCs w:val="24"/>
      <w:lang w:eastAsia="hr-HR"/>
    </w:rPr>
  </w:style>
  <w:style w:styleId="Odlomakpopisa" w:type="paragraph">
    <w:name w:val="List Paragraph"/>
    <w:basedOn w:val="Normal"/>
    <w:uiPriority w:val="34"/>
    <w:qFormat/>
    <w:rsid w:val="00165CDF"/>
    <w:pPr>
      <w:ind w:left="720"/>
      <w:contextualSpacing/>
    </w:pPr>
  </w:style>
  <w:style w:styleId="Tekstbalonia" w:type="paragraph">
    <w:name w:val="Balloon Text"/>
    <w:basedOn w:val="Normal"/>
    <w:link w:val="TekstbaloniaChar"/>
    <w:uiPriority w:val="99"/>
    <w:semiHidden/>
    <w:unhideWhenUsed/>
    <w:rsid w:val="00165CDF"/>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65CDF"/>
    <w:rPr>
      <w:rFonts w:cs="Tahoma" w:eastAsia="Times New Roman" w:hAnsi="Tahoma" w:ascii="Tahoma"/>
      <w:sz w:val="16"/>
      <w:szCs w:val="16"/>
      <w:lang w:eastAsia="hr-HR"/>
    </w:rPr>
  </w:style>
  <w:style w:styleId="Zaglavlje" w:type="paragraph">
    <w:name w:val="header"/>
    <w:basedOn w:val="Normal"/>
    <w:link w:val="ZaglavljeChar"/>
    <w:uiPriority w:val="99"/>
    <w:unhideWhenUsed/>
    <w:rsid w:val="00165CDF"/>
    <w:pPr>
      <w:tabs>
        <w:tab w:pos="4536" w:val="center"/>
        <w:tab w:pos="9072" w:val="right"/>
      </w:tabs>
    </w:pPr>
  </w:style>
  <w:style w:customStyle="true" w:styleId="ZaglavljeChar" w:type="character">
    <w:name w:val="Zaglavlje Char"/>
    <w:basedOn w:val="Zadanifontodlomka"/>
    <w:link w:val="Zaglavlje"/>
    <w:uiPriority w:val="99"/>
    <w:rsid w:val="00165CDF"/>
    <w:rPr>
      <w:rFonts w:cs="Times New Roman" w:eastAsia="Times New Roman"/>
      <w:sz w:val="20"/>
      <w:szCs w:val="20"/>
      <w:lang w:eastAsia="hr-HR"/>
    </w:rPr>
  </w:style>
  <w:style w:styleId="Podnoje" w:type="paragraph">
    <w:name w:val="footer"/>
    <w:basedOn w:val="Normal"/>
    <w:link w:val="PodnojeChar"/>
    <w:uiPriority w:val="99"/>
    <w:unhideWhenUsed/>
    <w:rsid w:val="00165CDF"/>
    <w:pPr>
      <w:tabs>
        <w:tab w:pos="4536" w:val="center"/>
        <w:tab w:pos="9072" w:val="right"/>
      </w:tabs>
    </w:pPr>
  </w:style>
  <w:style w:customStyle="true" w:styleId="PodnojeChar" w:type="character">
    <w:name w:val="Podnožje Char"/>
    <w:basedOn w:val="Zadanifontodlomka"/>
    <w:link w:val="Podnoje"/>
    <w:uiPriority w:val="99"/>
    <w:rsid w:val="00165CDF"/>
    <w:rPr>
      <w:rFonts w:cs="Times New Roman" w:eastAsia="Times New Roman"/>
      <w:sz w:val="20"/>
      <w:szCs w:val="20"/>
      <w:lang w:eastAsia="hr-HR"/>
    </w:rPr>
  </w:style>
  <w:style w:styleId="Tekstrezerviranogmjesta" w:type="character">
    <w:name w:val="Placeholder Text"/>
    <w:basedOn w:val="Zadanifontodlomka"/>
    <w:uiPriority w:val="99"/>
    <w:semiHidden/>
    <w:rsid w:val="00870011"/>
    <w:rPr>
      <w:color w:val="808080"/>
      <w:bdr w:space="0" w:sz="0" w:color="auto" w:val="none"/>
      <w:shd w:fill="auto" w:color="auto" w:val="clear"/>
    </w:rPr>
  </w:style>
  <w:style w:customStyle="true" w:styleId="eSPISCCParagraphDefaultFont" w:type="character">
    <w:name w:val="eSPIS_CC_Paragraph Default Font"/>
    <w:basedOn w:val="Zadanifontodlomka"/>
    <w:rsid w:val="00870011"/>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870011"/>
    <w:rPr>
      <w:noProof/>
      <w:bdr w:space="0" w:sz="0" w:color="auto" w:val="none"/>
      <w:shd w:fill="FFFFCC" w:color="auto" w:val="clear"/>
      <w:lang w:val="hr-HR"/>
    </w:rPr>
  </w:style>
  <w:style w:customStyle="true" w:styleId="PozadinaSvijetloCrvena" w:type="character">
    <w:name w:val="Pozadina_SvijetloCrvena"/>
    <w:basedOn w:val="eSPISCCParagraphDefaultFont"/>
    <w:rsid w:val="00870011"/>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870011"/>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65CDF"/>
    <w:pPr>
      <w:overflowPunct w:val="0"/>
      <w:autoSpaceDE w:val="0"/>
      <w:autoSpaceDN w:val="0"/>
      <w:adjustRightInd w:val="0"/>
    </w:pPr>
    <w:rPr>
      <w:rFonts w:cs="Times New Roman" w:eastAsia="Times New Roman"/>
      <w:sz w:val="20"/>
      <w:szCs w:val="20"/>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semiHidden/>
    <w:unhideWhenUsed/>
    <w:rsid w:val="00165CDF"/>
    <w:pPr>
      <w:overflowPunct/>
      <w:autoSpaceDE/>
      <w:autoSpaceDN/>
      <w:adjustRightInd/>
    </w:pPr>
    <w:rPr>
      <w:rFonts w:ascii="Arial" w:cs="Arial" w:hAnsi="Arial"/>
      <w:sz w:val="22"/>
      <w:szCs w:val="24"/>
    </w:rPr>
  </w:style>
  <w:style w:customStyle="1" w:styleId="TijelotekstaChar" w:type="character">
    <w:name w:val="Tijelo teksta Char"/>
    <w:basedOn w:val="Zadanifontodlomka"/>
    <w:link w:val="Tijeloteksta"/>
    <w:semiHidden/>
    <w:rsid w:val="00165CDF"/>
    <w:rPr>
      <w:rFonts w:ascii="Arial" w:cs="Arial" w:eastAsia="Times New Roman" w:hAnsi="Arial"/>
      <w:sz w:val="22"/>
      <w:szCs w:val="24"/>
      <w:lang w:eastAsia="hr-HR"/>
    </w:rPr>
  </w:style>
  <w:style w:styleId="Odlomakpopisa" w:type="paragraph">
    <w:name w:val="List Paragraph"/>
    <w:basedOn w:val="Normal"/>
    <w:uiPriority w:val="34"/>
    <w:qFormat/>
    <w:rsid w:val="00165CDF"/>
    <w:pPr>
      <w:ind w:left="720"/>
      <w:contextualSpacing/>
    </w:pPr>
  </w:style>
  <w:style w:styleId="Tekstbalonia" w:type="paragraph">
    <w:name w:val="Balloon Text"/>
    <w:basedOn w:val="Normal"/>
    <w:link w:val="TekstbaloniaChar"/>
    <w:uiPriority w:val="99"/>
    <w:semiHidden/>
    <w:unhideWhenUsed/>
    <w:rsid w:val="00165CDF"/>
    <w:rPr>
      <w:rFonts w:ascii="Tahoma" w:cs="Tahoma" w:hAnsi="Tahoma"/>
      <w:sz w:val="16"/>
      <w:szCs w:val="16"/>
    </w:rPr>
  </w:style>
  <w:style w:customStyle="1" w:styleId="TekstbaloniaChar" w:type="character">
    <w:name w:val="Tekst balončića Char"/>
    <w:basedOn w:val="Zadanifontodlomka"/>
    <w:link w:val="Tekstbalonia"/>
    <w:uiPriority w:val="99"/>
    <w:semiHidden/>
    <w:rsid w:val="00165CDF"/>
    <w:rPr>
      <w:rFonts w:ascii="Tahoma" w:cs="Tahoma" w:eastAsia="Times New Roman" w:hAnsi="Tahoma"/>
      <w:sz w:val="16"/>
      <w:szCs w:val="16"/>
      <w:lang w:eastAsia="hr-HR"/>
    </w:rPr>
  </w:style>
  <w:style w:styleId="Zaglavlje" w:type="paragraph">
    <w:name w:val="header"/>
    <w:basedOn w:val="Normal"/>
    <w:link w:val="ZaglavljeChar"/>
    <w:uiPriority w:val="99"/>
    <w:unhideWhenUsed/>
    <w:rsid w:val="00165CDF"/>
    <w:pPr>
      <w:tabs>
        <w:tab w:pos="4536" w:val="center"/>
        <w:tab w:pos="9072" w:val="right"/>
      </w:tabs>
    </w:pPr>
  </w:style>
  <w:style w:customStyle="1" w:styleId="ZaglavljeChar" w:type="character">
    <w:name w:val="Zaglavlje Char"/>
    <w:basedOn w:val="Zadanifontodlomka"/>
    <w:link w:val="Zaglavlje"/>
    <w:uiPriority w:val="99"/>
    <w:rsid w:val="00165CDF"/>
    <w:rPr>
      <w:rFonts w:cs="Times New Roman" w:eastAsia="Times New Roman"/>
      <w:sz w:val="20"/>
      <w:szCs w:val="20"/>
      <w:lang w:eastAsia="hr-HR"/>
    </w:rPr>
  </w:style>
  <w:style w:styleId="Podnoje" w:type="paragraph">
    <w:name w:val="footer"/>
    <w:basedOn w:val="Normal"/>
    <w:link w:val="PodnojeChar"/>
    <w:uiPriority w:val="99"/>
    <w:unhideWhenUsed/>
    <w:rsid w:val="00165CDF"/>
    <w:pPr>
      <w:tabs>
        <w:tab w:pos="4536" w:val="center"/>
        <w:tab w:pos="9072" w:val="right"/>
      </w:tabs>
    </w:pPr>
  </w:style>
  <w:style w:customStyle="1" w:styleId="PodnojeChar" w:type="character">
    <w:name w:val="Podnožje Char"/>
    <w:basedOn w:val="Zadanifontodlomka"/>
    <w:link w:val="Podnoje"/>
    <w:uiPriority w:val="99"/>
    <w:rsid w:val="00165CDF"/>
    <w:rPr>
      <w:rFonts w:cs="Times New Roman" w:eastAsia="Times New Roman"/>
      <w:sz w:val="20"/>
      <w:szCs w:val="20"/>
      <w:lang w:eastAsia="hr-HR"/>
    </w:rPr>
  </w:style>
  <w:style w:styleId="Tekstrezerviranogmjesta" w:type="character">
    <w:name w:val="Placeholder Text"/>
    <w:basedOn w:val="Zadanifontodlomka"/>
    <w:uiPriority w:val="99"/>
    <w:semiHidden/>
    <w:rsid w:val="00870011"/>
    <w:rPr>
      <w:color w:val="808080"/>
      <w:bdr w:color="auto" w:space="0" w:sz="0" w:val="none"/>
      <w:shd w:color="auto" w:fill="auto" w:val="clear"/>
    </w:rPr>
  </w:style>
  <w:style w:customStyle="1" w:styleId="eSPISCCParagraphDefaultFont" w:type="character">
    <w:name w:val="eSPIS_CC_Paragraph Default Font"/>
    <w:basedOn w:val="Zadanifontodlomka"/>
    <w:rsid w:val="00870011"/>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870011"/>
    <w:rPr>
      <w:noProof/>
      <w:bdr w:color="auto" w:space="0" w:sz="0" w:val="none"/>
      <w:shd w:color="auto" w:fill="FFFFCC" w:val="clear"/>
      <w:lang w:val="hr-HR"/>
    </w:rPr>
  </w:style>
  <w:style w:customStyle="1" w:styleId="PozadinaSvijetloCrvena" w:type="character">
    <w:name w:val="Pozadina_SvijetloCrvena"/>
    <w:basedOn w:val="eSPISCCParagraphDefaultFont"/>
    <w:rsid w:val="00870011"/>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870011"/>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753038523">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7. studenog 2017.</izvorni_sadrzaj>
    <derivirana_varijabla naziv="DomainObject.DatumDonosenjaOdluke_1">7.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2401</izvorni_sadrzaj>
    <derivirana_varijabla naziv="DomainObject.Predmet.Broj_1">2401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ožujka 2016.</izvorni_sadrzaj>
    <derivirana_varijabla naziv="DomainObject.Predmet.DatumOsnivanja_1">14. ožujka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St-2401/2016</izvorni_sadrzaj>
    <derivirana_varijabla naziv="DomainObject.Predmet.OznakaBroj_1">St-2401/2016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poslovni subjekt se prema OIB-u niti po nazivu ne pronalazi u sudskom registru</izvorni_sadrzaj>
    <derivirana_varijabla naziv="DomainObject.Predmet.PrimjedbaSuca_1">poslovni subjekt se prema OIB-u niti po nazivu ne pronalazi u sudskom registru</derivirana_varijabla>
  </DomainObject.Predmet.PrimjedbaSuca>
  <DomainObject.Predmet.ProtustrankaFormated>
    <izvorni_sadrzaj>  STARIMPEX poduzeće za unutrašnju i vanjsku trgovinu d.o.o.</izvorni_sadrzaj>
    <derivirana_varijabla naziv="DomainObject.Predmet.ProtustrankaFormated_1">  STARIMPEX poduzeće za unutrašnju i vanjsku trgovinu d.o.o.</derivirana_varijabla>
  </DomainObject.Predmet.ProtustrankaFormated>
  <DomainObject.Predmet.ProtustrankaFormatedOIB>
    <izvorni_sadrzaj>  STARIMPEX poduzeće za unutrašnju i vanjsku trgovinu d.o.o., OIB 24621094640</izvorni_sadrzaj>
    <derivirana_varijabla naziv="DomainObject.Predmet.ProtustrankaFormatedOIB_1">  STARIMPEX poduzeće za unutrašnju i vanjsku trgovinu d.o.o., OIB 24621094640</derivirana_varijabla>
  </DomainObject.Predmet.ProtustrankaFormatedOIB>
  <DomainObject.Predmet.ProtustrankaFormatedWithAdress>
    <izvorni_sadrzaj> STARIMPEX poduzeće za unutrašnju i vanjsku trgovinu d.o.o., Perkovčeva 76, 10430 Samobor</izvorni_sadrzaj>
    <derivirana_varijabla naziv="DomainObject.Predmet.ProtustrankaFormatedWithAdress_1"> STARIMPEX poduzeće za unutrašnju i vanjsku trgovinu d.o.o., Perkovčeva 76, 10430 Samobor</derivirana_varijabla>
  </DomainObject.Predmet.ProtustrankaFormatedWithAdress>
  <DomainObject.Predmet.ProtustrankaFormatedWithAdressOIB>
    <izvorni_sadrzaj> STARIMPEX poduzeće za unutrašnju i vanjsku trgovinu d.o.o., OIB 24621094640, Perkovčeva 76, 10430 Samobor</izvorni_sadrzaj>
    <derivirana_varijabla naziv="DomainObject.Predmet.ProtustrankaFormatedWithAdressOIB_1"> STARIMPEX poduzeće za unutrašnju i vanjsku trgovinu d.o.o., OIB 24621094640, Perkovčeva 76, 10430 Samobor</derivirana_varijabla>
  </DomainObject.Predmet.ProtustrankaFormatedWithAdressOIB>
  <DomainObject.Predmet.ProtustrankaWithAdress>
    <izvorni_sadrzaj>STARIMPEX poduzeće za unutrašnju i vanjsku trgovinu d.o.o. Perkovčeva 76, 10430 Samobor</izvorni_sadrzaj>
    <derivirana_varijabla naziv="DomainObject.Predmet.ProtustrankaWithAdress_1">STARIMPEX poduzeće za unutrašnju i vanjsku trgovinu d.o.o. Perkovčeva 76, 10430 Samobor</derivirana_varijabla>
  </DomainObject.Predmet.ProtustrankaWithAdress>
  <DomainObject.Predmet.ProtustrankaWithAdressOIB>
    <izvorni_sadrzaj>STARIMPEX poduzeće za unutrašnju i vanjsku trgovinu d.o.o., OIB 24621094640, Perkovčeva 76, 10430 Samobor</izvorni_sadrzaj>
    <derivirana_varijabla naziv="DomainObject.Predmet.ProtustrankaWithAdressOIB_1">STARIMPEX poduzeće za unutrašnju i vanjsku trgovinu d.o.o., OIB 24621094640, Perkovčeva 76, 10430 Samobor</derivirana_varijabla>
  </DomainObject.Predmet.ProtustrankaWithAdressOIB>
  <DomainObject.Predmet.ProtustrankaNazivFormated>
    <izvorni_sadrzaj>STARIMPEX poduzeće za unutrašnju i vanjsku trgovinu d.o.o.</izvorni_sadrzaj>
    <derivirana_varijabla naziv="DomainObject.Predmet.ProtustrankaNazivFormated_1">STARIMPEX poduzeće za unutrašnju i vanjsku trgovinu d.o.o.</derivirana_varijabla>
  </DomainObject.Predmet.ProtustrankaNazivFormated>
  <DomainObject.Predmet.ProtustrankaNazivFormatedOIB>
    <izvorni_sadrzaj>STARIMPEX poduzeće za unutrašnju i vanjsku trgovinu d.o.o., OIB 24621094640</izvorni_sadrzaj>
    <derivirana_varijabla naziv="DomainObject.Predmet.ProtustrankaNazivFormatedOIB_1">STARIMPEX poduzeće za unutrašnju i vanjsku trgovinu d.o.o., OIB 24621094640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20.St - L. Butigan</izvorni_sadrzaj>
    <derivirana_varijabla naziv="DomainObject.Predmet.Referada.Naziv_1">20.St - L. Butigan</derivirana_varijabla>
  </DomainObject.Predmet.Referada.Naziv>
  <DomainObject.Predmet.Referada.Oznaka>
    <izvorni_sadrzaj>20. St</izvorni_sadrzaj>
    <derivirana_varijabla naziv="DomainObject.Predmet.Referada.Oznaka_1">20. St</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20.St - L. Butigan</izvorni_sadrzaj>
    <derivirana_varijabla naziv="DomainObject.Predmet.TrenutnaLokacijaSpisa.Naziv_1">20.St -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Antonija Fuš</izvorni_sadrzaj>
    <derivirana_varijabla naziv="DomainObject.Predmet.Zapisnicar_1">Antonija Fuš</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STARIMPEX poduzeće za unutrašnju i vanjsku trgovinu d.o.o.</item>
    </izvorni_sadrzaj>
    <derivirana_varijabla naziv="DomainObject.Predmet.ProtuStrankaListFormated_1">
      <item>STARIMPEX poduzeće za unutrašnju i vanjsku trgovinu d.o.o.</item>
    </derivirana_varijabla>
  </DomainObject.Predmet.ProtuStrankaListFormated>
  <DomainObject.Predmet.ProtuStrankaListFormatedOIB>
    <izvorni_sadrzaj>
      <item>STARIMPEX poduzeće za unutrašnju i vanjsku trgovinu d.o.o., OIB 24621094640</item>
    </izvorni_sadrzaj>
    <derivirana_varijabla naziv="DomainObject.Predmet.ProtuStrankaListFormatedOIB_1">
      <item>STARIMPEX poduzeće za unutrašnju i vanjsku trgovinu d.o.o., OIB 24621094640</item>
    </derivirana_varijabla>
  </DomainObject.Predmet.ProtuStrankaListFormatedOIB>
  <DomainObject.Predmet.ProtuStrankaListFormatedWithAdress>
    <izvorni_sadrzaj>
      <item>STARIMPEX poduzeće za unutrašnju i vanjsku trgovinu d.o.o., Perkovčeva 76, 10430 Samobor</item>
    </izvorni_sadrzaj>
    <derivirana_varijabla naziv="DomainObject.Predmet.ProtuStrankaListFormatedWithAdress_1">
      <item>STARIMPEX poduzeće za unutrašnju i vanjsku trgovinu d.o.o., Perkovčeva 76, 10430 Samobor</item>
    </derivirana_varijabla>
  </DomainObject.Predmet.ProtuStrankaListFormatedWithAdress>
  <DomainObject.Predmet.ProtuStrankaListFormatedWithAdressOIB>
    <izvorni_sadrzaj>
      <item>STARIMPEX poduzeće za unutrašnju i vanjsku trgovinu d.o.o., OIB 24621094640, Perkovčeva 76, 10430 Samobor</item>
    </izvorni_sadrzaj>
    <derivirana_varijabla naziv="DomainObject.Predmet.ProtuStrankaListFormatedWithAdressOIB_1">
      <item>STARIMPEX poduzeće za unutrašnju i vanjsku trgovinu d.o.o., OIB 24621094640, Perkovčeva 76, 10430 Samobor</item>
    </derivirana_varijabla>
  </DomainObject.Predmet.ProtuStrankaListFormatedWithAdressOIB>
  <DomainObject.Predmet.ProtuStrankaListNazivFormated>
    <izvorni_sadrzaj>
      <item>STARIMPEX poduzeće za unutrašnju i vanjsku trgovinu d.o.o.</item>
    </izvorni_sadrzaj>
    <derivirana_varijabla naziv="DomainObject.Predmet.ProtuStrankaListNazivFormated_1">
      <item>STARIMPEX poduzeće za unutrašnju i vanjsku trgovinu d.o.o.</item>
    </derivirana_varijabla>
  </DomainObject.Predmet.ProtuStrankaListNazivFormated>
  <DomainObject.Predmet.ProtuStrankaListNazivFormatedOIB>
    <izvorni_sadrzaj>
      <item>STARIMPEX poduzeće za unutrašnju i vanjsku trgovinu d.o.o., OIB 24621094640</item>
    </izvorni_sadrzaj>
    <derivirana_varijabla naziv="DomainObject.Predmet.ProtuStrankaListNazivFormatedOIB_1">
      <item>STARIMPEX poduzeće za unutrašnju i vanjsku trgovinu d.o.o., OIB 24621094640</item>
    </derivirana_varijabla>
  </DomainObject.Predmet.ProtuStrankaListNazivFormatedOIB>
  <DomainObject.Predmet.OstaliListFormated>
    <izvorni_sadrzaj>
      <item>Vesna Benda</item>
    </izvorni_sadrzaj>
    <derivirana_varijabla naziv="DomainObject.Predmet.OstaliListFormated_1">
      <item>Vesna Benda</item>
    </derivirana_varijabla>
  </DomainObject.Predmet.OstaliListFormated>
  <DomainObject.Predmet.OstaliListFormatedOIB>
    <izvorni_sadrzaj>
      <item>Vesna Benda, OIB 66349206048</item>
    </izvorni_sadrzaj>
    <derivirana_varijabla naziv="DomainObject.Predmet.OstaliListFormatedOIB_1">
      <item>Vesna Benda, OIB 66349206048</item>
    </derivirana_varijabla>
  </DomainObject.Predmet.OstaliListFormatedOIB>
  <DomainObject.Predmet.OstaliListFormatedWithAdress>
    <izvorni_sadrzaj>
      <item>Vesna Benda, Bobovica 38, 10430 Bobovica</item>
    </izvorni_sadrzaj>
    <derivirana_varijabla naziv="DomainObject.Predmet.OstaliListFormatedWithAdress_1">
      <item>Vesna Benda, Bobovica 38, 10430 Bobovica</item>
    </derivirana_varijabla>
  </DomainObject.Predmet.OstaliListFormatedWithAdress>
  <DomainObject.Predmet.OstaliListFormatedWithAdressOIB>
    <izvorni_sadrzaj>
      <item>Vesna Benda, OIB 66349206048, Bobovica 38, 10430 Bobovica</item>
    </izvorni_sadrzaj>
    <derivirana_varijabla naziv="DomainObject.Predmet.OstaliListFormatedWithAdressOIB_1">
      <item>Vesna Benda, OIB 66349206048, Bobovica 38, 10430 Bobovica</item>
    </derivirana_varijabla>
  </DomainObject.Predmet.OstaliListFormatedWithAdressOIB>
  <DomainObject.Predmet.OstaliListNazivFormated>
    <izvorni_sadrzaj>
      <item>Vesna Benda</item>
    </izvorni_sadrzaj>
    <derivirana_varijabla naziv="DomainObject.Predmet.OstaliListNazivFormated_1">
      <item>Vesna Benda</item>
    </derivirana_varijabla>
  </DomainObject.Predmet.OstaliListNazivFormated>
  <DomainObject.Predmet.OstaliListNazivFormatedOIB>
    <izvorni_sadrzaj>
      <item>Vesna Benda, OIB 66349206048</item>
    </izvorni_sadrzaj>
    <derivirana_varijabla naziv="DomainObject.Predmet.OstaliListNazivFormatedOIB_1">
      <item>Vesna Benda, OIB 66349206048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studenog 2017.</izvorni_sadrzaj>
    <derivirana_varijabla naziv="DomainObject.Datum_1">7. studenog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STARIMPEX poduzeće za unutrašnju i vanjsku trgovinu d.o.o.</izvorni_sadrzaj>
    <derivirana_varijabla naziv="DomainObject.Predmet.ProtustrankaIDrugi_1">STARIMPEX poduzeće za unutrašnju i vanjsku trgovinu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STARIMPEX poduzeće za unutrašnju i vanjsku trgovinu d.o.o., OIB 24621094640, Perkovčeva 76, 10430 Samobor</izvorni_sadrzaj>
    <derivirana_varijabla naziv="DomainObject.Predmet.ProtustrankaIDrugiAdressOIB_1">STARIMPEX poduzeće za unutrašnju i vanjsku trgovinu d.o.o., OIB 24621094640, Perkovčeva 76, 10430 Samobor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STARIMPEX poduzeće za unutrašnju i vanjsku trgovinu d.o.o.</item>
      <item>Vesna Benda</item>
    </izvorni_sadrzaj>
    <derivirana_varijabla naziv="DomainObject.Predmet.SudioniciListNaziv_1">
      <item>FINA Regionalni centar Zagreb</item>
      <item>STARIMPEX poduzeće za unutrašnju i vanjsku trgovinu d.o.o.</item>
      <item>Vesna Benda</item>
    </derivirana_varijabla>
  </DomainObject.Predmet.SudioniciListNaziv>
  <DomainObject.Predmet.SudioniciListAdressOIB>
    <izvorni_sadrzaj>
      <item>FINA Regionalni centar Zagreb, OIB 85821130368, Trg svibanjskih žrtava 1995. 1,10000 Zagreb</item>
      <item>STARIMPEX poduzeće za unutrašnju i vanjsku trgovinu d.o.o., OIB 24621094640, Perkovčeva 76,10430 Samobor</item>
      <item>Vesna Benda, OIB 66349206048, Bobovica 38,10430 Bobovica</item>
    </izvorni_sadrzaj>
    <derivirana_varijabla naziv="DomainObject.Predmet.SudioniciListAdressOIB_1">
      <item>FINA Regionalni centar Zagreb, OIB 85821130368, Trg svibanjskih žrtava 1995. 1,10000 Zagreb</item>
      <item>STARIMPEX poduzeće za unutrašnju i vanjsku trgovinu d.o.o., OIB 24621094640, Perkovčeva 76,10430 Samobor</item>
      <item>Vesna Benda, OIB 66349206048, Bobovica 38,10430 Bobovica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24621094640</item>
      <item>, OIB 66349206048</item>
    </izvorni_sadrzaj>
    <derivirana_varijabla naziv="DomainObject.Predmet.SudioniciListNazivOIB_1">
      <item>, OIB 85821130368</item>
      <item>, OIB 24621094640</item>
      <item>, OIB 66349206048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1077</properties:Words>
  <properties:Characters>5803</properties:Characters>
  <properties:Lines>146</properties:Lines>
  <properties:Paragraphs>50</properties:Paragraphs>
  <properties:TotalTime>13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7182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2017-11-07T13:46:00Z</dcterms:created>
  <dc:creator>Valentina Kranjčić</dc:creator>
  <dc:description/>
  <cp:keywords/>
  <cp:lastModifiedBy>Valentina Kranjčić</cp:lastModifiedBy>
  <cp:lastPrinted>2017-11-07T14:02:00Z</cp:lastPrinted>
  <dcterms:modified xmlns:xsi="http://www.w3.org/2001/XMLSchema-instance" xsi:type="dcterms:W3CDTF">2017-11-07T14:03:00Z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