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B2395" w14:textId="77777777" w:rsidR="00CA4720" w:rsidRPr="00B3040C" w:rsidRDefault="00B3040C">
      <w:pPr>
        <w:spacing w:after="449" w:line="246" w:lineRule="auto"/>
        <w:ind w:left="0" w:right="3374" w:firstLine="0"/>
        <w:jc w:val="left"/>
        <w:rPr>
          <w:rFonts w:ascii="Times New Roman" w:hAnsi="Times New Roman" w:cs="Times New Roman"/>
          <w:szCs w:val="24"/>
        </w:rPr>
      </w:pPr>
      <w:r w:rsidRPr="00B3040C">
        <w:rPr>
          <w:rFonts w:ascii="Times New Roman" w:hAnsi="Times New Roman" w:cs="Times New Roman"/>
          <w:i/>
          <w:color w:val="BFBFBF"/>
          <w:szCs w:val="24"/>
        </w:rPr>
        <w:t xml:space="preserve">Bilješke uz financijske izvještaje sastavljene su od strane: </w:t>
      </w:r>
      <w:proofErr w:type="spellStart"/>
      <w:r w:rsidRPr="00B3040C">
        <w:rPr>
          <w:rFonts w:ascii="Times New Roman" w:hAnsi="Times New Roman" w:cs="Times New Roman"/>
          <w:i/>
          <w:color w:val="BFBFBF"/>
          <w:szCs w:val="24"/>
        </w:rPr>
        <w:t>Sepono</w:t>
      </w:r>
      <w:proofErr w:type="spellEnd"/>
      <w:r w:rsidRPr="00B3040C">
        <w:rPr>
          <w:rFonts w:ascii="Times New Roman" w:hAnsi="Times New Roman" w:cs="Times New Roman"/>
          <w:i/>
          <w:color w:val="BFBFBF"/>
          <w:szCs w:val="24"/>
        </w:rPr>
        <w:t xml:space="preserve"> </w:t>
      </w:r>
      <w:proofErr w:type="spellStart"/>
      <w:r w:rsidRPr="00B3040C">
        <w:rPr>
          <w:rFonts w:ascii="Times New Roman" w:hAnsi="Times New Roman" w:cs="Times New Roman"/>
          <w:i/>
          <w:color w:val="BFBFBF"/>
          <w:szCs w:val="24"/>
        </w:rPr>
        <w:t>j.d.o.o</w:t>
      </w:r>
      <w:proofErr w:type="spellEnd"/>
      <w:r w:rsidRPr="00B3040C">
        <w:rPr>
          <w:rFonts w:ascii="Times New Roman" w:hAnsi="Times New Roman" w:cs="Times New Roman"/>
          <w:i/>
          <w:color w:val="BFBFBF"/>
          <w:szCs w:val="24"/>
        </w:rPr>
        <w:t xml:space="preserve">., </w:t>
      </w:r>
      <w:proofErr w:type="spellStart"/>
      <w:r w:rsidRPr="00B3040C">
        <w:rPr>
          <w:rFonts w:ascii="Times New Roman" w:hAnsi="Times New Roman" w:cs="Times New Roman"/>
          <w:i/>
          <w:color w:val="BFBFBF"/>
          <w:szCs w:val="24"/>
        </w:rPr>
        <w:t>Selčinska</w:t>
      </w:r>
      <w:proofErr w:type="spellEnd"/>
      <w:r w:rsidRPr="00B3040C">
        <w:rPr>
          <w:rFonts w:ascii="Times New Roman" w:hAnsi="Times New Roman" w:cs="Times New Roman"/>
          <w:i/>
          <w:color w:val="BFBFBF"/>
          <w:szCs w:val="24"/>
        </w:rPr>
        <w:t xml:space="preserve"> 6, Sesvete</w:t>
      </w:r>
    </w:p>
    <w:p w14:paraId="3410ECD6" w14:textId="77777777" w:rsidR="00CA4720" w:rsidRPr="00B3040C" w:rsidRDefault="00B3040C">
      <w:pPr>
        <w:spacing w:after="0" w:line="265" w:lineRule="auto"/>
        <w:ind w:left="-5"/>
        <w:jc w:val="left"/>
        <w:rPr>
          <w:rFonts w:ascii="Times New Roman" w:hAnsi="Times New Roman" w:cs="Times New Roman"/>
          <w:szCs w:val="24"/>
        </w:rPr>
      </w:pPr>
      <w:r w:rsidRPr="00B3040C">
        <w:rPr>
          <w:rFonts w:ascii="Times New Roman" w:hAnsi="Times New Roman" w:cs="Times New Roman"/>
          <w:b/>
          <w:szCs w:val="24"/>
        </w:rPr>
        <w:t>CLARITA USLUGE d.o.o.</w:t>
      </w:r>
    </w:p>
    <w:p w14:paraId="085AA231" w14:textId="77777777" w:rsidR="00CA4720" w:rsidRPr="00B3040C" w:rsidRDefault="00B3040C">
      <w:pPr>
        <w:spacing w:after="631" w:line="265" w:lineRule="auto"/>
        <w:ind w:left="-5"/>
        <w:jc w:val="left"/>
        <w:rPr>
          <w:rFonts w:ascii="Times New Roman" w:hAnsi="Times New Roman" w:cs="Times New Roman"/>
          <w:szCs w:val="24"/>
        </w:rPr>
      </w:pPr>
      <w:r w:rsidRPr="00B3040C">
        <w:rPr>
          <w:rFonts w:ascii="Times New Roman" w:hAnsi="Times New Roman" w:cs="Times New Roman"/>
          <w:b/>
          <w:szCs w:val="24"/>
        </w:rPr>
        <w:t>Sesvete, Ulica krizantema 12</w:t>
      </w:r>
    </w:p>
    <w:p w14:paraId="180CDA1D" w14:textId="77777777" w:rsidR="00CA4720" w:rsidRPr="00B3040C" w:rsidRDefault="00B3040C">
      <w:pPr>
        <w:spacing w:after="0" w:line="265" w:lineRule="auto"/>
        <w:ind w:right="5"/>
        <w:jc w:val="center"/>
        <w:rPr>
          <w:rFonts w:ascii="Times New Roman" w:hAnsi="Times New Roman" w:cs="Times New Roman"/>
          <w:szCs w:val="24"/>
        </w:rPr>
      </w:pPr>
      <w:r w:rsidRPr="00B3040C">
        <w:rPr>
          <w:rFonts w:ascii="Times New Roman" w:hAnsi="Times New Roman" w:cs="Times New Roman"/>
          <w:b/>
          <w:color w:val="2E75B5"/>
          <w:szCs w:val="24"/>
        </w:rPr>
        <w:t>Bilješke uz financijske izvještaje poduzetnika za razdoblje</w:t>
      </w:r>
    </w:p>
    <w:p w14:paraId="401859BC" w14:textId="77777777" w:rsidR="00CA4720" w:rsidRPr="00B3040C" w:rsidRDefault="00B3040C">
      <w:pPr>
        <w:spacing w:after="537" w:line="265" w:lineRule="auto"/>
        <w:jc w:val="center"/>
        <w:rPr>
          <w:rFonts w:ascii="Times New Roman" w:hAnsi="Times New Roman" w:cs="Times New Roman"/>
          <w:szCs w:val="24"/>
        </w:rPr>
      </w:pPr>
      <w:r w:rsidRPr="00B3040C">
        <w:rPr>
          <w:rFonts w:ascii="Times New Roman" w:hAnsi="Times New Roman" w:cs="Times New Roman"/>
          <w:b/>
          <w:color w:val="2E75B5"/>
          <w:szCs w:val="24"/>
        </w:rPr>
        <w:t>01.01.2018. do 31.12.2018. godine</w:t>
      </w:r>
    </w:p>
    <w:p w14:paraId="01375AEA" w14:textId="77777777" w:rsidR="00CA4720" w:rsidRPr="00B3040C" w:rsidRDefault="00B3040C">
      <w:pPr>
        <w:pStyle w:val="Naslov1"/>
        <w:tabs>
          <w:tab w:val="center" w:pos="2379"/>
        </w:tabs>
        <w:ind w:left="-15" w:firstLine="0"/>
        <w:rPr>
          <w:rFonts w:ascii="Times New Roman" w:hAnsi="Times New Roman" w:cs="Times New Roman"/>
          <w:sz w:val="24"/>
          <w:szCs w:val="24"/>
        </w:rPr>
      </w:pPr>
      <w:r w:rsidRPr="00B3040C">
        <w:rPr>
          <w:rFonts w:ascii="Times New Roman" w:eastAsia="Times New Roman" w:hAnsi="Times New Roman" w:cs="Times New Roman"/>
          <w:sz w:val="24"/>
          <w:szCs w:val="24"/>
        </w:rPr>
        <w:t>I.</w:t>
      </w:r>
      <w:r w:rsidRPr="00B3040C">
        <w:rPr>
          <w:rFonts w:ascii="Times New Roman" w:eastAsia="Times New Roman" w:hAnsi="Times New Roman" w:cs="Times New Roman"/>
          <w:sz w:val="24"/>
          <w:szCs w:val="24"/>
        </w:rPr>
        <w:tab/>
      </w:r>
      <w:r w:rsidRPr="00B3040C">
        <w:rPr>
          <w:rFonts w:ascii="Times New Roman" w:hAnsi="Times New Roman" w:cs="Times New Roman"/>
          <w:sz w:val="24"/>
          <w:szCs w:val="24"/>
        </w:rPr>
        <w:t>INFORMACIJE O DRUŠTVU</w:t>
      </w:r>
    </w:p>
    <w:p w14:paraId="43A77FC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CLARITA USLUGE d.o.o., Sesvete (u nastavku: Društvo), OIB 89504240594, osnovano je prema zakonima i propisima Republike Hrvatske kao društvo s ograničenom odgovornošću.</w:t>
      </w:r>
    </w:p>
    <w:p w14:paraId="0BDDB4B0"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Sjedište Društva: Sesvete, Ulica krizantema 12</w:t>
      </w:r>
    </w:p>
    <w:p w14:paraId="5369762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Uprava društva: Debeljak Hrvoje, direktor Društva.</w:t>
      </w:r>
    </w:p>
    <w:p w14:paraId="0FE61162" w14:textId="77777777" w:rsidR="00CA4720" w:rsidRPr="00B3040C" w:rsidRDefault="00B3040C">
      <w:pPr>
        <w:spacing w:after="1005"/>
        <w:ind w:left="-5"/>
        <w:rPr>
          <w:rFonts w:ascii="Times New Roman" w:hAnsi="Times New Roman" w:cs="Times New Roman"/>
          <w:szCs w:val="24"/>
        </w:rPr>
      </w:pPr>
      <w:r w:rsidRPr="00B3040C">
        <w:rPr>
          <w:rFonts w:ascii="Times New Roman" w:hAnsi="Times New Roman" w:cs="Times New Roman"/>
          <w:szCs w:val="24"/>
        </w:rPr>
        <w:t>Osnovna djelatnost društva je: Djelatnosti za njegu i održavanje tijela</w:t>
      </w:r>
    </w:p>
    <w:p w14:paraId="083588F6" w14:textId="77777777" w:rsidR="00CA4720" w:rsidRPr="00B3040C" w:rsidRDefault="00B3040C">
      <w:pPr>
        <w:pStyle w:val="Naslov1"/>
        <w:tabs>
          <w:tab w:val="center" w:pos="4005"/>
        </w:tabs>
        <w:ind w:left="-15" w:firstLine="0"/>
        <w:rPr>
          <w:rFonts w:ascii="Times New Roman" w:hAnsi="Times New Roman" w:cs="Times New Roman"/>
          <w:sz w:val="24"/>
          <w:szCs w:val="24"/>
        </w:rPr>
      </w:pPr>
      <w:r w:rsidRPr="00B3040C">
        <w:rPr>
          <w:rFonts w:ascii="Times New Roman" w:eastAsia="Times New Roman" w:hAnsi="Times New Roman" w:cs="Times New Roman"/>
          <w:sz w:val="24"/>
          <w:szCs w:val="24"/>
        </w:rPr>
        <w:t>II.</w:t>
      </w:r>
      <w:r w:rsidRPr="00B3040C">
        <w:rPr>
          <w:rFonts w:ascii="Times New Roman" w:eastAsia="Times New Roman" w:hAnsi="Times New Roman" w:cs="Times New Roman"/>
          <w:sz w:val="24"/>
          <w:szCs w:val="24"/>
        </w:rPr>
        <w:tab/>
      </w:r>
      <w:r w:rsidRPr="00B3040C">
        <w:rPr>
          <w:rFonts w:ascii="Times New Roman" w:hAnsi="Times New Roman" w:cs="Times New Roman"/>
          <w:sz w:val="24"/>
          <w:szCs w:val="24"/>
        </w:rPr>
        <w:t>OSNOVE SASTAVLJANJA FINANCIJSKIH IZVJEŠTAJA</w:t>
      </w:r>
    </w:p>
    <w:p w14:paraId="08D40D3A"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Financijski izvještaji Društva sastavljeni su sukladno Hrvatskim standardima financijskog izvještavanja koje je donio Odbor za standarde financijskog izvještavanja na temelju odredbi Zakona o računovodstvu. Na financijske izvještaje u 2018. godini primjenjuju se odredbe važećeg Zakona o računovodstvu te Hrvatskih računovodstvenih standarda. Financijski izvještaji sastavljeni su na osnovi povijesnog troška, a detaljnija određenja dana su uz pojedine pozicije izvještaja.</w:t>
      </w:r>
    </w:p>
    <w:p w14:paraId="4A0C24F7"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Financijski izvještaji prezentiraju istinito i fer financijski položaj, financijsku uspješnost i novčane tijekove poduzetnika.</w:t>
      </w:r>
    </w:p>
    <w:p w14:paraId="4EF2E8BA" w14:textId="77777777" w:rsidR="00CA4720" w:rsidRPr="00B3040C" w:rsidRDefault="00B3040C">
      <w:pPr>
        <w:spacing w:after="354"/>
        <w:ind w:left="-5"/>
        <w:rPr>
          <w:rFonts w:ascii="Times New Roman" w:hAnsi="Times New Roman" w:cs="Times New Roman"/>
          <w:szCs w:val="24"/>
        </w:rPr>
      </w:pPr>
      <w:r w:rsidRPr="00B3040C">
        <w:rPr>
          <w:rFonts w:ascii="Times New Roman" w:hAnsi="Times New Roman" w:cs="Times New Roman"/>
          <w:szCs w:val="24"/>
        </w:rPr>
        <w:t>Vjerno su predočeni učinci transakcija i drugih poslovnih događaja, a u skladu s kriterijima priznavanja imovine, obveza, kapitala, prihoda i rashoda.</w:t>
      </w:r>
    </w:p>
    <w:p w14:paraId="57D70EF8" w14:textId="77777777" w:rsidR="00CA4720" w:rsidRPr="00B3040C" w:rsidRDefault="00B3040C">
      <w:pPr>
        <w:pStyle w:val="Naslov1"/>
        <w:tabs>
          <w:tab w:val="center" w:pos="4273"/>
        </w:tabs>
        <w:ind w:left="-15" w:firstLine="0"/>
        <w:rPr>
          <w:rFonts w:ascii="Times New Roman" w:hAnsi="Times New Roman" w:cs="Times New Roman"/>
          <w:sz w:val="24"/>
          <w:szCs w:val="24"/>
        </w:rPr>
      </w:pPr>
      <w:r w:rsidRPr="00B3040C">
        <w:rPr>
          <w:rFonts w:ascii="Times New Roman" w:eastAsia="Times New Roman" w:hAnsi="Times New Roman" w:cs="Times New Roman"/>
          <w:sz w:val="24"/>
          <w:szCs w:val="24"/>
        </w:rPr>
        <w:t>III.</w:t>
      </w:r>
      <w:r w:rsidRPr="00B3040C">
        <w:rPr>
          <w:rFonts w:ascii="Times New Roman" w:eastAsia="Times New Roman" w:hAnsi="Times New Roman" w:cs="Times New Roman"/>
          <w:sz w:val="24"/>
          <w:szCs w:val="24"/>
        </w:rPr>
        <w:tab/>
      </w:r>
      <w:r w:rsidRPr="00B3040C">
        <w:rPr>
          <w:rFonts w:ascii="Times New Roman" w:hAnsi="Times New Roman" w:cs="Times New Roman"/>
          <w:sz w:val="24"/>
          <w:szCs w:val="24"/>
        </w:rPr>
        <w:t>SAŽETAK ZNAČAJNIJIH RAČUNOVODSTVENIH POLITIKA</w:t>
      </w:r>
    </w:p>
    <w:p w14:paraId="70663368"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Slijedi prikaz značajnijih računovodstvenih politika usvojenih za pripremu ovih financijskih izvještaja. Ove računovodstvene politike dosljedno su primjenjivane za sva razdoblja uključena u ove izvještaje osim tamo gdje je drugačije navedeno.</w:t>
      </w:r>
    </w:p>
    <w:p w14:paraId="1BCF0B87" w14:textId="77777777" w:rsidR="00CA4720" w:rsidRPr="00B3040C" w:rsidRDefault="00B3040C">
      <w:pPr>
        <w:spacing w:after="454"/>
        <w:ind w:left="-5"/>
        <w:rPr>
          <w:rFonts w:ascii="Times New Roman" w:hAnsi="Times New Roman" w:cs="Times New Roman"/>
          <w:szCs w:val="24"/>
        </w:rPr>
      </w:pPr>
      <w:r w:rsidRPr="00B3040C">
        <w:rPr>
          <w:rFonts w:ascii="Times New Roman" w:hAnsi="Times New Roman" w:cs="Times New Roman"/>
          <w:szCs w:val="24"/>
        </w:rPr>
        <w:t>Budući događaji i njihov utjecaj nisu predvidivi sa sigurnošću i sukladno tome računovodstvene procjene zahtijevaju prosudbu, a one korištene pri izradi financijskih izvještaja podložne su promjenama nastankom novih događaja, dobivanjem dodatnih informacija i promjenom okruženja u kojem društvo posluje što može rezultirati odstupanjima od izvršenih procjena.</w:t>
      </w:r>
    </w:p>
    <w:p w14:paraId="70F9FF80" w14:textId="77777777" w:rsidR="00CA4720" w:rsidRPr="00B3040C" w:rsidRDefault="00B3040C">
      <w:pPr>
        <w:pStyle w:val="Naslov2"/>
        <w:spacing w:after="3" w:line="253" w:lineRule="auto"/>
        <w:ind w:left="-5" w:right="903"/>
        <w:rPr>
          <w:rFonts w:ascii="Times New Roman" w:hAnsi="Times New Roman" w:cs="Times New Roman"/>
          <w:szCs w:val="24"/>
        </w:rPr>
      </w:pPr>
      <w:r w:rsidRPr="00B3040C">
        <w:rPr>
          <w:rFonts w:ascii="Times New Roman" w:hAnsi="Times New Roman" w:cs="Times New Roman"/>
          <w:i w:val="0"/>
          <w:szCs w:val="24"/>
        </w:rPr>
        <w:t>Dugotrajna nematerijalna imovina</w:t>
      </w:r>
    </w:p>
    <w:p w14:paraId="41CBB9F3" w14:textId="77777777" w:rsidR="00CA4720" w:rsidRPr="00B3040C" w:rsidRDefault="00B3040C">
      <w:pPr>
        <w:spacing w:after="0" w:line="259" w:lineRule="auto"/>
        <w:ind w:left="0" w:right="3" w:firstLine="0"/>
        <w:jc w:val="right"/>
        <w:rPr>
          <w:rFonts w:ascii="Times New Roman" w:hAnsi="Times New Roman" w:cs="Times New Roman"/>
          <w:szCs w:val="24"/>
        </w:rPr>
      </w:pPr>
      <w:r w:rsidRPr="00B3040C">
        <w:rPr>
          <w:rFonts w:ascii="Times New Roman" w:hAnsi="Times New Roman" w:cs="Times New Roman"/>
          <w:i/>
          <w:color w:val="BFBFBF"/>
          <w:szCs w:val="24"/>
        </w:rPr>
        <w:t>str. 1 / 19</w:t>
      </w:r>
    </w:p>
    <w:p w14:paraId="3FA9813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lastRenderedPageBreak/>
        <w:t>Nematerijalnu imovinu čine ulaganja na tuđim sredstvima i ulaganja u računalne programe. Amortizira se tijekom korisnog vijeka trajanja od 4 godine linearnom metodom (stopa 25%). Amortizacijska stopa može se uvećati, sukladno odredbama Zakona o porezu na dobit, na temelju odluke uprave društva. Priznavanje, mjerenje i prestanak priznavanja obavlja se u skladu s odredbama HSFI 5.</w:t>
      </w:r>
    </w:p>
    <w:p w14:paraId="64CEB79A" w14:textId="77777777" w:rsidR="00CA4720" w:rsidRPr="00B3040C" w:rsidRDefault="00B3040C">
      <w:pPr>
        <w:pStyle w:val="Naslov2"/>
        <w:spacing w:after="274" w:line="253" w:lineRule="auto"/>
        <w:ind w:left="-5" w:right="903"/>
        <w:rPr>
          <w:rFonts w:ascii="Times New Roman" w:hAnsi="Times New Roman" w:cs="Times New Roman"/>
          <w:szCs w:val="24"/>
        </w:rPr>
      </w:pPr>
      <w:r w:rsidRPr="00B3040C">
        <w:rPr>
          <w:rFonts w:ascii="Times New Roman" w:hAnsi="Times New Roman" w:cs="Times New Roman"/>
          <w:i w:val="0"/>
          <w:szCs w:val="24"/>
        </w:rPr>
        <w:t>Dugotrajna materijalna imovina</w:t>
      </w:r>
    </w:p>
    <w:p w14:paraId="6966779E"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Dugotrajna materijalna imovina obuhvaća sredstva koja Društvo koristi pri isporuci roba i usluga te u administrativne svrhe i čiji je procijenjeni vijek upotrebe duži od godine dana. Ova imovina početno se priznaje u bilanci po trošku nabave koji obuhvaća neto kupovnu cijenu i sve druge ovisne troškove do stavljanja sredstva u upotrebu. Nakon početnog priznavanja dugotrajna imovina se mjeri po trošku nabave umanjenom za ispravak vrijednosti i akumulirane gubitke od umanjenja sukladno HSFI 6.</w:t>
      </w:r>
    </w:p>
    <w:p w14:paraId="1B07DF16" w14:textId="77777777" w:rsidR="00CA4720" w:rsidRPr="00B3040C" w:rsidRDefault="00B3040C">
      <w:pPr>
        <w:spacing w:after="7"/>
        <w:ind w:left="-5"/>
        <w:rPr>
          <w:rFonts w:ascii="Times New Roman" w:hAnsi="Times New Roman" w:cs="Times New Roman"/>
          <w:szCs w:val="24"/>
        </w:rPr>
      </w:pPr>
      <w:r w:rsidRPr="00B3040C">
        <w:rPr>
          <w:rFonts w:ascii="Times New Roman" w:hAnsi="Times New Roman" w:cs="Times New Roman"/>
          <w:szCs w:val="24"/>
        </w:rPr>
        <w:t>Amortizacija dugotrajne materijalne imovine obračunava se primjenom linearne metode u procijenjenom vijeku upotrebe svakog pojedinog sredstva primjenom sljedećih stopa:</w:t>
      </w:r>
    </w:p>
    <w:tbl>
      <w:tblPr>
        <w:tblStyle w:val="TableGrid"/>
        <w:tblW w:w="4531" w:type="dxa"/>
        <w:tblInd w:w="2462" w:type="dxa"/>
        <w:tblCellMar>
          <w:top w:w="5" w:type="dxa"/>
          <w:left w:w="106" w:type="dxa"/>
          <w:bottom w:w="0" w:type="dxa"/>
          <w:right w:w="115" w:type="dxa"/>
        </w:tblCellMar>
        <w:tblLook w:val="04A0" w:firstRow="1" w:lastRow="0" w:firstColumn="1" w:lastColumn="0" w:noHBand="0" w:noVBand="1"/>
      </w:tblPr>
      <w:tblGrid>
        <w:gridCol w:w="3681"/>
        <w:gridCol w:w="850"/>
      </w:tblGrid>
      <w:tr w:rsidR="00CA4720" w:rsidRPr="00B3040C" w14:paraId="571F4CDB"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18061E0B"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Građevinski objekti</w:t>
            </w:r>
          </w:p>
        </w:tc>
        <w:tc>
          <w:tcPr>
            <w:tcW w:w="850" w:type="dxa"/>
            <w:tcBorders>
              <w:top w:val="single" w:sz="4" w:space="0" w:color="000000"/>
              <w:left w:val="single" w:sz="4" w:space="0" w:color="000000"/>
              <w:bottom w:val="single" w:sz="4" w:space="0" w:color="000000"/>
              <w:right w:val="single" w:sz="4" w:space="0" w:color="000000"/>
            </w:tcBorders>
          </w:tcPr>
          <w:p w14:paraId="3DBB57AD" w14:textId="77777777" w:rsidR="00CA4720" w:rsidRPr="00B3040C" w:rsidRDefault="00B3040C">
            <w:pPr>
              <w:spacing w:after="0" w:line="259" w:lineRule="auto"/>
              <w:ind w:left="149" w:firstLine="0"/>
              <w:jc w:val="center"/>
              <w:rPr>
                <w:rFonts w:ascii="Times New Roman" w:hAnsi="Times New Roman" w:cs="Times New Roman"/>
                <w:szCs w:val="24"/>
              </w:rPr>
            </w:pPr>
            <w:r w:rsidRPr="00B3040C">
              <w:rPr>
                <w:rFonts w:ascii="Times New Roman" w:hAnsi="Times New Roman" w:cs="Times New Roman"/>
                <w:szCs w:val="24"/>
              </w:rPr>
              <w:t>5%</w:t>
            </w:r>
          </w:p>
        </w:tc>
      </w:tr>
      <w:tr w:rsidR="00CA4720" w:rsidRPr="00B3040C" w14:paraId="3D4C8BAB"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66D4528F"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Brodovi veći od 1000 BRT</w:t>
            </w:r>
          </w:p>
        </w:tc>
        <w:tc>
          <w:tcPr>
            <w:tcW w:w="850" w:type="dxa"/>
            <w:tcBorders>
              <w:top w:val="single" w:sz="4" w:space="0" w:color="000000"/>
              <w:left w:val="single" w:sz="4" w:space="0" w:color="000000"/>
              <w:bottom w:val="single" w:sz="4" w:space="0" w:color="000000"/>
              <w:right w:val="single" w:sz="4" w:space="0" w:color="000000"/>
            </w:tcBorders>
          </w:tcPr>
          <w:p w14:paraId="7A703274" w14:textId="77777777" w:rsidR="00CA4720" w:rsidRPr="00B3040C" w:rsidRDefault="00B3040C">
            <w:pPr>
              <w:spacing w:after="0" w:line="259" w:lineRule="auto"/>
              <w:ind w:left="149" w:firstLine="0"/>
              <w:jc w:val="center"/>
              <w:rPr>
                <w:rFonts w:ascii="Times New Roman" w:hAnsi="Times New Roman" w:cs="Times New Roman"/>
                <w:szCs w:val="24"/>
              </w:rPr>
            </w:pPr>
            <w:r w:rsidRPr="00B3040C">
              <w:rPr>
                <w:rFonts w:ascii="Times New Roman" w:hAnsi="Times New Roman" w:cs="Times New Roman"/>
                <w:szCs w:val="24"/>
              </w:rPr>
              <w:t>5%</w:t>
            </w:r>
          </w:p>
        </w:tc>
      </w:tr>
      <w:tr w:rsidR="00CA4720" w:rsidRPr="00B3040C" w14:paraId="61B6BB46"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3C96FEF4"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Osobni automobili</w:t>
            </w:r>
          </w:p>
        </w:tc>
        <w:tc>
          <w:tcPr>
            <w:tcW w:w="850" w:type="dxa"/>
            <w:tcBorders>
              <w:top w:val="single" w:sz="4" w:space="0" w:color="000000"/>
              <w:left w:val="single" w:sz="4" w:space="0" w:color="000000"/>
              <w:bottom w:val="single" w:sz="4" w:space="0" w:color="000000"/>
              <w:right w:val="single" w:sz="4" w:space="0" w:color="000000"/>
            </w:tcBorders>
          </w:tcPr>
          <w:p w14:paraId="07BFBCB2"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20%</w:t>
            </w:r>
          </w:p>
        </w:tc>
      </w:tr>
      <w:tr w:rsidR="00CA4720" w:rsidRPr="00B3040C" w14:paraId="211E0144"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3A3B58A0"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Osnovno stado</w:t>
            </w:r>
          </w:p>
        </w:tc>
        <w:tc>
          <w:tcPr>
            <w:tcW w:w="850" w:type="dxa"/>
            <w:tcBorders>
              <w:top w:val="single" w:sz="4" w:space="0" w:color="000000"/>
              <w:left w:val="single" w:sz="4" w:space="0" w:color="000000"/>
              <w:bottom w:val="single" w:sz="4" w:space="0" w:color="000000"/>
              <w:right w:val="single" w:sz="4" w:space="0" w:color="000000"/>
            </w:tcBorders>
          </w:tcPr>
          <w:p w14:paraId="11C3D70E"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20%</w:t>
            </w:r>
          </w:p>
        </w:tc>
      </w:tr>
      <w:tr w:rsidR="00CA4720" w:rsidRPr="00B3040C" w14:paraId="5F9AB6F6"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172344A1"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Oprema</w:t>
            </w:r>
          </w:p>
        </w:tc>
        <w:tc>
          <w:tcPr>
            <w:tcW w:w="850" w:type="dxa"/>
            <w:tcBorders>
              <w:top w:val="single" w:sz="4" w:space="0" w:color="000000"/>
              <w:left w:val="single" w:sz="4" w:space="0" w:color="000000"/>
              <w:bottom w:val="single" w:sz="4" w:space="0" w:color="000000"/>
              <w:right w:val="single" w:sz="4" w:space="0" w:color="000000"/>
            </w:tcBorders>
          </w:tcPr>
          <w:p w14:paraId="3F0C8D6F"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25%</w:t>
            </w:r>
          </w:p>
        </w:tc>
      </w:tr>
      <w:tr w:rsidR="00CA4720" w:rsidRPr="00B3040C" w14:paraId="2A811A4A"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4D69DAD3"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Dostavna vozila</w:t>
            </w:r>
          </w:p>
        </w:tc>
        <w:tc>
          <w:tcPr>
            <w:tcW w:w="850" w:type="dxa"/>
            <w:tcBorders>
              <w:top w:val="single" w:sz="4" w:space="0" w:color="000000"/>
              <w:left w:val="single" w:sz="4" w:space="0" w:color="000000"/>
              <w:bottom w:val="single" w:sz="4" w:space="0" w:color="000000"/>
              <w:right w:val="single" w:sz="4" w:space="0" w:color="000000"/>
            </w:tcBorders>
          </w:tcPr>
          <w:p w14:paraId="70FCBA39"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25%</w:t>
            </w:r>
          </w:p>
        </w:tc>
      </w:tr>
      <w:tr w:rsidR="00CA4720" w:rsidRPr="00B3040C" w14:paraId="55E4DD0E"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35DA4CD8"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Mehanička oprema</w:t>
            </w:r>
          </w:p>
        </w:tc>
        <w:tc>
          <w:tcPr>
            <w:tcW w:w="850" w:type="dxa"/>
            <w:tcBorders>
              <w:top w:val="single" w:sz="4" w:space="0" w:color="000000"/>
              <w:left w:val="single" w:sz="4" w:space="0" w:color="000000"/>
              <w:bottom w:val="single" w:sz="4" w:space="0" w:color="000000"/>
              <w:right w:val="single" w:sz="4" w:space="0" w:color="000000"/>
            </w:tcBorders>
          </w:tcPr>
          <w:p w14:paraId="12C2CAA5"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25%</w:t>
            </w:r>
          </w:p>
        </w:tc>
      </w:tr>
      <w:tr w:rsidR="00CA4720" w:rsidRPr="00B3040C" w14:paraId="1722E599"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48013601"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Računalna oprema</w:t>
            </w:r>
          </w:p>
        </w:tc>
        <w:tc>
          <w:tcPr>
            <w:tcW w:w="850" w:type="dxa"/>
            <w:tcBorders>
              <w:top w:val="single" w:sz="4" w:space="0" w:color="000000"/>
              <w:left w:val="single" w:sz="4" w:space="0" w:color="000000"/>
              <w:bottom w:val="single" w:sz="4" w:space="0" w:color="000000"/>
              <w:right w:val="single" w:sz="4" w:space="0" w:color="000000"/>
            </w:tcBorders>
          </w:tcPr>
          <w:p w14:paraId="7181AEFC"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50%</w:t>
            </w:r>
          </w:p>
        </w:tc>
      </w:tr>
      <w:tr w:rsidR="00CA4720" w:rsidRPr="00B3040C" w14:paraId="5B96A996"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30CECF5D"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Telekomunikacijska oprema</w:t>
            </w:r>
          </w:p>
        </w:tc>
        <w:tc>
          <w:tcPr>
            <w:tcW w:w="850" w:type="dxa"/>
            <w:tcBorders>
              <w:top w:val="single" w:sz="4" w:space="0" w:color="000000"/>
              <w:left w:val="single" w:sz="4" w:space="0" w:color="000000"/>
              <w:bottom w:val="single" w:sz="4" w:space="0" w:color="000000"/>
              <w:right w:val="single" w:sz="4" w:space="0" w:color="000000"/>
            </w:tcBorders>
          </w:tcPr>
          <w:p w14:paraId="08F5DFC8"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50%</w:t>
            </w:r>
          </w:p>
        </w:tc>
      </w:tr>
      <w:tr w:rsidR="00CA4720" w:rsidRPr="00B3040C" w14:paraId="55E80842"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3DF4C698"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Software</w:t>
            </w:r>
          </w:p>
        </w:tc>
        <w:tc>
          <w:tcPr>
            <w:tcW w:w="850" w:type="dxa"/>
            <w:tcBorders>
              <w:top w:val="single" w:sz="4" w:space="0" w:color="000000"/>
              <w:left w:val="single" w:sz="4" w:space="0" w:color="000000"/>
              <w:bottom w:val="single" w:sz="4" w:space="0" w:color="000000"/>
              <w:right w:val="single" w:sz="4" w:space="0" w:color="000000"/>
            </w:tcBorders>
          </w:tcPr>
          <w:p w14:paraId="72738CA8"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50%</w:t>
            </w:r>
          </w:p>
        </w:tc>
      </w:tr>
      <w:tr w:rsidR="00CA4720" w:rsidRPr="00B3040C" w14:paraId="690D0AEA" w14:textId="77777777">
        <w:trPr>
          <w:trHeight w:val="293"/>
        </w:trPr>
        <w:tc>
          <w:tcPr>
            <w:tcW w:w="3682" w:type="dxa"/>
            <w:tcBorders>
              <w:top w:val="single" w:sz="4" w:space="0" w:color="000000"/>
              <w:left w:val="single" w:sz="4" w:space="0" w:color="000000"/>
              <w:bottom w:val="single" w:sz="4" w:space="0" w:color="000000"/>
              <w:right w:val="single" w:sz="4" w:space="0" w:color="000000"/>
            </w:tcBorders>
          </w:tcPr>
          <w:p w14:paraId="4191B64D"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Ostala nespomenuta imovina</w:t>
            </w:r>
          </w:p>
        </w:tc>
        <w:tc>
          <w:tcPr>
            <w:tcW w:w="850" w:type="dxa"/>
            <w:tcBorders>
              <w:top w:val="single" w:sz="4" w:space="0" w:color="000000"/>
              <w:left w:val="single" w:sz="4" w:space="0" w:color="000000"/>
              <w:bottom w:val="single" w:sz="4" w:space="0" w:color="000000"/>
              <w:right w:val="single" w:sz="4" w:space="0" w:color="000000"/>
            </w:tcBorders>
          </w:tcPr>
          <w:p w14:paraId="0E0B7826" w14:textId="77777777" w:rsidR="00CA4720" w:rsidRPr="00B3040C" w:rsidRDefault="00B3040C">
            <w:pPr>
              <w:spacing w:after="0" w:line="259" w:lineRule="auto"/>
              <w:ind w:left="130" w:firstLine="0"/>
              <w:jc w:val="left"/>
              <w:rPr>
                <w:rFonts w:ascii="Times New Roman" w:hAnsi="Times New Roman" w:cs="Times New Roman"/>
                <w:szCs w:val="24"/>
              </w:rPr>
            </w:pPr>
            <w:r w:rsidRPr="00B3040C">
              <w:rPr>
                <w:rFonts w:ascii="Times New Roman" w:hAnsi="Times New Roman" w:cs="Times New Roman"/>
                <w:szCs w:val="24"/>
              </w:rPr>
              <w:t>10%</w:t>
            </w:r>
          </w:p>
        </w:tc>
      </w:tr>
    </w:tbl>
    <w:p w14:paraId="3468AD4B"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Ako Društvo donese odluku, primjenjuju se uvećane amortizacijske stope sukladno odredbama Zakona o porezu na dobit.</w:t>
      </w:r>
    </w:p>
    <w:p w14:paraId="2ECCDA8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Zemljište i druga imovina koja ima neograničen vijek trajanja (umjetnički radovi i sl.) te imovina u pripremi se ne amortizira.</w:t>
      </w:r>
    </w:p>
    <w:p w14:paraId="03E772E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Naknadni izdaci uključuju se u knjigovodstvenu vrijednost imovine ili se prema potrebi priznaju kao zasebna imovina samo ako će Društvo imati buduće ekonomske koristi od imovine te ako se trošak nabave može pouzdano mjeriti. Knjigovodstvena vrijednost zamijenjenog dijela prestaje se priznavati. Svi ostali troškovi investicijskog i tekućeg održavanja terete račun dobitka i gubitka u razdoblju u kojem su nastali. Amortizacija se obračunava primjenom linearne metode.</w:t>
      </w:r>
    </w:p>
    <w:p w14:paraId="61302BA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Dobici ili gubici od prestanka priznavanja dugotrajne materijalne imovine (prodaja, rashodovanje i sl.) utvrđuju se kao razlika ostvarene prodajne cijene i knjigovodstvene vrijednosti i uključuju u stavku poslovni prihodi odnosno poslovni rashodi u računu dobiti u gubitka.</w:t>
      </w:r>
    </w:p>
    <w:p w14:paraId="1006E1A3"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Biološka imovina</w:t>
      </w:r>
    </w:p>
    <w:p w14:paraId="730AE06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Biološka imovina i poljoprivredni proizvodi mjere se prema fer vrijednosti. Priznavanje, mjerenje i prestanak priznavanja vrše se prema odredbama HSFI 17. Ako se fer vrijednost ne može pouzdano izmjeriti, biološka imovina mjeri se po trošku nabave umanjene za ispravak vrijednosti i za gubitke od umanjenja vrijednosti sukladno HSFI 6.</w:t>
      </w:r>
    </w:p>
    <w:p w14:paraId="034F1C52"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lastRenderedPageBreak/>
        <w:t>Ulaganja u nekretnine</w:t>
      </w:r>
    </w:p>
    <w:p w14:paraId="0CFE2E10"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Nekretnine (zemljište ili zgrada, ili dio zgrade, ili oboje) koje društvo drži radi ostvarivanja prihoda od najma ili radi porasta tržišne vrijednosti tretira se kao ulaganje u nekretnine sukladno HSFI 7. Prilikom utvrđivanja vrijednosti ulaganja u nekretnine primjenjuje se model troška nabave.</w:t>
      </w:r>
    </w:p>
    <w:p w14:paraId="0E39DF1B"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Dugotrajna imovina namijenjena prodaji</w:t>
      </w:r>
    </w:p>
    <w:p w14:paraId="5D30B74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Dugotrajna imovina namijenjena prodaji je imovina čija će se knjigovodstvena vrijednost nadoknaditi putem prodaje, a ne putem korištenja pod uvjetom da je ta prodaja vrlo vjerojatna unutar perioda od jedne godine. Priznavanje i mjerenje obavlja se u skladu s odredbama HSFI 8.</w:t>
      </w:r>
    </w:p>
    <w:p w14:paraId="30F3533B"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Financijska imovina</w:t>
      </w:r>
    </w:p>
    <w:p w14:paraId="01CCBDF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 xml:space="preserve">Financijska imovina obuhvaća dionice i udjele, dane zajmove, sudjelujuće interese, ulaganja u vrijednosne papire, dane kredite, depozite i jamstvene </w:t>
      </w:r>
      <w:proofErr w:type="spellStart"/>
      <w:r w:rsidRPr="00B3040C">
        <w:rPr>
          <w:rFonts w:ascii="Times New Roman" w:hAnsi="Times New Roman" w:cs="Times New Roman"/>
          <w:szCs w:val="24"/>
        </w:rPr>
        <w:t>pologe</w:t>
      </w:r>
      <w:proofErr w:type="spellEnd"/>
      <w:r w:rsidRPr="00B3040C">
        <w:rPr>
          <w:rFonts w:ascii="Times New Roman" w:hAnsi="Times New Roman" w:cs="Times New Roman"/>
          <w:szCs w:val="24"/>
        </w:rPr>
        <w:t xml:space="preserve"> te ostalu financijsku imovinu. Financijska imovina se ne amortizira. Priznavanje, mjerenje i prestanak priznavanja obavlja se u skladu s odredbama HSFI 9.</w:t>
      </w:r>
    </w:p>
    <w:p w14:paraId="26A0D47F"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Zalihe</w:t>
      </w:r>
    </w:p>
    <w:p w14:paraId="0304DA38"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Zalihe obuhvaćaju zalihe sitnog inventara, auto guma, ambalaže i trgovačke robe. Mjere se po trošku nabave ili neto utrživoj vrijednosti, u skladu s HSFI 10. Obračun utroška zaliha provodi se po metodi prosječne ponderirane cijene. Knjigovodstveni iznos zaliha priznaje se kao rashod razdoblja u kojem su te zalihe prodane ili izuzete. Zalihe sitnog inventara i auto guma otpisuju se prilikom stavljanja u upotrebu u 100%tnom iznosu.</w:t>
      </w:r>
    </w:p>
    <w:p w14:paraId="6C3444CC"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Potraživanja</w:t>
      </w:r>
    </w:p>
    <w:p w14:paraId="2C4037A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Potraživanja se početno mjere po fer vrijednosti. Priznavanje, mjerenje i prestanak priznavanja obavlja se prema odredbama HSFI 11.</w:t>
      </w:r>
    </w:p>
    <w:p w14:paraId="36A2ED16"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Ispravak vrijednosti potraživanja provodi se kada postoje objektivni dokazi da društvo neće moći naplatiti sva svoja potraživanja u skladu s dogovorenim uvjetima. Značajne financijske poteškoće dužnika, vjerojatnost dužnikovog stečaja te neizvršenje ili propusti u plaćanjima smatraju se pokazateljima umanjenja vrijednosti potraživanja od kupaca.</w:t>
      </w:r>
    </w:p>
    <w:p w14:paraId="236E376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Iznos ispravka vrijednosti utvrđuje se kao razlika između knjigovodstvene vrijednosti i nadoknadivog iznosa potraživanja. Knjigovodstvena vrijednost imovine je smanjena korištenjem izračuna rezerviranja za umanjenjem vrijednosti te je iznos gubitka priznat u računu dobiti i gubitka u „vrijednosnim usklađivanjima“. Kada potraživanje nije naplativo otpisuje se na teret izračuna rezerviranja za potraživanja od kupaca.</w:t>
      </w:r>
    </w:p>
    <w:p w14:paraId="5650AFDA"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Kapital i rezerve</w:t>
      </w:r>
    </w:p>
    <w:p w14:paraId="70772FEF"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Kapital se sastoji od upisanog kapitala, kapitalnih rezervi, rezervi iz dobiti, revalorizacijskih rezervi, rezervi fer vrijednosti, zadržane dobiti ili prenesenog gubitka, dobiti ili gubitka tekuće godine i manjinskih (</w:t>
      </w:r>
      <w:proofErr w:type="spellStart"/>
      <w:r w:rsidRPr="00B3040C">
        <w:rPr>
          <w:rFonts w:ascii="Times New Roman" w:hAnsi="Times New Roman" w:cs="Times New Roman"/>
          <w:szCs w:val="24"/>
        </w:rPr>
        <w:t>nekontrolirajućih</w:t>
      </w:r>
      <w:proofErr w:type="spellEnd"/>
      <w:r w:rsidRPr="00B3040C">
        <w:rPr>
          <w:rFonts w:ascii="Times New Roman" w:hAnsi="Times New Roman" w:cs="Times New Roman"/>
          <w:szCs w:val="24"/>
        </w:rPr>
        <w:t>) interesa. Priznavanje, mjerenje i prestanak priznavanja obavlja se prema odredbama HSFI 12.</w:t>
      </w:r>
    </w:p>
    <w:p w14:paraId="2776D9B0"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lastRenderedPageBreak/>
        <w:t>Obveze</w:t>
      </w:r>
    </w:p>
    <w:p w14:paraId="158A0424"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Obveze se početno mjere po fer vrijednosti. Priznavanje, mjerenje i prestanak priznavanja obavlja se prema odredbama HSFI 13.</w:t>
      </w:r>
    </w:p>
    <w:p w14:paraId="6ACD8C54"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Obveze se klasificiraju kao kratkotrajne i dugotrajne. Obveze se klasificiraju kao kratkoročne obveze, osim ako Društvo ima pravo odgoditi podmirenje obveze na rok duži od 12 mjeseci. Obveze se priznaju kada je vjerojatno da će zbog podmirenja sadašnje obveze doći do odlijevanja resursa poduzetnika. Obveze prema dobavljačima i zaposlenima te obveze za predujmove mjere se po iznosu kojim će se podmiriti.</w:t>
      </w:r>
    </w:p>
    <w:p w14:paraId="6A8D55A5"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Rezerviranja</w:t>
      </w:r>
    </w:p>
    <w:p w14:paraId="4B1B80C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Rezerviranje je obveza čija je priroda jasno određena i za koju je na datum bilance vjerojatno ili sigurno da će nastati, ali postoji neizvjesnost u pogledu iznosa ili datuma kada će nastati. Priznavanje i mjerenje se provodi u skladu s HSFI 13.</w:t>
      </w:r>
    </w:p>
    <w:p w14:paraId="7927D9A2"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Vremenska razgraničenja</w:t>
      </w:r>
    </w:p>
    <w:p w14:paraId="08D5146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Vremenska razgraničenja obuhvaćaju unaprijed plaćene troškove, nedospjelu naplatu prihoda, odgođeno plaćanje troškova i prihod budućeg razdoblja. Vremenska razgraničenja mjere se sukladno HSFI 14. Unaprijed plaćeni troškovi priznaju se kao imovina kada se odnose na iznose plaćene u tekućem razdoblju, a koji se odnose na buduća razdoblja. Odgođeno plaćanje troškova priznaje se kao obveza kada se odnosi na troškove nastale u tekućem razdoblju, a za koje nisu ispunjeni uvjeti za priznavanje obveza.</w:t>
      </w:r>
    </w:p>
    <w:p w14:paraId="717CE405"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Tekući porez na dobit</w:t>
      </w:r>
    </w:p>
    <w:p w14:paraId="5F4498E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Iznos poreza na dobit za tekuću godinu obračunava se na temelju poreznog zakona koji je na snazi u Republici Hrvatskoj na dan bilance. Tekući porez knjižit će se na teret kapitala ako se porez odnosi na stavke koje se direktno knjiže na teret kapitala u istom razdoblju.</w:t>
      </w:r>
    </w:p>
    <w:p w14:paraId="65AA2D15"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Porez na dodanu vrijednost</w:t>
      </w:r>
    </w:p>
    <w:p w14:paraId="4C9058B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Porezni propisi zahtijevaju bilježenje PDV-a na neto osnovi. PDV koji proizlazi iz transakcija prodaje i kupnje priznaje se i iskazuje u bilanci na neto osnovi.</w:t>
      </w:r>
    </w:p>
    <w:p w14:paraId="58A764E0"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Odgođena porezna imovina</w:t>
      </w:r>
    </w:p>
    <w:p w14:paraId="28D5D8C4"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 xml:space="preserve">Odgođena porezna imovina i obveze mjere se primjenom poreznih stopa (i poreznih zakona) koji su na snazi na datum bilance. Odgođena porezna imovina se priznaje za prenesene neiskorištene porezne gubitke, neiskorištene porezne olakšice i sve </w:t>
      </w:r>
      <w:proofErr w:type="spellStart"/>
      <w:r w:rsidRPr="00B3040C">
        <w:rPr>
          <w:rFonts w:ascii="Times New Roman" w:hAnsi="Times New Roman" w:cs="Times New Roman"/>
          <w:szCs w:val="24"/>
        </w:rPr>
        <w:t>odbitne</w:t>
      </w:r>
      <w:proofErr w:type="spellEnd"/>
      <w:r w:rsidRPr="00B3040C">
        <w:rPr>
          <w:rFonts w:ascii="Times New Roman" w:hAnsi="Times New Roman" w:cs="Times New Roman"/>
          <w:szCs w:val="24"/>
        </w:rPr>
        <w:t xml:space="preserve"> privremene razlike u visini za koju je vjerojatno da će oporeziva dobit biti raspoloživa i za koju se preneseni porezni gubitak, neiskorištene porezne olakšice i </w:t>
      </w:r>
      <w:proofErr w:type="spellStart"/>
      <w:r w:rsidRPr="00B3040C">
        <w:rPr>
          <w:rFonts w:ascii="Times New Roman" w:hAnsi="Times New Roman" w:cs="Times New Roman"/>
          <w:szCs w:val="24"/>
        </w:rPr>
        <w:t>odbitne</w:t>
      </w:r>
      <w:proofErr w:type="spellEnd"/>
      <w:r w:rsidRPr="00B3040C">
        <w:rPr>
          <w:rFonts w:ascii="Times New Roman" w:hAnsi="Times New Roman" w:cs="Times New Roman"/>
          <w:szCs w:val="24"/>
        </w:rPr>
        <w:t xml:space="preserve"> privremene razlike mogu iskoristiti, sukladno odredbama HSFI 14.</w:t>
      </w:r>
    </w:p>
    <w:p w14:paraId="2EE9A68E"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Prihodi</w:t>
      </w:r>
    </w:p>
    <w:p w14:paraId="54A756C6"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Prihodi se priznaju kada je vjerojatno da će buduće ekonomske koristi ulaziti kod poduzetnika i kada se mogu pouzdano mjeriti. Priznavanje, mjerenje i prestanak priznavanja obavlja se prema odredbama HSFI 15.</w:t>
      </w:r>
    </w:p>
    <w:p w14:paraId="32B8C4D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 xml:space="preserve">Prihodi po HSFI 15 podijeljeni su na poslovne prihode i financijske prihode. Prihodi se sastoje od fer vrijednosti primljene naknade ili potraživanja za prodane usluge tijekom redovnog poslovanja </w:t>
      </w:r>
      <w:r w:rsidRPr="00B3040C">
        <w:rPr>
          <w:rFonts w:ascii="Times New Roman" w:hAnsi="Times New Roman" w:cs="Times New Roman"/>
          <w:szCs w:val="24"/>
        </w:rPr>
        <w:lastRenderedPageBreak/>
        <w:t>društva. Prihodi su iskazani u iznosima koji su umanjeni za porez na dodanu vrijednost. Društvo priznaje prihode kada se iznos prihoda može pouzdano mjeriti i kada je izvjesno da će društvo imati buduće ekonomske koristi. Odredbe Zakona o računovodstvu, kao i HSFI 15, od izvještaja za 2018. godinu propisuju da se izvanredni prihodi ne iskazuju zasebno te su izvanredni prihodi iz prijašnjih godina iskazani u poslovnim prihodima.</w:t>
      </w:r>
    </w:p>
    <w:p w14:paraId="75636C6D"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Rashodi</w:t>
      </w:r>
    </w:p>
    <w:p w14:paraId="02437E0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Rashodi se priznaju kada smanjenje budućih ekonomskih koristi proizlazi iz smanjenja imovine ili povećanja obaveza koje se može pouzdano izmjeriti, odnosno kada isti nastaju istodobno s priznavanjem ili smanjenjem imovine, a na temelju izravne povezanosti između nastalih troškova i određenih prihoda. Priznavanje, mjerenje i prestanak priznavanja obavlja se prema odredbama HSFI 16.</w:t>
      </w:r>
    </w:p>
    <w:p w14:paraId="7246595C" w14:textId="77777777" w:rsidR="00CA4720" w:rsidRPr="00B3040C" w:rsidRDefault="00B3040C">
      <w:pPr>
        <w:pStyle w:val="Naslov3"/>
        <w:spacing w:after="265" w:line="259" w:lineRule="auto"/>
        <w:ind w:left="-5"/>
        <w:rPr>
          <w:rFonts w:ascii="Times New Roman" w:hAnsi="Times New Roman" w:cs="Times New Roman"/>
          <w:szCs w:val="24"/>
        </w:rPr>
      </w:pPr>
      <w:r w:rsidRPr="00B3040C">
        <w:rPr>
          <w:rFonts w:ascii="Times New Roman" w:hAnsi="Times New Roman" w:cs="Times New Roman"/>
          <w:i/>
          <w:szCs w:val="24"/>
        </w:rPr>
        <w:t>Vrijednosti iskazane u financijskim izvještajima (iznosi)</w:t>
      </w:r>
    </w:p>
    <w:p w14:paraId="0FDF0C92" w14:textId="77777777" w:rsidR="00CA4720" w:rsidRPr="00B3040C" w:rsidRDefault="00B3040C">
      <w:pPr>
        <w:spacing w:after="313"/>
        <w:ind w:left="-5"/>
        <w:rPr>
          <w:rFonts w:ascii="Times New Roman" w:hAnsi="Times New Roman" w:cs="Times New Roman"/>
          <w:szCs w:val="24"/>
        </w:rPr>
      </w:pPr>
      <w:r w:rsidRPr="00B3040C">
        <w:rPr>
          <w:rFonts w:ascii="Times New Roman" w:hAnsi="Times New Roman" w:cs="Times New Roman"/>
          <w:szCs w:val="24"/>
        </w:rPr>
        <w:t>Stavke uključene u financijske izvještaje društva iskazane su u valuti primarnog gospodarskog okruženja u kojem društvo posluje (funkcionalna valuta). Financijski izvještaji prikazani su u hrvatskim kunama, što predstavlja funkcionalnu i izvještajnu valutu Društva.</w:t>
      </w:r>
    </w:p>
    <w:p w14:paraId="7AF2080A" w14:textId="77777777" w:rsidR="00CA4720" w:rsidRPr="00B3040C" w:rsidRDefault="00B3040C">
      <w:pPr>
        <w:pStyle w:val="Naslov1"/>
        <w:ind w:left="-5"/>
        <w:rPr>
          <w:rFonts w:ascii="Times New Roman" w:hAnsi="Times New Roman" w:cs="Times New Roman"/>
          <w:sz w:val="24"/>
          <w:szCs w:val="24"/>
        </w:rPr>
      </w:pPr>
      <w:r w:rsidRPr="00B3040C">
        <w:rPr>
          <w:rFonts w:ascii="Times New Roman" w:hAnsi="Times New Roman" w:cs="Times New Roman"/>
          <w:sz w:val="24"/>
          <w:szCs w:val="24"/>
        </w:rPr>
        <w:t>IV.</w:t>
      </w:r>
      <w:r w:rsidRPr="00B3040C">
        <w:rPr>
          <w:rFonts w:ascii="Times New Roman" w:hAnsi="Times New Roman" w:cs="Times New Roman"/>
          <w:sz w:val="24"/>
          <w:szCs w:val="24"/>
        </w:rPr>
        <w:tab/>
        <w:t>PODUZETNICI</w:t>
      </w:r>
      <w:r w:rsidRPr="00B3040C">
        <w:rPr>
          <w:rFonts w:ascii="Times New Roman" w:hAnsi="Times New Roman" w:cs="Times New Roman"/>
          <w:sz w:val="24"/>
          <w:szCs w:val="24"/>
        </w:rPr>
        <w:tab/>
        <w:t>UNUTAR</w:t>
      </w:r>
      <w:r w:rsidRPr="00B3040C">
        <w:rPr>
          <w:rFonts w:ascii="Times New Roman" w:hAnsi="Times New Roman" w:cs="Times New Roman"/>
          <w:sz w:val="24"/>
          <w:szCs w:val="24"/>
        </w:rPr>
        <w:tab/>
        <w:t>GRUPE</w:t>
      </w:r>
      <w:r w:rsidRPr="00B3040C">
        <w:rPr>
          <w:rFonts w:ascii="Times New Roman" w:hAnsi="Times New Roman" w:cs="Times New Roman"/>
          <w:sz w:val="24"/>
          <w:szCs w:val="24"/>
        </w:rPr>
        <w:tab/>
        <w:t>I</w:t>
      </w:r>
      <w:r w:rsidRPr="00B3040C">
        <w:rPr>
          <w:rFonts w:ascii="Times New Roman" w:hAnsi="Times New Roman" w:cs="Times New Roman"/>
          <w:sz w:val="24"/>
          <w:szCs w:val="24"/>
        </w:rPr>
        <w:tab/>
        <w:t>OSOBE</w:t>
      </w:r>
      <w:r w:rsidRPr="00B3040C">
        <w:rPr>
          <w:rFonts w:ascii="Times New Roman" w:hAnsi="Times New Roman" w:cs="Times New Roman"/>
          <w:sz w:val="24"/>
          <w:szCs w:val="24"/>
        </w:rPr>
        <w:tab/>
        <w:t>SA</w:t>
      </w:r>
      <w:r w:rsidRPr="00B3040C">
        <w:rPr>
          <w:rFonts w:ascii="Times New Roman" w:hAnsi="Times New Roman" w:cs="Times New Roman"/>
          <w:sz w:val="24"/>
          <w:szCs w:val="24"/>
        </w:rPr>
        <w:tab/>
        <w:t>SUDJELUJUĆIM INTERESIMA</w:t>
      </w:r>
    </w:p>
    <w:p w14:paraId="322B6105" w14:textId="77777777" w:rsidR="00CA4720" w:rsidRPr="00B3040C" w:rsidRDefault="00B3040C">
      <w:pPr>
        <w:spacing w:after="0"/>
        <w:ind w:left="-5"/>
        <w:rPr>
          <w:rFonts w:ascii="Times New Roman" w:hAnsi="Times New Roman" w:cs="Times New Roman"/>
          <w:szCs w:val="24"/>
        </w:rPr>
      </w:pPr>
      <w:r w:rsidRPr="00B3040C">
        <w:rPr>
          <w:rFonts w:ascii="Times New Roman" w:hAnsi="Times New Roman" w:cs="Times New Roman"/>
          <w:szCs w:val="24"/>
        </w:rPr>
        <w:t>Poduzetnicima unutar grupe smatraju se dva ili više poduzetnika koji su međusobno vlasnički povezana, a koji imaju ulaganje u udjele/dionice više od 50 % ili su taj kapital primili (ovisna društva).</w:t>
      </w:r>
    </w:p>
    <w:p w14:paraId="4535BA2F"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Društva povezana sudjelujućim interesom su društva čiji udio u kapitalu nekog drugog poduzetnika iznosi od 20-50% ili društva koja su kapital do te visine primila od drugog poduzetnika (sudjelujući interesi).</w:t>
      </w:r>
    </w:p>
    <w:p w14:paraId="39346DD9" w14:textId="77777777" w:rsidR="00CA4720" w:rsidRPr="00B3040C" w:rsidRDefault="00B3040C">
      <w:pPr>
        <w:pStyle w:val="Naslov1"/>
        <w:tabs>
          <w:tab w:val="center" w:pos="2349"/>
        </w:tabs>
        <w:ind w:left="-15" w:firstLine="0"/>
        <w:rPr>
          <w:rFonts w:ascii="Times New Roman" w:hAnsi="Times New Roman" w:cs="Times New Roman"/>
          <w:sz w:val="24"/>
          <w:szCs w:val="24"/>
        </w:rPr>
      </w:pPr>
      <w:r w:rsidRPr="00B3040C">
        <w:rPr>
          <w:rFonts w:ascii="Times New Roman" w:hAnsi="Times New Roman" w:cs="Times New Roman"/>
          <w:sz w:val="24"/>
          <w:szCs w:val="24"/>
        </w:rPr>
        <w:t>V.</w:t>
      </w:r>
      <w:r w:rsidRPr="00B3040C">
        <w:rPr>
          <w:rFonts w:ascii="Times New Roman" w:hAnsi="Times New Roman" w:cs="Times New Roman"/>
          <w:sz w:val="24"/>
          <w:szCs w:val="24"/>
        </w:rPr>
        <w:tab/>
        <w:t>RAČUN DOBITI I GUBITKA</w:t>
      </w:r>
    </w:p>
    <w:p w14:paraId="2B66F054" w14:textId="77777777" w:rsidR="00CA4720" w:rsidRPr="00B3040C" w:rsidRDefault="00B3040C">
      <w:pPr>
        <w:pStyle w:val="Naslov2"/>
        <w:spacing w:after="0"/>
        <w:ind w:left="-5"/>
        <w:rPr>
          <w:rFonts w:ascii="Times New Roman" w:hAnsi="Times New Roman" w:cs="Times New Roman"/>
          <w:szCs w:val="24"/>
        </w:rPr>
      </w:pPr>
      <w:r w:rsidRPr="00B3040C">
        <w:rPr>
          <w:rFonts w:ascii="Times New Roman" w:hAnsi="Times New Roman" w:cs="Times New Roman"/>
          <w:szCs w:val="24"/>
        </w:rPr>
        <w:t>PRIHODI</w:t>
      </w:r>
    </w:p>
    <w:p w14:paraId="271E9FD5" w14:textId="77777777" w:rsidR="00CA4720" w:rsidRPr="00B3040C" w:rsidRDefault="00B3040C">
      <w:pPr>
        <w:spacing w:after="261" w:line="259" w:lineRule="auto"/>
        <w:ind w:left="-5"/>
        <w:jc w:val="left"/>
        <w:rPr>
          <w:rFonts w:ascii="Times New Roman" w:hAnsi="Times New Roman" w:cs="Times New Roman"/>
          <w:szCs w:val="24"/>
        </w:rPr>
      </w:pPr>
      <w:r w:rsidRPr="00B3040C">
        <w:rPr>
          <w:rFonts w:ascii="Times New Roman" w:hAnsi="Times New Roman" w:cs="Times New Roman"/>
          <w:b/>
          <w:i/>
          <w:color w:val="808080"/>
          <w:szCs w:val="24"/>
          <w:u w:val="single" w:color="808080"/>
        </w:rPr>
        <w:t>Bilješka br. 1</w:t>
      </w:r>
    </w:p>
    <w:p w14:paraId="5CE675A2" w14:textId="77777777" w:rsidR="00CA4720" w:rsidRPr="00B3040C" w:rsidRDefault="00B3040C">
      <w:pPr>
        <w:spacing w:after="793"/>
        <w:ind w:left="-5"/>
        <w:rPr>
          <w:rFonts w:ascii="Times New Roman" w:hAnsi="Times New Roman" w:cs="Times New Roman"/>
          <w:szCs w:val="24"/>
        </w:rPr>
      </w:pPr>
      <w:r w:rsidRPr="00B3040C">
        <w:rPr>
          <w:rFonts w:ascii="Times New Roman" w:hAnsi="Times New Roman" w:cs="Times New Roman"/>
          <w:szCs w:val="24"/>
        </w:rPr>
        <w:t>Društvo je u poslovnoj godini 2018. ostvarilo ukupne prihode u visini od 148.360 kn.</w:t>
      </w:r>
    </w:p>
    <w:p w14:paraId="103BBE17"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Poslovni prihodi</w:t>
      </w:r>
    </w:p>
    <w:p w14:paraId="5EF843F5"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2</w:t>
      </w:r>
    </w:p>
    <w:p w14:paraId="7553F268"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Poslovni prihodi sastoje se od prihoda od prodaje, prihod na temelju uporabe vlastitih proizvoda i ostalih poslovnih prihoda.</w:t>
      </w:r>
    </w:p>
    <w:p w14:paraId="308768E8"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t>Poslovni prihodi Društva u 2018. godini ukupno su iznosili 147.650 kn.</w:t>
      </w:r>
    </w:p>
    <w:tbl>
      <w:tblPr>
        <w:tblStyle w:val="TableGrid"/>
        <w:tblW w:w="8126" w:type="dxa"/>
        <w:tblInd w:w="-17" w:type="dxa"/>
        <w:tblCellMar>
          <w:top w:w="33" w:type="dxa"/>
          <w:left w:w="31" w:type="dxa"/>
          <w:bottom w:w="0" w:type="dxa"/>
          <w:right w:w="55" w:type="dxa"/>
        </w:tblCellMar>
        <w:tblLook w:val="04A0" w:firstRow="1" w:lastRow="0" w:firstColumn="1" w:lastColumn="0" w:noHBand="0" w:noVBand="1"/>
      </w:tblPr>
      <w:tblGrid>
        <w:gridCol w:w="3615"/>
        <w:gridCol w:w="1526"/>
        <w:gridCol w:w="1526"/>
        <w:gridCol w:w="1459"/>
      </w:tblGrid>
      <w:tr w:rsidR="00CA4720" w:rsidRPr="00B3040C" w14:paraId="31AAD97D" w14:textId="77777777">
        <w:trPr>
          <w:trHeight w:val="898"/>
        </w:trPr>
        <w:tc>
          <w:tcPr>
            <w:tcW w:w="3614"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55D06020"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Naziv pozicije</w:t>
            </w:r>
          </w:p>
        </w:tc>
        <w:tc>
          <w:tcPr>
            <w:tcW w:w="1526"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36048F48"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526"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67F986F5"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459"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6ABB61FB"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01DA2C15" w14:textId="77777777">
        <w:trPr>
          <w:trHeight w:val="600"/>
        </w:trPr>
        <w:tc>
          <w:tcPr>
            <w:tcW w:w="3614" w:type="dxa"/>
            <w:tcBorders>
              <w:top w:val="single" w:sz="6" w:space="0" w:color="7F7F7F"/>
              <w:left w:val="single" w:sz="6" w:space="0" w:color="7F7F7F"/>
              <w:bottom w:val="single" w:sz="6" w:space="0" w:color="7F7F7F"/>
              <w:right w:val="single" w:sz="6" w:space="0" w:color="7F7F7F"/>
            </w:tcBorders>
            <w:shd w:val="clear" w:color="auto" w:fill="FFFFFF"/>
          </w:tcPr>
          <w:p w14:paraId="02665B31" w14:textId="77777777" w:rsidR="00CA4720" w:rsidRPr="00B3040C" w:rsidRDefault="00B3040C">
            <w:pPr>
              <w:spacing w:after="0" w:line="259" w:lineRule="auto"/>
              <w:ind w:left="0" w:right="380" w:firstLine="0"/>
              <w:jc w:val="left"/>
              <w:rPr>
                <w:rFonts w:ascii="Times New Roman" w:hAnsi="Times New Roman" w:cs="Times New Roman"/>
                <w:szCs w:val="24"/>
              </w:rPr>
            </w:pPr>
            <w:r w:rsidRPr="00B3040C">
              <w:rPr>
                <w:rFonts w:ascii="Times New Roman" w:hAnsi="Times New Roman" w:cs="Times New Roman"/>
                <w:szCs w:val="24"/>
              </w:rPr>
              <w:t>Prihodi od prodaje s poduzetnicima unutar grupe</w:t>
            </w:r>
          </w:p>
        </w:tc>
        <w:tc>
          <w:tcPr>
            <w:tcW w:w="1526" w:type="dxa"/>
            <w:tcBorders>
              <w:top w:val="single" w:sz="6" w:space="0" w:color="7F7F7F"/>
              <w:left w:val="single" w:sz="6" w:space="0" w:color="7F7F7F"/>
              <w:bottom w:val="single" w:sz="6" w:space="0" w:color="7F7F7F"/>
              <w:right w:val="single" w:sz="6" w:space="0" w:color="7F7F7F"/>
            </w:tcBorders>
            <w:shd w:val="clear" w:color="auto" w:fill="FFFFFF"/>
            <w:vAlign w:val="center"/>
          </w:tcPr>
          <w:p w14:paraId="2BC524E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26" w:type="dxa"/>
            <w:tcBorders>
              <w:top w:val="single" w:sz="6" w:space="0" w:color="7F7F7F"/>
              <w:left w:val="single" w:sz="6" w:space="0" w:color="7F7F7F"/>
              <w:bottom w:val="single" w:sz="6" w:space="0" w:color="7F7F7F"/>
              <w:right w:val="single" w:sz="6" w:space="0" w:color="7F7F7F"/>
            </w:tcBorders>
            <w:shd w:val="clear" w:color="auto" w:fill="FFFFFF"/>
            <w:vAlign w:val="center"/>
          </w:tcPr>
          <w:p w14:paraId="4526151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59" w:type="dxa"/>
            <w:tcBorders>
              <w:top w:val="single" w:sz="6" w:space="0" w:color="7F7F7F"/>
              <w:left w:val="single" w:sz="6" w:space="0" w:color="7F7F7F"/>
              <w:bottom w:val="single" w:sz="6" w:space="0" w:color="7F7F7F"/>
              <w:right w:val="single" w:sz="6" w:space="0" w:color="7F7F7F"/>
            </w:tcBorders>
            <w:shd w:val="clear" w:color="auto" w:fill="FFFFFF"/>
          </w:tcPr>
          <w:p w14:paraId="61046D18"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5AB61638" w14:textId="77777777">
        <w:trPr>
          <w:trHeight w:val="299"/>
        </w:trPr>
        <w:tc>
          <w:tcPr>
            <w:tcW w:w="3614" w:type="dxa"/>
            <w:tcBorders>
              <w:top w:val="single" w:sz="6" w:space="0" w:color="7F7F7F"/>
              <w:left w:val="single" w:sz="6" w:space="0" w:color="7F7F7F"/>
              <w:bottom w:val="single" w:sz="6" w:space="0" w:color="7F7F7F"/>
              <w:right w:val="single" w:sz="6" w:space="0" w:color="7F7F7F"/>
            </w:tcBorders>
          </w:tcPr>
          <w:p w14:paraId="29D9C67F"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Prihodi od prodaje</w:t>
            </w:r>
          </w:p>
        </w:tc>
        <w:tc>
          <w:tcPr>
            <w:tcW w:w="1526" w:type="dxa"/>
            <w:tcBorders>
              <w:top w:val="single" w:sz="6" w:space="0" w:color="7F7F7F"/>
              <w:left w:val="single" w:sz="6" w:space="0" w:color="7F7F7F"/>
              <w:bottom w:val="single" w:sz="6" w:space="0" w:color="7F7F7F"/>
              <w:right w:val="single" w:sz="6" w:space="0" w:color="7F7F7F"/>
            </w:tcBorders>
          </w:tcPr>
          <w:p w14:paraId="22A0B7B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145.410 kn</w:t>
            </w:r>
          </w:p>
        </w:tc>
        <w:tc>
          <w:tcPr>
            <w:tcW w:w="1526" w:type="dxa"/>
            <w:tcBorders>
              <w:top w:val="single" w:sz="6" w:space="0" w:color="7F7F7F"/>
              <w:left w:val="single" w:sz="6" w:space="0" w:color="7F7F7F"/>
              <w:bottom w:val="single" w:sz="6" w:space="0" w:color="7F7F7F"/>
              <w:right w:val="single" w:sz="6" w:space="0" w:color="7F7F7F"/>
            </w:tcBorders>
          </w:tcPr>
          <w:p w14:paraId="0AB43C6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146.700 kn</w:t>
            </w:r>
          </w:p>
        </w:tc>
        <w:tc>
          <w:tcPr>
            <w:tcW w:w="1459" w:type="dxa"/>
            <w:tcBorders>
              <w:top w:val="single" w:sz="6" w:space="0" w:color="7F7F7F"/>
              <w:left w:val="single" w:sz="6" w:space="0" w:color="7F7F7F"/>
              <w:bottom w:val="single" w:sz="6" w:space="0" w:color="7F7F7F"/>
              <w:right w:val="single" w:sz="6" w:space="0" w:color="7F7F7F"/>
            </w:tcBorders>
          </w:tcPr>
          <w:p w14:paraId="3F7DDDE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100,89</w:t>
            </w:r>
          </w:p>
        </w:tc>
      </w:tr>
      <w:tr w:rsidR="00CA4720" w:rsidRPr="00B3040C" w14:paraId="26CC098D" w14:textId="77777777">
        <w:trPr>
          <w:trHeight w:val="898"/>
        </w:trPr>
        <w:tc>
          <w:tcPr>
            <w:tcW w:w="3614" w:type="dxa"/>
            <w:tcBorders>
              <w:top w:val="single" w:sz="6" w:space="0" w:color="7F7F7F"/>
              <w:left w:val="single" w:sz="6" w:space="0" w:color="7F7F7F"/>
              <w:bottom w:val="single" w:sz="6" w:space="0" w:color="7F7F7F"/>
              <w:right w:val="single" w:sz="6" w:space="0" w:color="7F7F7F"/>
            </w:tcBorders>
          </w:tcPr>
          <w:p w14:paraId="167F4A7F" w14:textId="77777777" w:rsidR="00CA4720" w:rsidRPr="00B3040C" w:rsidRDefault="00B3040C">
            <w:pPr>
              <w:spacing w:after="0" w:line="259" w:lineRule="auto"/>
              <w:ind w:left="0" w:right="625" w:firstLine="0"/>
              <w:jc w:val="left"/>
              <w:rPr>
                <w:rFonts w:ascii="Times New Roman" w:hAnsi="Times New Roman" w:cs="Times New Roman"/>
                <w:szCs w:val="24"/>
              </w:rPr>
            </w:pPr>
            <w:r w:rsidRPr="00B3040C">
              <w:rPr>
                <w:rFonts w:ascii="Times New Roman" w:hAnsi="Times New Roman" w:cs="Times New Roman"/>
                <w:szCs w:val="24"/>
              </w:rPr>
              <w:lastRenderedPageBreak/>
              <w:t>Prihodi na temelju upotrebe vlastitih proizvoda, robe i usluga</w:t>
            </w:r>
          </w:p>
        </w:tc>
        <w:tc>
          <w:tcPr>
            <w:tcW w:w="1526" w:type="dxa"/>
            <w:tcBorders>
              <w:top w:val="single" w:sz="6" w:space="0" w:color="7F7F7F"/>
              <w:left w:val="single" w:sz="6" w:space="0" w:color="7F7F7F"/>
              <w:bottom w:val="single" w:sz="6" w:space="0" w:color="7F7F7F"/>
              <w:right w:val="single" w:sz="6" w:space="0" w:color="7F7F7F"/>
            </w:tcBorders>
            <w:vAlign w:val="center"/>
          </w:tcPr>
          <w:p w14:paraId="2C59B00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26" w:type="dxa"/>
            <w:tcBorders>
              <w:top w:val="single" w:sz="6" w:space="0" w:color="7F7F7F"/>
              <w:left w:val="single" w:sz="6" w:space="0" w:color="7F7F7F"/>
              <w:bottom w:val="single" w:sz="6" w:space="0" w:color="7F7F7F"/>
              <w:right w:val="single" w:sz="6" w:space="0" w:color="7F7F7F"/>
            </w:tcBorders>
            <w:vAlign w:val="center"/>
          </w:tcPr>
          <w:p w14:paraId="07C381E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59" w:type="dxa"/>
            <w:tcBorders>
              <w:top w:val="single" w:sz="6" w:space="0" w:color="7F7F7F"/>
              <w:left w:val="single" w:sz="6" w:space="0" w:color="7F7F7F"/>
              <w:bottom w:val="single" w:sz="6" w:space="0" w:color="7F7F7F"/>
              <w:right w:val="single" w:sz="6" w:space="0" w:color="7F7F7F"/>
            </w:tcBorders>
          </w:tcPr>
          <w:p w14:paraId="725AF73E"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110BB11A" w14:textId="77777777">
        <w:trPr>
          <w:trHeight w:val="600"/>
        </w:trPr>
        <w:tc>
          <w:tcPr>
            <w:tcW w:w="3614" w:type="dxa"/>
            <w:tcBorders>
              <w:top w:val="single" w:sz="6" w:space="0" w:color="7F7F7F"/>
              <w:left w:val="single" w:sz="6" w:space="0" w:color="7F7F7F"/>
              <w:bottom w:val="single" w:sz="6" w:space="0" w:color="7F7F7F"/>
              <w:right w:val="single" w:sz="6" w:space="0" w:color="7F7F7F"/>
            </w:tcBorders>
          </w:tcPr>
          <w:p w14:paraId="7C971BCB" w14:textId="77777777" w:rsidR="00CA4720" w:rsidRPr="00B3040C" w:rsidRDefault="00B3040C">
            <w:pPr>
              <w:spacing w:after="0" w:line="259" w:lineRule="auto"/>
              <w:ind w:left="0" w:right="39" w:firstLine="0"/>
              <w:jc w:val="left"/>
              <w:rPr>
                <w:rFonts w:ascii="Times New Roman" w:hAnsi="Times New Roman" w:cs="Times New Roman"/>
                <w:szCs w:val="24"/>
              </w:rPr>
            </w:pPr>
            <w:r w:rsidRPr="00B3040C">
              <w:rPr>
                <w:rFonts w:ascii="Times New Roman" w:hAnsi="Times New Roman" w:cs="Times New Roman"/>
                <w:szCs w:val="24"/>
              </w:rPr>
              <w:t>Ostali poslovni prihodi s poduzetnicima unutar grupe</w:t>
            </w:r>
          </w:p>
        </w:tc>
        <w:tc>
          <w:tcPr>
            <w:tcW w:w="1526" w:type="dxa"/>
            <w:tcBorders>
              <w:top w:val="single" w:sz="6" w:space="0" w:color="7F7F7F"/>
              <w:left w:val="single" w:sz="6" w:space="0" w:color="7F7F7F"/>
              <w:bottom w:val="single" w:sz="6" w:space="0" w:color="7F7F7F"/>
              <w:right w:val="single" w:sz="6" w:space="0" w:color="7F7F7F"/>
            </w:tcBorders>
            <w:vAlign w:val="center"/>
          </w:tcPr>
          <w:p w14:paraId="4C12361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26" w:type="dxa"/>
            <w:tcBorders>
              <w:top w:val="single" w:sz="6" w:space="0" w:color="7F7F7F"/>
              <w:left w:val="single" w:sz="6" w:space="0" w:color="7F7F7F"/>
              <w:bottom w:val="single" w:sz="6" w:space="0" w:color="7F7F7F"/>
              <w:right w:val="single" w:sz="6" w:space="0" w:color="7F7F7F"/>
            </w:tcBorders>
            <w:vAlign w:val="center"/>
          </w:tcPr>
          <w:p w14:paraId="71B17681"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59" w:type="dxa"/>
            <w:tcBorders>
              <w:top w:val="single" w:sz="6" w:space="0" w:color="7F7F7F"/>
              <w:left w:val="single" w:sz="6" w:space="0" w:color="7F7F7F"/>
              <w:bottom w:val="single" w:sz="6" w:space="0" w:color="7F7F7F"/>
              <w:right w:val="single" w:sz="6" w:space="0" w:color="7F7F7F"/>
            </w:tcBorders>
          </w:tcPr>
          <w:p w14:paraId="401C1984"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0A0F660D" w14:textId="77777777">
        <w:trPr>
          <w:trHeight w:val="326"/>
        </w:trPr>
        <w:tc>
          <w:tcPr>
            <w:tcW w:w="3614" w:type="dxa"/>
            <w:tcBorders>
              <w:top w:val="single" w:sz="6" w:space="0" w:color="7F7F7F"/>
              <w:left w:val="single" w:sz="6" w:space="0" w:color="7F7F7F"/>
              <w:bottom w:val="single" w:sz="17" w:space="0" w:color="2E75B6"/>
              <w:right w:val="single" w:sz="6" w:space="0" w:color="7F7F7F"/>
            </w:tcBorders>
          </w:tcPr>
          <w:p w14:paraId="0895E540"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Ostali poslovni prihodi</w:t>
            </w:r>
          </w:p>
        </w:tc>
        <w:tc>
          <w:tcPr>
            <w:tcW w:w="1526" w:type="dxa"/>
            <w:tcBorders>
              <w:top w:val="single" w:sz="6" w:space="0" w:color="7F7F7F"/>
              <w:left w:val="single" w:sz="6" w:space="0" w:color="7F7F7F"/>
              <w:bottom w:val="single" w:sz="17" w:space="0" w:color="2E75B6"/>
              <w:right w:val="single" w:sz="6" w:space="0" w:color="7F7F7F"/>
            </w:tcBorders>
          </w:tcPr>
          <w:p w14:paraId="79888191"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1.278 kn</w:t>
            </w:r>
          </w:p>
        </w:tc>
        <w:tc>
          <w:tcPr>
            <w:tcW w:w="1526" w:type="dxa"/>
            <w:tcBorders>
              <w:top w:val="single" w:sz="6" w:space="0" w:color="7F7F7F"/>
              <w:left w:val="single" w:sz="6" w:space="0" w:color="7F7F7F"/>
              <w:bottom w:val="single" w:sz="17" w:space="0" w:color="2E75B6"/>
              <w:right w:val="single" w:sz="6" w:space="0" w:color="7F7F7F"/>
            </w:tcBorders>
          </w:tcPr>
          <w:p w14:paraId="04DF9629"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950 kn</w:t>
            </w:r>
          </w:p>
        </w:tc>
        <w:tc>
          <w:tcPr>
            <w:tcW w:w="1459" w:type="dxa"/>
            <w:tcBorders>
              <w:top w:val="single" w:sz="6" w:space="0" w:color="7F7F7F"/>
              <w:left w:val="single" w:sz="6" w:space="0" w:color="7F7F7F"/>
              <w:bottom w:val="single" w:sz="17" w:space="0" w:color="2E75B6"/>
              <w:right w:val="single" w:sz="6" w:space="0" w:color="7F7F7F"/>
            </w:tcBorders>
          </w:tcPr>
          <w:p w14:paraId="1090476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74,33</w:t>
            </w:r>
          </w:p>
        </w:tc>
      </w:tr>
      <w:tr w:rsidR="00CA4720" w:rsidRPr="00B3040C" w14:paraId="7B406893" w14:textId="77777777">
        <w:trPr>
          <w:trHeight w:val="341"/>
        </w:trPr>
        <w:tc>
          <w:tcPr>
            <w:tcW w:w="3614" w:type="dxa"/>
            <w:tcBorders>
              <w:top w:val="single" w:sz="17" w:space="0" w:color="2E75B6"/>
              <w:left w:val="single" w:sz="6" w:space="0" w:color="7F7F7F"/>
              <w:bottom w:val="single" w:sz="6" w:space="0" w:color="7F7F7F"/>
              <w:right w:val="single" w:sz="6" w:space="0" w:color="7F7F7F"/>
            </w:tcBorders>
          </w:tcPr>
          <w:p w14:paraId="0BCAC65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526" w:type="dxa"/>
            <w:tcBorders>
              <w:top w:val="single" w:sz="17" w:space="0" w:color="2E75B6"/>
              <w:left w:val="single" w:sz="6" w:space="0" w:color="7F7F7F"/>
              <w:bottom w:val="single" w:sz="6" w:space="0" w:color="7F7F7F"/>
              <w:right w:val="single" w:sz="6" w:space="0" w:color="7F7F7F"/>
            </w:tcBorders>
          </w:tcPr>
          <w:p w14:paraId="7D277AE6"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146.688 kn</w:t>
            </w:r>
          </w:p>
        </w:tc>
        <w:tc>
          <w:tcPr>
            <w:tcW w:w="1526" w:type="dxa"/>
            <w:tcBorders>
              <w:top w:val="single" w:sz="17" w:space="0" w:color="2E75B6"/>
              <w:left w:val="single" w:sz="6" w:space="0" w:color="7F7F7F"/>
              <w:bottom w:val="single" w:sz="6" w:space="0" w:color="7F7F7F"/>
              <w:right w:val="single" w:sz="6" w:space="0" w:color="7F7F7F"/>
            </w:tcBorders>
          </w:tcPr>
          <w:p w14:paraId="6EA2C974"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147.650 kn</w:t>
            </w:r>
          </w:p>
        </w:tc>
        <w:tc>
          <w:tcPr>
            <w:tcW w:w="1459" w:type="dxa"/>
            <w:tcBorders>
              <w:top w:val="single" w:sz="17" w:space="0" w:color="2E75B6"/>
              <w:left w:val="single" w:sz="6" w:space="0" w:color="7F7F7F"/>
              <w:bottom w:val="single" w:sz="6" w:space="0" w:color="7F7F7F"/>
              <w:right w:val="single" w:sz="6" w:space="0" w:color="7F7F7F"/>
            </w:tcBorders>
          </w:tcPr>
          <w:p w14:paraId="761769BD"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70F8C56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Prihodi od prodaje</w:t>
      </w:r>
    </w:p>
    <w:p w14:paraId="12BA50A6"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2a</w:t>
      </w:r>
    </w:p>
    <w:p w14:paraId="10B49B64"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t>Društvo je u poslovnoj godini 2018. ostvarilo prihode od prodaje u visini od 146.700 kn.</w:t>
      </w:r>
    </w:p>
    <w:tbl>
      <w:tblPr>
        <w:tblStyle w:val="TableGrid"/>
        <w:tblW w:w="8126" w:type="dxa"/>
        <w:tblInd w:w="-17" w:type="dxa"/>
        <w:tblCellMar>
          <w:top w:w="46" w:type="dxa"/>
          <w:left w:w="31" w:type="dxa"/>
          <w:bottom w:w="0" w:type="dxa"/>
          <w:right w:w="55" w:type="dxa"/>
        </w:tblCellMar>
        <w:tblLook w:val="04A0" w:firstRow="1" w:lastRow="0" w:firstColumn="1" w:lastColumn="0" w:noHBand="0" w:noVBand="1"/>
      </w:tblPr>
      <w:tblGrid>
        <w:gridCol w:w="3561"/>
        <w:gridCol w:w="1546"/>
        <w:gridCol w:w="1541"/>
        <w:gridCol w:w="1478"/>
      </w:tblGrid>
      <w:tr w:rsidR="00CA4720" w:rsidRPr="00B3040C" w14:paraId="58579987" w14:textId="77777777">
        <w:trPr>
          <w:trHeight w:val="898"/>
        </w:trPr>
        <w:tc>
          <w:tcPr>
            <w:tcW w:w="3562"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7BBA0FCF"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Naziv pozicije</w:t>
            </w:r>
          </w:p>
        </w:tc>
        <w:tc>
          <w:tcPr>
            <w:tcW w:w="1546"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2BFD7927"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541"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361D97DF" w14:textId="77777777" w:rsidR="00CA4720" w:rsidRPr="00B3040C" w:rsidRDefault="00B3040C">
            <w:pPr>
              <w:spacing w:after="0" w:line="259" w:lineRule="auto"/>
              <w:ind w:left="22"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47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28582386"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098A0C1B" w14:textId="77777777">
        <w:trPr>
          <w:trHeight w:val="602"/>
        </w:trPr>
        <w:tc>
          <w:tcPr>
            <w:tcW w:w="3562" w:type="dxa"/>
            <w:tcBorders>
              <w:top w:val="single" w:sz="6" w:space="0" w:color="7F7F7F"/>
              <w:left w:val="single" w:sz="6" w:space="0" w:color="7F7F7F"/>
              <w:bottom w:val="single" w:sz="6" w:space="0" w:color="7F7F7F"/>
              <w:right w:val="single" w:sz="6" w:space="0" w:color="7F7F7F"/>
            </w:tcBorders>
          </w:tcPr>
          <w:p w14:paraId="33A9C5AE" w14:textId="77777777" w:rsidR="00CA4720" w:rsidRPr="00B3040C" w:rsidRDefault="00B3040C">
            <w:pPr>
              <w:spacing w:after="0" w:line="259" w:lineRule="auto"/>
              <w:ind w:left="0" w:right="327" w:firstLine="0"/>
              <w:jc w:val="left"/>
              <w:rPr>
                <w:rFonts w:ascii="Times New Roman" w:hAnsi="Times New Roman" w:cs="Times New Roman"/>
                <w:szCs w:val="24"/>
              </w:rPr>
            </w:pPr>
            <w:r w:rsidRPr="00B3040C">
              <w:rPr>
                <w:rFonts w:ascii="Times New Roman" w:hAnsi="Times New Roman" w:cs="Times New Roman"/>
                <w:szCs w:val="24"/>
              </w:rPr>
              <w:t>Prihodi od prodaje s poduzetnicima unutar grupe</w:t>
            </w:r>
          </w:p>
        </w:tc>
        <w:tc>
          <w:tcPr>
            <w:tcW w:w="1546" w:type="dxa"/>
            <w:tcBorders>
              <w:top w:val="single" w:sz="6" w:space="0" w:color="7F7F7F"/>
              <w:left w:val="single" w:sz="6" w:space="0" w:color="7F7F7F"/>
              <w:bottom w:val="single" w:sz="6" w:space="0" w:color="7F7F7F"/>
              <w:right w:val="single" w:sz="6" w:space="0" w:color="7F7F7F"/>
            </w:tcBorders>
            <w:vAlign w:val="center"/>
          </w:tcPr>
          <w:p w14:paraId="131184C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41" w:type="dxa"/>
            <w:tcBorders>
              <w:top w:val="single" w:sz="6" w:space="0" w:color="7F7F7F"/>
              <w:left w:val="single" w:sz="6" w:space="0" w:color="7F7F7F"/>
              <w:bottom w:val="single" w:sz="6" w:space="0" w:color="7F7F7F"/>
              <w:right w:val="single" w:sz="6" w:space="0" w:color="7F7F7F"/>
            </w:tcBorders>
            <w:vAlign w:val="center"/>
          </w:tcPr>
          <w:p w14:paraId="22203EC2"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78" w:type="dxa"/>
            <w:tcBorders>
              <w:top w:val="single" w:sz="6" w:space="0" w:color="7F7F7F"/>
              <w:left w:val="single" w:sz="6" w:space="0" w:color="7F7F7F"/>
              <w:bottom w:val="single" w:sz="6" w:space="0" w:color="7F7F7F"/>
              <w:right w:val="single" w:sz="6" w:space="0" w:color="7F7F7F"/>
            </w:tcBorders>
          </w:tcPr>
          <w:p w14:paraId="4A14583E"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2493CC68" w14:textId="77777777">
        <w:trPr>
          <w:trHeight w:val="341"/>
        </w:trPr>
        <w:tc>
          <w:tcPr>
            <w:tcW w:w="3562" w:type="dxa"/>
            <w:tcBorders>
              <w:top w:val="single" w:sz="6" w:space="0" w:color="7F7F7F"/>
              <w:left w:val="single" w:sz="6" w:space="0" w:color="7F7F7F"/>
              <w:bottom w:val="single" w:sz="17" w:space="0" w:color="2E75B6"/>
              <w:right w:val="single" w:sz="6" w:space="0" w:color="7F7F7F"/>
            </w:tcBorders>
          </w:tcPr>
          <w:p w14:paraId="0FFF2986"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Prihodi od prodaje</w:t>
            </w:r>
          </w:p>
        </w:tc>
        <w:tc>
          <w:tcPr>
            <w:tcW w:w="1546" w:type="dxa"/>
            <w:tcBorders>
              <w:top w:val="single" w:sz="6" w:space="0" w:color="7F7F7F"/>
              <w:left w:val="single" w:sz="6" w:space="0" w:color="7F7F7F"/>
              <w:bottom w:val="single" w:sz="17" w:space="0" w:color="2E75B6"/>
              <w:right w:val="single" w:sz="6" w:space="0" w:color="7F7F7F"/>
            </w:tcBorders>
          </w:tcPr>
          <w:p w14:paraId="4AE8B89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145.410 kn</w:t>
            </w:r>
          </w:p>
        </w:tc>
        <w:tc>
          <w:tcPr>
            <w:tcW w:w="1541" w:type="dxa"/>
            <w:tcBorders>
              <w:top w:val="single" w:sz="6" w:space="0" w:color="7F7F7F"/>
              <w:left w:val="single" w:sz="6" w:space="0" w:color="7F7F7F"/>
              <w:bottom w:val="single" w:sz="17" w:space="0" w:color="2E75B6"/>
              <w:right w:val="single" w:sz="6" w:space="0" w:color="7F7F7F"/>
            </w:tcBorders>
          </w:tcPr>
          <w:p w14:paraId="5CFF756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146.700 kn</w:t>
            </w:r>
          </w:p>
        </w:tc>
        <w:tc>
          <w:tcPr>
            <w:tcW w:w="1478" w:type="dxa"/>
            <w:tcBorders>
              <w:top w:val="single" w:sz="6" w:space="0" w:color="7F7F7F"/>
              <w:left w:val="single" w:sz="6" w:space="0" w:color="7F7F7F"/>
              <w:bottom w:val="single" w:sz="17" w:space="0" w:color="2E75B6"/>
              <w:right w:val="single" w:sz="6" w:space="0" w:color="7F7F7F"/>
            </w:tcBorders>
          </w:tcPr>
          <w:p w14:paraId="4F48528D"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100,89</w:t>
            </w:r>
          </w:p>
        </w:tc>
      </w:tr>
      <w:tr w:rsidR="00CA4720" w:rsidRPr="00B3040C" w14:paraId="76E6C1B8" w14:textId="77777777">
        <w:trPr>
          <w:trHeight w:val="341"/>
        </w:trPr>
        <w:tc>
          <w:tcPr>
            <w:tcW w:w="3562" w:type="dxa"/>
            <w:tcBorders>
              <w:top w:val="single" w:sz="17" w:space="0" w:color="2E75B6"/>
              <w:left w:val="single" w:sz="6" w:space="0" w:color="7F7F7F"/>
              <w:bottom w:val="single" w:sz="6" w:space="0" w:color="7F7F7F"/>
              <w:right w:val="single" w:sz="6" w:space="0" w:color="7F7F7F"/>
            </w:tcBorders>
          </w:tcPr>
          <w:p w14:paraId="55157BC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546" w:type="dxa"/>
            <w:tcBorders>
              <w:top w:val="single" w:sz="17" w:space="0" w:color="2E75B6"/>
              <w:left w:val="single" w:sz="6" w:space="0" w:color="7F7F7F"/>
              <w:bottom w:val="single" w:sz="6" w:space="0" w:color="7F7F7F"/>
              <w:right w:val="single" w:sz="6" w:space="0" w:color="7F7F7F"/>
            </w:tcBorders>
          </w:tcPr>
          <w:p w14:paraId="343B9FB9"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145.410 kn</w:t>
            </w:r>
          </w:p>
        </w:tc>
        <w:tc>
          <w:tcPr>
            <w:tcW w:w="1541" w:type="dxa"/>
            <w:tcBorders>
              <w:top w:val="single" w:sz="17" w:space="0" w:color="2E75B6"/>
              <w:left w:val="single" w:sz="6" w:space="0" w:color="7F7F7F"/>
              <w:bottom w:val="single" w:sz="6" w:space="0" w:color="7F7F7F"/>
              <w:right w:val="single" w:sz="6" w:space="0" w:color="7F7F7F"/>
            </w:tcBorders>
          </w:tcPr>
          <w:p w14:paraId="6E6B48C8"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146.700 kn</w:t>
            </w:r>
          </w:p>
        </w:tc>
        <w:tc>
          <w:tcPr>
            <w:tcW w:w="1478" w:type="dxa"/>
            <w:tcBorders>
              <w:top w:val="single" w:sz="17" w:space="0" w:color="2E75B6"/>
              <w:left w:val="single" w:sz="6" w:space="0" w:color="7F7F7F"/>
              <w:bottom w:val="single" w:sz="6" w:space="0" w:color="7F7F7F"/>
              <w:right w:val="single" w:sz="6" w:space="0" w:color="7F7F7F"/>
            </w:tcBorders>
          </w:tcPr>
          <w:p w14:paraId="24D412ED"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0DA2B5D2"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Prihodi na temelju upotrebe vlastitih proizvoda, robe i usluga</w:t>
      </w:r>
    </w:p>
    <w:p w14:paraId="3625E413"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2b</w:t>
      </w:r>
    </w:p>
    <w:p w14:paraId="66AB7BE0"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u poslovnoj godini nije ostvarilo prihode s osnove upotrebe vlastitih proizvoda, robe i usluga.</w:t>
      </w:r>
    </w:p>
    <w:p w14:paraId="5BBC2B72" w14:textId="77777777" w:rsidR="00CA4720" w:rsidRPr="00B3040C" w:rsidRDefault="00B3040C">
      <w:pPr>
        <w:pStyle w:val="Naslov3"/>
        <w:spacing w:after="267"/>
        <w:ind w:left="-5" w:right="6086"/>
        <w:rPr>
          <w:rFonts w:ascii="Times New Roman" w:hAnsi="Times New Roman" w:cs="Times New Roman"/>
          <w:szCs w:val="24"/>
        </w:rPr>
      </w:pPr>
      <w:r w:rsidRPr="00B3040C">
        <w:rPr>
          <w:rFonts w:ascii="Times New Roman" w:hAnsi="Times New Roman" w:cs="Times New Roman"/>
          <w:szCs w:val="24"/>
        </w:rPr>
        <w:t xml:space="preserve">Ostali poslovni prihodi </w:t>
      </w:r>
      <w:r w:rsidRPr="00B3040C">
        <w:rPr>
          <w:rFonts w:ascii="Times New Roman" w:hAnsi="Times New Roman" w:cs="Times New Roman"/>
          <w:i/>
          <w:color w:val="808080"/>
          <w:szCs w:val="24"/>
          <w:u w:val="single" w:color="808080"/>
        </w:rPr>
        <w:t>Bilješka br. 2c</w:t>
      </w:r>
    </w:p>
    <w:p w14:paraId="5CDBA3E8"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t>Društvo je u poslovnoj godini 2018. ostvarilo ostalih poslovnih prihoda u visini od 950 kn.</w:t>
      </w:r>
    </w:p>
    <w:tbl>
      <w:tblPr>
        <w:tblStyle w:val="TableGrid"/>
        <w:tblW w:w="8126" w:type="dxa"/>
        <w:tblInd w:w="-17" w:type="dxa"/>
        <w:tblCellMar>
          <w:top w:w="38" w:type="dxa"/>
          <w:left w:w="31" w:type="dxa"/>
          <w:bottom w:w="0" w:type="dxa"/>
          <w:right w:w="55" w:type="dxa"/>
        </w:tblCellMar>
        <w:tblLook w:val="04A0" w:firstRow="1" w:lastRow="0" w:firstColumn="1" w:lastColumn="0" w:noHBand="0" w:noVBand="1"/>
      </w:tblPr>
      <w:tblGrid>
        <w:gridCol w:w="3959"/>
        <w:gridCol w:w="1397"/>
        <w:gridCol w:w="1128"/>
        <w:gridCol w:w="1642"/>
      </w:tblGrid>
      <w:tr w:rsidR="00CA4720" w:rsidRPr="00B3040C" w14:paraId="5A42BEEC" w14:textId="77777777">
        <w:trPr>
          <w:trHeight w:val="898"/>
        </w:trPr>
        <w:tc>
          <w:tcPr>
            <w:tcW w:w="3960"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712BDFE8"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Naziv pozicije</w:t>
            </w:r>
          </w:p>
        </w:tc>
        <w:tc>
          <w:tcPr>
            <w:tcW w:w="1397"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3B39C550" w14:textId="77777777" w:rsidR="00CA4720" w:rsidRPr="00B3040C" w:rsidRDefault="00B3040C">
            <w:pPr>
              <w:spacing w:after="0" w:line="259" w:lineRule="auto"/>
              <w:ind w:left="22"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12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3253559F" w14:textId="77777777" w:rsidR="00CA4720" w:rsidRPr="00B3040C" w:rsidRDefault="00B3040C">
            <w:pPr>
              <w:spacing w:after="0" w:line="259" w:lineRule="auto"/>
              <w:ind w:left="22"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642"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42087A25"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1F672B32" w14:textId="77777777">
        <w:trPr>
          <w:trHeight w:val="600"/>
        </w:trPr>
        <w:tc>
          <w:tcPr>
            <w:tcW w:w="3960" w:type="dxa"/>
            <w:tcBorders>
              <w:top w:val="single" w:sz="6" w:space="0" w:color="7F7F7F"/>
              <w:left w:val="single" w:sz="6" w:space="0" w:color="7F7F7F"/>
              <w:bottom w:val="single" w:sz="6" w:space="0" w:color="7F7F7F"/>
              <w:right w:val="single" w:sz="6" w:space="0" w:color="7F7F7F"/>
            </w:tcBorders>
            <w:shd w:val="clear" w:color="auto" w:fill="FFFFFF"/>
          </w:tcPr>
          <w:p w14:paraId="4DA349A3" w14:textId="77777777" w:rsidR="00CA4720" w:rsidRPr="00B3040C" w:rsidRDefault="00B3040C">
            <w:pPr>
              <w:spacing w:after="0" w:line="259" w:lineRule="auto"/>
              <w:ind w:left="0" w:right="385" w:firstLine="0"/>
              <w:jc w:val="left"/>
              <w:rPr>
                <w:rFonts w:ascii="Times New Roman" w:hAnsi="Times New Roman" w:cs="Times New Roman"/>
                <w:szCs w:val="24"/>
              </w:rPr>
            </w:pPr>
            <w:r w:rsidRPr="00B3040C">
              <w:rPr>
                <w:rFonts w:ascii="Times New Roman" w:hAnsi="Times New Roman" w:cs="Times New Roman"/>
                <w:szCs w:val="24"/>
              </w:rPr>
              <w:t>Ostali poslovni prihodi s poduzetnicima unutar grupe</w:t>
            </w:r>
          </w:p>
        </w:tc>
        <w:tc>
          <w:tcPr>
            <w:tcW w:w="1397" w:type="dxa"/>
            <w:tcBorders>
              <w:top w:val="single" w:sz="6" w:space="0" w:color="7F7F7F"/>
              <w:left w:val="single" w:sz="6" w:space="0" w:color="7F7F7F"/>
              <w:bottom w:val="single" w:sz="6" w:space="0" w:color="7F7F7F"/>
              <w:right w:val="single" w:sz="6" w:space="0" w:color="7F7F7F"/>
            </w:tcBorders>
            <w:shd w:val="clear" w:color="auto" w:fill="FFFFFF"/>
            <w:vAlign w:val="center"/>
          </w:tcPr>
          <w:p w14:paraId="0C4CCD42"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128" w:type="dxa"/>
            <w:tcBorders>
              <w:top w:val="single" w:sz="6" w:space="0" w:color="7F7F7F"/>
              <w:left w:val="single" w:sz="6" w:space="0" w:color="7F7F7F"/>
              <w:bottom w:val="single" w:sz="6" w:space="0" w:color="7F7F7F"/>
              <w:right w:val="single" w:sz="6" w:space="0" w:color="7F7F7F"/>
            </w:tcBorders>
            <w:shd w:val="clear" w:color="auto" w:fill="FFFFFF"/>
            <w:vAlign w:val="center"/>
          </w:tcPr>
          <w:p w14:paraId="796B04A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42" w:type="dxa"/>
            <w:tcBorders>
              <w:top w:val="single" w:sz="6" w:space="0" w:color="7F7F7F"/>
              <w:left w:val="single" w:sz="6" w:space="0" w:color="7F7F7F"/>
              <w:bottom w:val="single" w:sz="6" w:space="0" w:color="7F7F7F"/>
              <w:right w:val="single" w:sz="6" w:space="0" w:color="7F7F7F"/>
            </w:tcBorders>
            <w:shd w:val="clear" w:color="auto" w:fill="FFFFFF"/>
          </w:tcPr>
          <w:p w14:paraId="199FB81F"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679588E6" w14:textId="77777777">
        <w:trPr>
          <w:trHeight w:val="328"/>
        </w:trPr>
        <w:tc>
          <w:tcPr>
            <w:tcW w:w="3960" w:type="dxa"/>
            <w:tcBorders>
              <w:top w:val="single" w:sz="6" w:space="0" w:color="7F7F7F"/>
              <w:left w:val="single" w:sz="6" w:space="0" w:color="7F7F7F"/>
              <w:bottom w:val="single" w:sz="17" w:space="0" w:color="2E75B6"/>
              <w:right w:val="single" w:sz="6" w:space="0" w:color="7F7F7F"/>
            </w:tcBorders>
          </w:tcPr>
          <w:p w14:paraId="53F0DDE7"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Ostali poslovni prihodi</w:t>
            </w:r>
          </w:p>
        </w:tc>
        <w:tc>
          <w:tcPr>
            <w:tcW w:w="1397" w:type="dxa"/>
            <w:tcBorders>
              <w:top w:val="single" w:sz="6" w:space="0" w:color="7F7F7F"/>
              <w:left w:val="single" w:sz="6" w:space="0" w:color="7F7F7F"/>
              <w:bottom w:val="single" w:sz="17" w:space="0" w:color="2E75B6"/>
              <w:right w:val="single" w:sz="6" w:space="0" w:color="7F7F7F"/>
            </w:tcBorders>
          </w:tcPr>
          <w:p w14:paraId="5A7DBE5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1.278 kn</w:t>
            </w:r>
          </w:p>
        </w:tc>
        <w:tc>
          <w:tcPr>
            <w:tcW w:w="1128" w:type="dxa"/>
            <w:tcBorders>
              <w:top w:val="single" w:sz="6" w:space="0" w:color="7F7F7F"/>
              <w:left w:val="single" w:sz="6" w:space="0" w:color="7F7F7F"/>
              <w:bottom w:val="single" w:sz="17" w:space="0" w:color="2E75B6"/>
              <w:right w:val="single" w:sz="6" w:space="0" w:color="7F7F7F"/>
            </w:tcBorders>
          </w:tcPr>
          <w:p w14:paraId="24FCA84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950 kn</w:t>
            </w:r>
          </w:p>
        </w:tc>
        <w:tc>
          <w:tcPr>
            <w:tcW w:w="1642" w:type="dxa"/>
            <w:tcBorders>
              <w:top w:val="single" w:sz="6" w:space="0" w:color="7F7F7F"/>
              <w:left w:val="single" w:sz="6" w:space="0" w:color="7F7F7F"/>
              <w:bottom w:val="single" w:sz="17" w:space="0" w:color="2E75B6"/>
              <w:right w:val="single" w:sz="6" w:space="0" w:color="7F7F7F"/>
            </w:tcBorders>
          </w:tcPr>
          <w:p w14:paraId="0BD0E2B2"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74,33</w:t>
            </w:r>
          </w:p>
        </w:tc>
      </w:tr>
      <w:tr w:rsidR="00CA4720" w:rsidRPr="00B3040C" w14:paraId="4426C8AF" w14:textId="77777777">
        <w:trPr>
          <w:trHeight w:val="341"/>
        </w:trPr>
        <w:tc>
          <w:tcPr>
            <w:tcW w:w="3960" w:type="dxa"/>
            <w:tcBorders>
              <w:top w:val="single" w:sz="17" w:space="0" w:color="2E75B6"/>
              <w:left w:val="single" w:sz="6" w:space="0" w:color="7F7F7F"/>
              <w:bottom w:val="single" w:sz="6" w:space="0" w:color="7F7F7F"/>
              <w:right w:val="single" w:sz="6" w:space="0" w:color="7F7F7F"/>
            </w:tcBorders>
          </w:tcPr>
          <w:p w14:paraId="6EB1CF4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397" w:type="dxa"/>
            <w:tcBorders>
              <w:top w:val="single" w:sz="17" w:space="0" w:color="2E75B6"/>
              <w:left w:val="single" w:sz="6" w:space="0" w:color="7F7F7F"/>
              <w:bottom w:val="single" w:sz="6" w:space="0" w:color="7F7F7F"/>
              <w:right w:val="single" w:sz="6" w:space="0" w:color="7F7F7F"/>
            </w:tcBorders>
          </w:tcPr>
          <w:p w14:paraId="3669839A"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1.278 kn</w:t>
            </w:r>
          </w:p>
        </w:tc>
        <w:tc>
          <w:tcPr>
            <w:tcW w:w="1128" w:type="dxa"/>
            <w:tcBorders>
              <w:top w:val="single" w:sz="17" w:space="0" w:color="2E75B6"/>
              <w:left w:val="single" w:sz="6" w:space="0" w:color="7F7F7F"/>
              <w:bottom w:val="single" w:sz="6" w:space="0" w:color="7F7F7F"/>
              <w:right w:val="single" w:sz="6" w:space="0" w:color="7F7F7F"/>
            </w:tcBorders>
          </w:tcPr>
          <w:p w14:paraId="08EA7667"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950 kn</w:t>
            </w:r>
          </w:p>
        </w:tc>
        <w:tc>
          <w:tcPr>
            <w:tcW w:w="1642" w:type="dxa"/>
            <w:tcBorders>
              <w:top w:val="single" w:sz="17" w:space="0" w:color="2E75B6"/>
              <w:left w:val="single" w:sz="6" w:space="0" w:color="7F7F7F"/>
              <w:bottom w:val="single" w:sz="6" w:space="0" w:color="7F7F7F"/>
              <w:right w:val="single" w:sz="6" w:space="0" w:color="7F7F7F"/>
            </w:tcBorders>
          </w:tcPr>
          <w:p w14:paraId="25CCFD86"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1EEDB49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Financijski prihodi</w:t>
      </w:r>
    </w:p>
    <w:p w14:paraId="20360EF3"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w:t>
      </w:r>
    </w:p>
    <w:p w14:paraId="54E8510D"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Financijski prihodi sastoje se od prihoda od ulaganja u dionice/udjele poduzetnika, kamata, tečajnih razlika i ostalih financijskih prihoda iz odnosa s poduzetnicima i financijskim institucijama.</w:t>
      </w:r>
    </w:p>
    <w:p w14:paraId="6F7A3237" w14:textId="77777777" w:rsidR="00CA4720" w:rsidRPr="00B3040C" w:rsidRDefault="00B3040C">
      <w:pPr>
        <w:spacing w:after="226"/>
        <w:ind w:left="-5"/>
        <w:rPr>
          <w:rFonts w:ascii="Times New Roman" w:hAnsi="Times New Roman" w:cs="Times New Roman"/>
          <w:szCs w:val="24"/>
        </w:rPr>
      </w:pPr>
      <w:r w:rsidRPr="00B3040C">
        <w:rPr>
          <w:rFonts w:ascii="Times New Roman" w:hAnsi="Times New Roman" w:cs="Times New Roman"/>
          <w:szCs w:val="24"/>
        </w:rPr>
        <w:t>Društvo je u 2018. godini ostvarilo financijske prihode u iznosu 710 kn.</w:t>
      </w:r>
    </w:p>
    <w:p w14:paraId="3DE567A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nije ostvarilo financijske prihode iz odnosa s povezanim osobama i s osobama povezanim sudjelujućim interesima.</w:t>
      </w:r>
    </w:p>
    <w:p w14:paraId="24C685A7" w14:textId="77777777" w:rsidR="00CA4720" w:rsidRPr="00B3040C" w:rsidRDefault="00B3040C">
      <w:pPr>
        <w:pStyle w:val="Naslov3"/>
        <w:ind w:left="-5"/>
        <w:rPr>
          <w:rFonts w:ascii="Times New Roman" w:hAnsi="Times New Roman" w:cs="Times New Roman"/>
          <w:szCs w:val="24"/>
        </w:rPr>
      </w:pPr>
      <w:r w:rsidRPr="00B3040C">
        <w:rPr>
          <w:rFonts w:ascii="Times New Roman" w:hAnsi="Times New Roman" w:cs="Times New Roman"/>
          <w:szCs w:val="24"/>
        </w:rPr>
        <w:lastRenderedPageBreak/>
        <w:t>Prihodi od ulaganja u udjele, kamata i tečajnih razlika iz odnosa s poduzetnicima unutar grupe</w:t>
      </w:r>
    </w:p>
    <w:p w14:paraId="6F02278A"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3a</w:t>
      </w:r>
    </w:p>
    <w:p w14:paraId="40B3CB1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u poslovnoj godini nije ostvarilo financijske prihode od ulaganja u udjele, kamata i tečajnih razlika iz odnosa s poduzetnicima unutar grupe.</w:t>
      </w:r>
    </w:p>
    <w:p w14:paraId="4C83628F" w14:textId="77777777" w:rsidR="00CA4720" w:rsidRPr="00B3040C" w:rsidRDefault="00B3040C">
      <w:pPr>
        <w:pStyle w:val="Naslov3"/>
        <w:spacing w:after="267"/>
        <w:ind w:left="-5" w:right="903"/>
        <w:rPr>
          <w:rFonts w:ascii="Times New Roman" w:hAnsi="Times New Roman" w:cs="Times New Roman"/>
          <w:szCs w:val="24"/>
        </w:rPr>
      </w:pPr>
      <w:r w:rsidRPr="00B3040C">
        <w:rPr>
          <w:rFonts w:ascii="Times New Roman" w:hAnsi="Times New Roman" w:cs="Times New Roman"/>
          <w:szCs w:val="24"/>
        </w:rPr>
        <w:t xml:space="preserve">Prihodi od ulaganja u udjele društava povezanih sudjelujućim interesima </w:t>
      </w:r>
      <w:r w:rsidRPr="00B3040C">
        <w:rPr>
          <w:rFonts w:ascii="Times New Roman" w:hAnsi="Times New Roman" w:cs="Times New Roman"/>
          <w:i/>
          <w:color w:val="808080"/>
          <w:szCs w:val="24"/>
          <w:u w:val="single" w:color="808080"/>
        </w:rPr>
        <w:t>Bilješka br. 3b</w:t>
      </w:r>
    </w:p>
    <w:p w14:paraId="6768F80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u poslovnoj godini nije ostvarilo financijske prihode od ulaganja u udjele društava povezanih sudjelujućim interesima.</w:t>
      </w:r>
    </w:p>
    <w:p w14:paraId="41008DA5" w14:textId="77777777" w:rsidR="00CA4720" w:rsidRPr="00B3040C" w:rsidRDefault="00B3040C">
      <w:pPr>
        <w:pStyle w:val="Naslov3"/>
        <w:ind w:left="-5"/>
        <w:rPr>
          <w:rFonts w:ascii="Times New Roman" w:hAnsi="Times New Roman" w:cs="Times New Roman"/>
          <w:szCs w:val="24"/>
        </w:rPr>
      </w:pPr>
      <w:r w:rsidRPr="00B3040C">
        <w:rPr>
          <w:rFonts w:ascii="Times New Roman" w:hAnsi="Times New Roman" w:cs="Times New Roman"/>
          <w:szCs w:val="24"/>
        </w:rPr>
        <w:t>Prihodi od ostalih dugotrajnih financijskih ulaganja i zajmova, ostali prihodi od kamata i tečajne razlike</w:t>
      </w:r>
    </w:p>
    <w:p w14:paraId="4D46D000"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3c</w:t>
      </w:r>
    </w:p>
    <w:p w14:paraId="30A680C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Financijski prihodi koji su ostvareni iz poslovnog odnosa s poduzetnicima koji nisu unutar grupe te financijskih institucija, a koji se sastoje od prihoda od dugotrajnih financijskih ulaganja i zajmova, ostalih financijskih prihoda od kamata, tečajnih razlika i ostalih financijskih prihoda iznosili su 710 kn.</w:t>
      </w:r>
    </w:p>
    <w:p w14:paraId="7EA6C733"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Nerealizirani dobici od financijske imovine</w:t>
      </w:r>
    </w:p>
    <w:p w14:paraId="5F34F439" w14:textId="77777777" w:rsidR="00CA4720" w:rsidRPr="00B3040C" w:rsidRDefault="00B3040C">
      <w:pPr>
        <w:spacing w:after="309" w:line="259" w:lineRule="auto"/>
        <w:ind w:left="-5"/>
        <w:jc w:val="left"/>
        <w:rPr>
          <w:rFonts w:ascii="Times New Roman" w:hAnsi="Times New Roman" w:cs="Times New Roman"/>
          <w:szCs w:val="24"/>
        </w:rPr>
      </w:pPr>
      <w:r w:rsidRPr="00B3040C">
        <w:rPr>
          <w:rFonts w:ascii="Times New Roman" w:hAnsi="Times New Roman" w:cs="Times New Roman"/>
          <w:b/>
          <w:i/>
          <w:color w:val="808080"/>
          <w:szCs w:val="24"/>
          <w:u w:val="single" w:color="808080"/>
        </w:rPr>
        <w:t>Bilješka br. 3d</w:t>
      </w:r>
    </w:p>
    <w:p w14:paraId="0D8A22ED"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posjedovalo dionice.</w:t>
      </w:r>
    </w:p>
    <w:p w14:paraId="076A8703"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Ostali financijski prihodi</w:t>
      </w:r>
    </w:p>
    <w:p w14:paraId="1CCA3850"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3e</w:t>
      </w:r>
    </w:p>
    <w:p w14:paraId="14DF0DB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Ostali financijski prihodi odnose se na financijske prihode koji su ostvareni od ulaganja u udjele i dionice društava s udjelom vlasništva manjim od 20% na rok kraći od godinu dana te drugih prihoda koji se ne odnose na kamate zajmova i tečajne razlike.</w:t>
      </w:r>
    </w:p>
    <w:p w14:paraId="4C1DBEE1" w14:textId="77777777" w:rsidR="00CA4720" w:rsidRPr="00B3040C" w:rsidRDefault="00B3040C">
      <w:pPr>
        <w:spacing w:after="841"/>
        <w:ind w:left="-5"/>
        <w:rPr>
          <w:rFonts w:ascii="Times New Roman" w:hAnsi="Times New Roman" w:cs="Times New Roman"/>
          <w:szCs w:val="24"/>
        </w:rPr>
      </w:pPr>
      <w:r w:rsidRPr="00B3040C">
        <w:rPr>
          <w:rFonts w:ascii="Times New Roman" w:hAnsi="Times New Roman" w:cs="Times New Roman"/>
          <w:szCs w:val="24"/>
        </w:rPr>
        <w:t>Društvo na dan izvještavanja nije imalo ostalih financijskih prihoda.</w:t>
      </w:r>
    </w:p>
    <w:p w14:paraId="2C30ADAF" w14:textId="77777777" w:rsidR="00CA4720" w:rsidRPr="00B3040C" w:rsidRDefault="00B3040C">
      <w:pPr>
        <w:pStyle w:val="Naslov2"/>
        <w:spacing w:after="0"/>
        <w:ind w:left="-5"/>
        <w:rPr>
          <w:rFonts w:ascii="Times New Roman" w:hAnsi="Times New Roman" w:cs="Times New Roman"/>
          <w:szCs w:val="24"/>
        </w:rPr>
      </w:pPr>
      <w:r w:rsidRPr="00B3040C">
        <w:rPr>
          <w:rFonts w:ascii="Times New Roman" w:hAnsi="Times New Roman" w:cs="Times New Roman"/>
          <w:szCs w:val="24"/>
        </w:rPr>
        <w:t>RASHODI</w:t>
      </w:r>
    </w:p>
    <w:p w14:paraId="6283D449" w14:textId="77777777" w:rsidR="00CA4720" w:rsidRPr="00B3040C" w:rsidRDefault="00B3040C">
      <w:pPr>
        <w:spacing w:after="261" w:line="259" w:lineRule="auto"/>
        <w:ind w:left="-5"/>
        <w:jc w:val="left"/>
        <w:rPr>
          <w:rFonts w:ascii="Times New Roman" w:hAnsi="Times New Roman" w:cs="Times New Roman"/>
          <w:szCs w:val="24"/>
        </w:rPr>
      </w:pPr>
      <w:r w:rsidRPr="00B3040C">
        <w:rPr>
          <w:rFonts w:ascii="Times New Roman" w:hAnsi="Times New Roman" w:cs="Times New Roman"/>
          <w:b/>
          <w:i/>
          <w:color w:val="808080"/>
          <w:szCs w:val="24"/>
          <w:u w:val="single" w:color="808080"/>
        </w:rPr>
        <w:t>Bilješka br. 4</w:t>
      </w:r>
    </w:p>
    <w:p w14:paraId="7673D9D2" w14:textId="77777777" w:rsidR="00CA4720" w:rsidRPr="00B3040C" w:rsidRDefault="00B3040C">
      <w:pPr>
        <w:spacing w:after="793"/>
        <w:ind w:left="-5"/>
        <w:rPr>
          <w:rFonts w:ascii="Times New Roman" w:hAnsi="Times New Roman" w:cs="Times New Roman"/>
          <w:szCs w:val="24"/>
        </w:rPr>
      </w:pPr>
      <w:r w:rsidRPr="00B3040C">
        <w:rPr>
          <w:rFonts w:ascii="Times New Roman" w:hAnsi="Times New Roman" w:cs="Times New Roman"/>
          <w:szCs w:val="24"/>
        </w:rPr>
        <w:t>Društvo je u poslovnoj godini 2018. ostvarilo ukupne rashode u visini od 113.571 kn.</w:t>
      </w:r>
    </w:p>
    <w:p w14:paraId="55783D4E"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Poslovni rashodi</w:t>
      </w:r>
    </w:p>
    <w:p w14:paraId="00D4C875"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5</w:t>
      </w:r>
    </w:p>
    <w:p w14:paraId="7E1AF24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Poslovni rashodi sastoje se od promjene vrijednosti zaliha proizvodnje u tijeku i gotovih proizvoda, materijalnih troškova, troškova osoblja, amortizacije, ostalih troškova, vrijednosnih usklađenja, rezerviranja i ostalih poslovnih rashoda.</w:t>
      </w:r>
    </w:p>
    <w:p w14:paraId="6ACDED27"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lastRenderedPageBreak/>
        <w:t>Društvo je u 2018. godini iskazalo poslovne rashode u visini od 113.571 kn.</w:t>
      </w:r>
    </w:p>
    <w:tbl>
      <w:tblPr>
        <w:tblStyle w:val="TableGrid"/>
        <w:tblW w:w="8126" w:type="dxa"/>
        <w:tblInd w:w="-17" w:type="dxa"/>
        <w:tblCellMar>
          <w:top w:w="36" w:type="dxa"/>
          <w:left w:w="31" w:type="dxa"/>
          <w:bottom w:w="0" w:type="dxa"/>
          <w:right w:w="55" w:type="dxa"/>
        </w:tblCellMar>
        <w:tblLook w:val="04A0" w:firstRow="1" w:lastRow="0" w:firstColumn="1" w:lastColumn="0" w:noHBand="0" w:noVBand="1"/>
      </w:tblPr>
      <w:tblGrid>
        <w:gridCol w:w="3178"/>
        <w:gridCol w:w="1675"/>
        <w:gridCol w:w="1670"/>
        <w:gridCol w:w="1603"/>
      </w:tblGrid>
      <w:tr w:rsidR="00CA4720" w:rsidRPr="00B3040C" w14:paraId="1489996C" w14:textId="77777777">
        <w:trPr>
          <w:trHeight w:val="898"/>
        </w:trPr>
        <w:tc>
          <w:tcPr>
            <w:tcW w:w="317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790FE8AD"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Naziv pozicije</w:t>
            </w:r>
          </w:p>
        </w:tc>
        <w:tc>
          <w:tcPr>
            <w:tcW w:w="1675"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725E2A42" w14:textId="77777777" w:rsidR="00CA4720" w:rsidRPr="00B3040C" w:rsidRDefault="00B3040C">
            <w:pPr>
              <w:spacing w:after="0" w:line="259" w:lineRule="auto"/>
              <w:ind w:left="22"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670"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21881818"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603"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7D111CC4"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5843C64F" w14:textId="77777777">
        <w:trPr>
          <w:trHeight w:val="322"/>
        </w:trPr>
        <w:tc>
          <w:tcPr>
            <w:tcW w:w="3178" w:type="dxa"/>
            <w:tcBorders>
              <w:top w:val="single" w:sz="6" w:space="0" w:color="7F7F7F"/>
              <w:left w:val="single" w:sz="6" w:space="0" w:color="7F7F7F"/>
              <w:bottom w:val="single" w:sz="6" w:space="0" w:color="7F7F7F"/>
              <w:right w:val="single" w:sz="6" w:space="0" w:color="7F7F7F"/>
            </w:tcBorders>
            <w:shd w:val="clear" w:color="auto" w:fill="FFFFFF"/>
          </w:tcPr>
          <w:p w14:paraId="7DCF6E6A"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Promjene vrijednosti</w:t>
            </w:r>
          </w:p>
        </w:tc>
        <w:tc>
          <w:tcPr>
            <w:tcW w:w="1675" w:type="dxa"/>
            <w:tcBorders>
              <w:top w:val="single" w:sz="6" w:space="0" w:color="7F7F7F"/>
              <w:left w:val="single" w:sz="6" w:space="0" w:color="7F7F7F"/>
              <w:bottom w:val="single" w:sz="6" w:space="0" w:color="7F7F7F"/>
              <w:right w:val="single" w:sz="6" w:space="0" w:color="7F7F7F"/>
            </w:tcBorders>
            <w:shd w:val="clear" w:color="auto" w:fill="FFFFFF"/>
          </w:tcPr>
          <w:p w14:paraId="19CBE2D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70" w:type="dxa"/>
            <w:tcBorders>
              <w:top w:val="single" w:sz="6" w:space="0" w:color="7F7F7F"/>
              <w:left w:val="single" w:sz="6" w:space="0" w:color="7F7F7F"/>
              <w:bottom w:val="single" w:sz="6" w:space="0" w:color="7F7F7F"/>
              <w:right w:val="single" w:sz="6" w:space="0" w:color="7F7F7F"/>
            </w:tcBorders>
            <w:shd w:val="clear" w:color="auto" w:fill="FFFFFF"/>
          </w:tcPr>
          <w:p w14:paraId="3DC99E7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03" w:type="dxa"/>
            <w:tcBorders>
              <w:top w:val="single" w:sz="6" w:space="0" w:color="7F7F7F"/>
              <w:left w:val="single" w:sz="6" w:space="0" w:color="7F7F7F"/>
              <w:bottom w:val="single" w:sz="6" w:space="0" w:color="7F7F7F"/>
              <w:right w:val="single" w:sz="6" w:space="0" w:color="7F7F7F"/>
            </w:tcBorders>
            <w:shd w:val="clear" w:color="auto" w:fill="FFFFFF"/>
          </w:tcPr>
          <w:p w14:paraId="7AD1A8C0"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7D1AFECE" w14:textId="77777777">
        <w:trPr>
          <w:trHeight w:val="314"/>
        </w:trPr>
        <w:tc>
          <w:tcPr>
            <w:tcW w:w="3178" w:type="dxa"/>
            <w:tcBorders>
              <w:top w:val="single" w:sz="6" w:space="0" w:color="7F7F7F"/>
              <w:left w:val="single" w:sz="6" w:space="0" w:color="7F7F7F"/>
              <w:bottom w:val="single" w:sz="6" w:space="0" w:color="7F7F7F"/>
              <w:right w:val="single" w:sz="6" w:space="0" w:color="7F7F7F"/>
            </w:tcBorders>
          </w:tcPr>
          <w:p w14:paraId="3B1BA894"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Materijalni troškovi</w:t>
            </w:r>
          </w:p>
        </w:tc>
        <w:tc>
          <w:tcPr>
            <w:tcW w:w="1675" w:type="dxa"/>
            <w:tcBorders>
              <w:top w:val="single" w:sz="6" w:space="0" w:color="7F7F7F"/>
              <w:left w:val="single" w:sz="6" w:space="0" w:color="7F7F7F"/>
              <w:bottom w:val="single" w:sz="6" w:space="0" w:color="7F7F7F"/>
              <w:right w:val="single" w:sz="6" w:space="0" w:color="7F7F7F"/>
            </w:tcBorders>
          </w:tcPr>
          <w:p w14:paraId="2F1F147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41.952 kn</w:t>
            </w:r>
          </w:p>
        </w:tc>
        <w:tc>
          <w:tcPr>
            <w:tcW w:w="1670" w:type="dxa"/>
            <w:tcBorders>
              <w:top w:val="single" w:sz="6" w:space="0" w:color="7F7F7F"/>
              <w:left w:val="single" w:sz="6" w:space="0" w:color="7F7F7F"/>
              <w:bottom w:val="single" w:sz="6" w:space="0" w:color="7F7F7F"/>
              <w:right w:val="single" w:sz="6" w:space="0" w:color="7F7F7F"/>
            </w:tcBorders>
          </w:tcPr>
          <w:p w14:paraId="5661569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59.127 kn</w:t>
            </w:r>
          </w:p>
        </w:tc>
        <w:tc>
          <w:tcPr>
            <w:tcW w:w="1603" w:type="dxa"/>
            <w:tcBorders>
              <w:top w:val="single" w:sz="6" w:space="0" w:color="7F7F7F"/>
              <w:left w:val="single" w:sz="6" w:space="0" w:color="7F7F7F"/>
              <w:bottom w:val="single" w:sz="6" w:space="0" w:color="7F7F7F"/>
              <w:right w:val="single" w:sz="6" w:space="0" w:color="7F7F7F"/>
            </w:tcBorders>
          </w:tcPr>
          <w:p w14:paraId="6F431F77"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140,94</w:t>
            </w:r>
          </w:p>
        </w:tc>
      </w:tr>
      <w:tr w:rsidR="00CA4720" w:rsidRPr="00B3040C" w14:paraId="3124DD56" w14:textId="77777777">
        <w:trPr>
          <w:trHeight w:val="312"/>
        </w:trPr>
        <w:tc>
          <w:tcPr>
            <w:tcW w:w="3178" w:type="dxa"/>
            <w:tcBorders>
              <w:top w:val="single" w:sz="6" w:space="0" w:color="7F7F7F"/>
              <w:left w:val="single" w:sz="6" w:space="0" w:color="7F7F7F"/>
              <w:bottom w:val="single" w:sz="6" w:space="0" w:color="7F7F7F"/>
              <w:right w:val="single" w:sz="6" w:space="0" w:color="7F7F7F"/>
            </w:tcBorders>
          </w:tcPr>
          <w:p w14:paraId="0FAE184E"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Troškovi osoblja</w:t>
            </w:r>
          </w:p>
        </w:tc>
        <w:tc>
          <w:tcPr>
            <w:tcW w:w="1675" w:type="dxa"/>
            <w:tcBorders>
              <w:top w:val="single" w:sz="6" w:space="0" w:color="7F7F7F"/>
              <w:left w:val="single" w:sz="6" w:space="0" w:color="7F7F7F"/>
              <w:bottom w:val="single" w:sz="6" w:space="0" w:color="7F7F7F"/>
              <w:right w:val="single" w:sz="6" w:space="0" w:color="7F7F7F"/>
            </w:tcBorders>
          </w:tcPr>
          <w:p w14:paraId="24E7185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55.828 kn</w:t>
            </w:r>
          </w:p>
        </w:tc>
        <w:tc>
          <w:tcPr>
            <w:tcW w:w="1670" w:type="dxa"/>
            <w:tcBorders>
              <w:top w:val="single" w:sz="6" w:space="0" w:color="7F7F7F"/>
              <w:left w:val="single" w:sz="6" w:space="0" w:color="7F7F7F"/>
              <w:bottom w:val="single" w:sz="6" w:space="0" w:color="7F7F7F"/>
              <w:right w:val="single" w:sz="6" w:space="0" w:color="7F7F7F"/>
            </w:tcBorders>
          </w:tcPr>
          <w:p w14:paraId="509E922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38.002 kn</w:t>
            </w:r>
          </w:p>
        </w:tc>
        <w:tc>
          <w:tcPr>
            <w:tcW w:w="1603" w:type="dxa"/>
            <w:tcBorders>
              <w:top w:val="single" w:sz="6" w:space="0" w:color="7F7F7F"/>
              <w:left w:val="single" w:sz="6" w:space="0" w:color="7F7F7F"/>
              <w:bottom w:val="single" w:sz="6" w:space="0" w:color="7F7F7F"/>
              <w:right w:val="single" w:sz="6" w:space="0" w:color="7F7F7F"/>
            </w:tcBorders>
          </w:tcPr>
          <w:p w14:paraId="6E5AEC37"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68,07</w:t>
            </w:r>
          </w:p>
        </w:tc>
      </w:tr>
      <w:tr w:rsidR="00CA4720" w:rsidRPr="00B3040C" w14:paraId="074ADA01" w14:textId="77777777">
        <w:trPr>
          <w:trHeight w:val="312"/>
        </w:trPr>
        <w:tc>
          <w:tcPr>
            <w:tcW w:w="3178" w:type="dxa"/>
            <w:tcBorders>
              <w:top w:val="single" w:sz="6" w:space="0" w:color="7F7F7F"/>
              <w:left w:val="single" w:sz="6" w:space="0" w:color="7F7F7F"/>
              <w:bottom w:val="single" w:sz="6" w:space="0" w:color="7F7F7F"/>
              <w:right w:val="single" w:sz="6" w:space="0" w:color="7F7F7F"/>
            </w:tcBorders>
          </w:tcPr>
          <w:p w14:paraId="6E4C00AF"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Amortizacija</w:t>
            </w:r>
          </w:p>
        </w:tc>
        <w:tc>
          <w:tcPr>
            <w:tcW w:w="1675" w:type="dxa"/>
            <w:tcBorders>
              <w:top w:val="single" w:sz="6" w:space="0" w:color="7F7F7F"/>
              <w:left w:val="single" w:sz="6" w:space="0" w:color="7F7F7F"/>
              <w:bottom w:val="single" w:sz="6" w:space="0" w:color="7F7F7F"/>
              <w:right w:val="single" w:sz="6" w:space="0" w:color="7F7F7F"/>
            </w:tcBorders>
          </w:tcPr>
          <w:p w14:paraId="74C32E9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4.200 kn</w:t>
            </w:r>
          </w:p>
        </w:tc>
        <w:tc>
          <w:tcPr>
            <w:tcW w:w="1670" w:type="dxa"/>
            <w:tcBorders>
              <w:top w:val="single" w:sz="6" w:space="0" w:color="7F7F7F"/>
              <w:left w:val="single" w:sz="6" w:space="0" w:color="7F7F7F"/>
              <w:bottom w:val="single" w:sz="6" w:space="0" w:color="7F7F7F"/>
              <w:right w:val="single" w:sz="6" w:space="0" w:color="7F7F7F"/>
            </w:tcBorders>
          </w:tcPr>
          <w:p w14:paraId="7EE00C61"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7.845 kn</w:t>
            </w:r>
          </w:p>
        </w:tc>
        <w:tc>
          <w:tcPr>
            <w:tcW w:w="1603" w:type="dxa"/>
            <w:tcBorders>
              <w:top w:val="single" w:sz="6" w:space="0" w:color="7F7F7F"/>
              <w:left w:val="single" w:sz="6" w:space="0" w:color="7F7F7F"/>
              <w:bottom w:val="single" w:sz="6" w:space="0" w:color="7F7F7F"/>
              <w:right w:val="single" w:sz="6" w:space="0" w:color="7F7F7F"/>
            </w:tcBorders>
          </w:tcPr>
          <w:p w14:paraId="7447F339"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186,79</w:t>
            </w:r>
          </w:p>
        </w:tc>
      </w:tr>
      <w:tr w:rsidR="00CA4720" w:rsidRPr="00B3040C" w14:paraId="76ED56D8" w14:textId="77777777">
        <w:trPr>
          <w:trHeight w:val="312"/>
        </w:trPr>
        <w:tc>
          <w:tcPr>
            <w:tcW w:w="3178" w:type="dxa"/>
            <w:tcBorders>
              <w:top w:val="single" w:sz="6" w:space="0" w:color="7F7F7F"/>
              <w:left w:val="single" w:sz="6" w:space="0" w:color="7F7F7F"/>
              <w:bottom w:val="single" w:sz="6" w:space="0" w:color="7F7F7F"/>
              <w:right w:val="single" w:sz="6" w:space="0" w:color="7F7F7F"/>
            </w:tcBorders>
          </w:tcPr>
          <w:p w14:paraId="5D9A1B6C"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Ostali troškovi</w:t>
            </w:r>
          </w:p>
        </w:tc>
        <w:tc>
          <w:tcPr>
            <w:tcW w:w="1675" w:type="dxa"/>
            <w:tcBorders>
              <w:top w:val="single" w:sz="6" w:space="0" w:color="7F7F7F"/>
              <w:left w:val="single" w:sz="6" w:space="0" w:color="7F7F7F"/>
              <w:bottom w:val="single" w:sz="6" w:space="0" w:color="7F7F7F"/>
              <w:right w:val="single" w:sz="6" w:space="0" w:color="7F7F7F"/>
            </w:tcBorders>
          </w:tcPr>
          <w:p w14:paraId="7C1AEDE0"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11.496 kn</w:t>
            </w:r>
          </w:p>
        </w:tc>
        <w:tc>
          <w:tcPr>
            <w:tcW w:w="1670" w:type="dxa"/>
            <w:tcBorders>
              <w:top w:val="single" w:sz="6" w:space="0" w:color="7F7F7F"/>
              <w:left w:val="single" w:sz="6" w:space="0" w:color="7F7F7F"/>
              <w:bottom w:val="single" w:sz="6" w:space="0" w:color="7F7F7F"/>
              <w:right w:val="single" w:sz="6" w:space="0" w:color="7F7F7F"/>
            </w:tcBorders>
          </w:tcPr>
          <w:p w14:paraId="30249CF1"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8.597 kn</w:t>
            </w:r>
          </w:p>
        </w:tc>
        <w:tc>
          <w:tcPr>
            <w:tcW w:w="1603" w:type="dxa"/>
            <w:tcBorders>
              <w:top w:val="single" w:sz="6" w:space="0" w:color="7F7F7F"/>
              <w:left w:val="single" w:sz="6" w:space="0" w:color="7F7F7F"/>
              <w:bottom w:val="single" w:sz="6" w:space="0" w:color="7F7F7F"/>
              <w:right w:val="single" w:sz="6" w:space="0" w:color="7F7F7F"/>
            </w:tcBorders>
          </w:tcPr>
          <w:p w14:paraId="07A5990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74,78</w:t>
            </w:r>
          </w:p>
        </w:tc>
      </w:tr>
      <w:tr w:rsidR="00CA4720" w:rsidRPr="00B3040C" w14:paraId="3CD7B7B7" w14:textId="77777777">
        <w:trPr>
          <w:trHeight w:val="322"/>
        </w:trPr>
        <w:tc>
          <w:tcPr>
            <w:tcW w:w="3178" w:type="dxa"/>
            <w:tcBorders>
              <w:top w:val="single" w:sz="6" w:space="0" w:color="7F7F7F"/>
              <w:left w:val="single" w:sz="6" w:space="0" w:color="7F7F7F"/>
              <w:bottom w:val="single" w:sz="6" w:space="0" w:color="7F7F7F"/>
              <w:right w:val="single" w:sz="6" w:space="0" w:color="7F7F7F"/>
            </w:tcBorders>
          </w:tcPr>
          <w:p w14:paraId="0A29957B"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Vrijednosna usklađenja</w:t>
            </w:r>
          </w:p>
        </w:tc>
        <w:tc>
          <w:tcPr>
            <w:tcW w:w="1675" w:type="dxa"/>
            <w:tcBorders>
              <w:top w:val="single" w:sz="6" w:space="0" w:color="7F7F7F"/>
              <w:left w:val="single" w:sz="6" w:space="0" w:color="7F7F7F"/>
              <w:bottom w:val="single" w:sz="6" w:space="0" w:color="7F7F7F"/>
              <w:right w:val="single" w:sz="6" w:space="0" w:color="7F7F7F"/>
            </w:tcBorders>
          </w:tcPr>
          <w:p w14:paraId="785850A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70" w:type="dxa"/>
            <w:tcBorders>
              <w:top w:val="single" w:sz="6" w:space="0" w:color="7F7F7F"/>
              <w:left w:val="single" w:sz="6" w:space="0" w:color="7F7F7F"/>
              <w:bottom w:val="single" w:sz="6" w:space="0" w:color="7F7F7F"/>
              <w:right w:val="single" w:sz="6" w:space="0" w:color="7F7F7F"/>
            </w:tcBorders>
          </w:tcPr>
          <w:p w14:paraId="6F1AB649"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03" w:type="dxa"/>
            <w:tcBorders>
              <w:top w:val="single" w:sz="6" w:space="0" w:color="7F7F7F"/>
              <w:left w:val="single" w:sz="6" w:space="0" w:color="7F7F7F"/>
              <w:bottom w:val="single" w:sz="6" w:space="0" w:color="7F7F7F"/>
              <w:right w:val="single" w:sz="6" w:space="0" w:color="7F7F7F"/>
            </w:tcBorders>
          </w:tcPr>
          <w:p w14:paraId="6ED00188"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4CFAC767" w14:textId="77777777">
        <w:trPr>
          <w:trHeight w:val="322"/>
        </w:trPr>
        <w:tc>
          <w:tcPr>
            <w:tcW w:w="3178" w:type="dxa"/>
            <w:tcBorders>
              <w:top w:val="single" w:sz="6" w:space="0" w:color="7F7F7F"/>
              <w:left w:val="single" w:sz="6" w:space="0" w:color="7F7F7F"/>
              <w:bottom w:val="single" w:sz="6" w:space="0" w:color="7F7F7F"/>
              <w:right w:val="single" w:sz="6" w:space="0" w:color="7F7F7F"/>
            </w:tcBorders>
          </w:tcPr>
          <w:p w14:paraId="3AAFC451"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Rezerviranja</w:t>
            </w:r>
          </w:p>
        </w:tc>
        <w:tc>
          <w:tcPr>
            <w:tcW w:w="1675" w:type="dxa"/>
            <w:tcBorders>
              <w:top w:val="single" w:sz="6" w:space="0" w:color="7F7F7F"/>
              <w:left w:val="single" w:sz="6" w:space="0" w:color="7F7F7F"/>
              <w:bottom w:val="single" w:sz="6" w:space="0" w:color="7F7F7F"/>
              <w:right w:val="single" w:sz="6" w:space="0" w:color="7F7F7F"/>
            </w:tcBorders>
          </w:tcPr>
          <w:p w14:paraId="040B334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70" w:type="dxa"/>
            <w:tcBorders>
              <w:top w:val="single" w:sz="6" w:space="0" w:color="7F7F7F"/>
              <w:left w:val="single" w:sz="6" w:space="0" w:color="7F7F7F"/>
              <w:bottom w:val="single" w:sz="6" w:space="0" w:color="7F7F7F"/>
              <w:right w:val="single" w:sz="6" w:space="0" w:color="7F7F7F"/>
            </w:tcBorders>
          </w:tcPr>
          <w:p w14:paraId="3CBB6BE2"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03" w:type="dxa"/>
            <w:tcBorders>
              <w:top w:val="single" w:sz="6" w:space="0" w:color="7F7F7F"/>
              <w:left w:val="single" w:sz="6" w:space="0" w:color="7F7F7F"/>
              <w:bottom w:val="single" w:sz="6" w:space="0" w:color="7F7F7F"/>
              <w:right w:val="single" w:sz="6" w:space="0" w:color="7F7F7F"/>
            </w:tcBorders>
          </w:tcPr>
          <w:p w14:paraId="7D269A4F"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5FB73419" w14:textId="77777777">
        <w:trPr>
          <w:trHeight w:val="326"/>
        </w:trPr>
        <w:tc>
          <w:tcPr>
            <w:tcW w:w="3178" w:type="dxa"/>
            <w:tcBorders>
              <w:top w:val="single" w:sz="6" w:space="0" w:color="7F7F7F"/>
              <w:left w:val="single" w:sz="6" w:space="0" w:color="7F7F7F"/>
              <w:bottom w:val="single" w:sz="17" w:space="0" w:color="2E75B6"/>
              <w:right w:val="single" w:sz="6" w:space="0" w:color="7F7F7F"/>
            </w:tcBorders>
          </w:tcPr>
          <w:p w14:paraId="4BC09A40"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Ostali poslovni rashodi</w:t>
            </w:r>
          </w:p>
        </w:tc>
        <w:tc>
          <w:tcPr>
            <w:tcW w:w="1675" w:type="dxa"/>
            <w:tcBorders>
              <w:top w:val="single" w:sz="6" w:space="0" w:color="7F7F7F"/>
              <w:left w:val="single" w:sz="6" w:space="0" w:color="7F7F7F"/>
              <w:bottom w:val="single" w:sz="17" w:space="0" w:color="2E75B6"/>
              <w:right w:val="single" w:sz="6" w:space="0" w:color="7F7F7F"/>
            </w:tcBorders>
          </w:tcPr>
          <w:p w14:paraId="36EA6F4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13.375 kn</w:t>
            </w:r>
          </w:p>
        </w:tc>
        <w:tc>
          <w:tcPr>
            <w:tcW w:w="1670" w:type="dxa"/>
            <w:tcBorders>
              <w:top w:val="single" w:sz="6" w:space="0" w:color="7F7F7F"/>
              <w:left w:val="single" w:sz="6" w:space="0" w:color="7F7F7F"/>
              <w:bottom w:val="single" w:sz="17" w:space="0" w:color="2E75B6"/>
              <w:right w:val="single" w:sz="6" w:space="0" w:color="7F7F7F"/>
            </w:tcBorders>
          </w:tcPr>
          <w:p w14:paraId="5ABCC5F2"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603" w:type="dxa"/>
            <w:tcBorders>
              <w:top w:val="single" w:sz="6" w:space="0" w:color="7F7F7F"/>
              <w:left w:val="single" w:sz="6" w:space="0" w:color="7F7F7F"/>
              <w:bottom w:val="single" w:sz="17" w:space="0" w:color="2E75B6"/>
              <w:right w:val="single" w:sz="6" w:space="0" w:color="7F7F7F"/>
            </w:tcBorders>
          </w:tcPr>
          <w:p w14:paraId="1702C11D"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0,00</w:t>
            </w:r>
          </w:p>
        </w:tc>
      </w:tr>
      <w:tr w:rsidR="00CA4720" w:rsidRPr="00B3040C" w14:paraId="7A33CEEF" w14:textId="77777777">
        <w:trPr>
          <w:trHeight w:val="341"/>
        </w:trPr>
        <w:tc>
          <w:tcPr>
            <w:tcW w:w="3178" w:type="dxa"/>
            <w:tcBorders>
              <w:top w:val="single" w:sz="17" w:space="0" w:color="2E75B6"/>
              <w:left w:val="single" w:sz="6" w:space="0" w:color="7F7F7F"/>
              <w:bottom w:val="single" w:sz="6" w:space="0" w:color="7F7F7F"/>
              <w:right w:val="single" w:sz="6" w:space="0" w:color="7F7F7F"/>
            </w:tcBorders>
          </w:tcPr>
          <w:p w14:paraId="125696A0"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675" w:type="dxa"/>
            <w:tcBorders>
              <w:top w:val="single" w:sz="17" w:space="0" w:color="2E75B6"/>
              <w:left w:val="single" w:sz="6" w:space="0" w:color="7F7F7F"/>
              <w:bottom w:val="single" w:sz="6" w:space="0" w:color="7F7F7F"/>
              <w:right w:val="single" w:sz="6" w:space="0" w:color="7F7F7F"/>
            </w:tcBorders>
          </w:tcPr>
          <w:p w14:paraId="1EDD2F0D"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126.851 kn</w:t>
            </w:r>
          </w:p>
        </w:tc>
        <w:tc>
          <w:tcPr>
            <w:tcW w:w="1670" w:type="dxa"/>
            <w:tcBorders>
              <w:top w:val="single" w:sz="17" w:space="0" w:color="2E75B6"/>
              <w:left w:val="single" w:sz="6" w:space="0" w:color="7F7F7F"/>
              <w:bottom w:val="single" w:sz="6" w:space="0" w:color="7F7F7F"/>
              <w:right w:val="single" w:sz="6" w:space="0" w:color="7F7F7F"/>
            </w:tcBorders>
          </w:tcPr>
          <w:p w14:paraId="2662BEAC"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113.571 kn</w:t>
            </w:r>
          </w:p>
        </w:tc>
        <w:tc>
          <w:tcPr>
            <w:tcW w:w="1603" w:type="dxa"/>
            <w:tcBorders>
              <w:top w:val="single" w:sz="17" w:space="0" w:color="2E75B6"/>
              <w:left w:val="single" w:sz="6" w:space="0" w:color="7F7F7F"/>
              <w:bottom w:val="single" w:sz="6" w:space="0" w:color="7F7F7F"/>
              <w:right w:val="single" w:sz="6" w:space="0" w:color="7F7F7F"/>
            </w:tcBorders>
          </w:tcPr>
          <w:p w14:paraId="353981C2"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30969066" w14:textId="77777777" w:rsidR="00CA4720" w:rsidRPr="00B3040C" w:rsidRDefault="00B3040C">
      <w:pPr>
        <w:pStyle w:val="Naslov3"/>
        <w:spacing w:after="267"/>
        <w:ind w:left="-5" w:right="903"/>
        <w:rPr>
          <w:rFonts w:ascii="Times New Roman" w:hAnsi="Times New Roman" w:cs="Times New Roman"/>
          <w:szCs w:val="24"/>
        </w:rPr>
      </w:pPr>
      <w:r w:rsidRPr="00B3040C">
        <w:rPr>
          <w:rFonts w:ascii="Times New Roman" w:hAnsi="Times New Roman" w:cs="Times New Roman"/>
          <w:szCs w:val="24"/>
        </w:rPr>
        <w:t xml:space="preserve">Promjene vrijednosti zaliha proizvodnje u tijeku i gotovih proizvoda </w:t>
      </w:r>
      <w:r w:rsidRPr="00B3040C">
        <w:rPr>
          <w:rFonts w:ascii="Times New Roman" w:hAnsi="Times New Roman" w:cs="Times New Roman"/>
          <w:i/>
          <w:color w:val="808080"/>
          <w:szCs w:val="24"/>
          <w:u w:val="single" w:color="808080"/>
        </w:rPr>
        <w:t>Bilješka br. 5a</w:t>
      </w:r>
    </w:p>
    <w:p w14:paraId="1B2E705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u poslovnoj godini nije imalo poslovnih rashoda po osnovi promjene zaliha proizvodnje u tijeku i gotovih proizvoda.</w:t>
      </w:r>
    </w:p>
    <w:p w14:paraId="5F98D142"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Materijalni troškovi</w:t>
      </w:r>
    </w:p>
    <w:p w14:paraId="04A0C365"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5b</w:t>
      </w:r>
    </w:p>
    <w:p w14:paraId="2674BB2E"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Materijalni troškovi sastoje se od troškova sirovina i materijala, troškova prodane robe i ostalih vanjskih troškova.</w:t>
      </w:r>
    </w:p>
    <w:p w14:paraId="673DA41B"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t>Tijekom poslovne godine materijalni troškovi iznosili su 59.127 kn.</w:t>
      </w:r>
    </w:p>
    <w:tbl>
      <w:tblPr>
        <w:tblStyle w:val="TableGrid"/>
        <w:tblW w:w="8126" w:type="dxa"/>
        <w:tblInd w:w="-17" w:type="dxa"/>
        <w:tblCellMar>
          <w:top w:w="38" w:type="dxa"/>
          <w:left w:w="31" w:type="dxa"/>
          <w:bottom w:w="0" w:type="dxa"/>
          <w:right w:w="55" w:type="dxa"/>
        </w:tblCellMar>
        <w:tblLook w:val="04A0" w:firstRow="1" w:lastRow="0" w:firstColumn="1" w:lastColumn="0" w:noHBand="0" w:noVBand="1"/>
      </w:tblPr>
      <w:tblGrid>
        <w:gridCol w:w="3672"/>
        <w:gridCol w:w="1459"/>
        <w:gridCol w:w="1459"/>
        <w:gridCol w:w="1536"/>
      </w:tblGrid>
      <w:tr w:rsidR="00CA4720" w:rsidRPr="00B3040C" w14:paraId="5D6A3E54" w14:textId="77777777">
        <w:trPr>
          <w:trHeight w:val="898"/>
        </w:trPr>
        <w:tc>
          <w:tcPr>
            <w:tcW w:w="3672"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42CD9C31"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Naziv pozicije</w:t>
            </w:r>
          </w:p>
        </w:tc>
        <w:tc>
          <w:tcPr>
            <w:tcW w:w="1459"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64EDCB5B"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459"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119F4DCF"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536"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2778B952"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4C1E81E5" w14:textId="77777777">
        <w:trPr>
          <w:trHeight w:val="312"/>
        </w:trPr>
        <w:tc>
          <w:tcPr>
            <w:tcW w:w="3672" w:type="dxa"/>
            <w:tcBorders>
              <w:top w:val="single" w:sz="6" w:space="0" w:color="7F7F7F"/>
              <w:left w:val="single" w:sz="6" w:space="0" w:color="7F7F7F"/>
              <w:bottom w:val="single" w:sz="6" w:space="0" w:color="7F7F7F"/>
              <w:right w:val="single" w:sz="6" w:space="0" w:color="7F7F7F"/>
            </w:tcBorders>
            <w:shd w:val="clear" w:color="auto" w:fill="FFFFFF"/>
          </w:tcPr>
          <w:p w14:paraId="4FE5F78E"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eastAsia="Calibri" w:hAnsi="Times New Roman" w:cs="Times New Roman"/>
                <w:szCs w:val="24"/>
              </w:rPr>
              <w:t>Troškovi sirovina i materijala</w:t>
            </w:r>
          </w:p>
        </w:tc>
        <w:tc>
          <w:tcPr>
            <w:tcW w:w="1459" w:type="dxa"/>
            <w:tcBorders>
              <w:top w:val="single" w:sz="6" w:space="0" w:color="7F7F7F"/>
              <w:left w:val="single" w:sz="6" w:space="0" w:color="7F7F7F"/>
              <w:bottom w:val="single" w:sz="6" w:space="0" w:color="7F7F7F"/>
              <w:right w:val="single" w:sz="6" w:space="0" w:color="7F7F7F"/>
            </w:tcBorders>
            <w:shd w:val="clear" w:color="auto" w:fill="FFFFFF"/>
          </w:tcPr>
          <w:p w14:paraId="4456D0A9"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22.902 kn</w:t>
            </w:r>
          </w:p>
        </w:tc>
        <w:tc>
          <w:tcPr>
            <w:tcW w:w="1459" w:type="dxa"/>
            <w:tcBorders>
              <w:top w:val="single" w:sz="6" w:space="0" w:color="7F7F7F"/>
              <w:left w:val="single" w:sz="6" w:space="0" w:color="7F7F7F"/>
              <w:bottom w:val="single" w:sz="6" w:space="0" w:color="7F7F7F"/>
              <w:right w:val="single" w:sz="6" w:space="0" w:color="7F7F7F"/>
            </w:tcBorders>
            <w:shd w:val="clear" w:color="auto" w:fill="FFFFFF"/>
          </w:tcPr>
          <w:p w14:paraId="518FC79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19.952 kn</w:t>
            </w:r>
          </w:p>
        </w:tc>
        <w:tc>
          <w:tcPr>
            <w:tcW w:w="1536" w:type="dxa"/>
            <w:tcBorders>
              <w:top w:val="single" w:sz="6" w:space="0" w:color="7F7F7F"/>
              <w:left w:val="single" w:sz="6" w:space="0" w:color="7F7F7F"/>
              <w:bottom w:val="single" w:sz="6" w:space="0" w:color="7F7F7F"/>
              <w:right w:val="single" w:sz="6" w:space="0" w:color="7F7F7F"/>
            </w:tcBorders>
            <w:shd w:val="clear" w:color="auto" w:fill="FFFFFF"/>
          </w:tcPr>
          <w:p w14:paraId="13E826A0"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87,12</w:t>
            </w:r>
          </w:p>
        </w:tc>
      </w:tr>
      <w:tr w:rsidR="00CA4720" w:rsidRPr="00B3040C" w14:paraId="16936EB8" w14:textId="77777777">
        <w:trPr>
          <w:trHeight w:val="323"/>
        </w:trPr>
        <w:tc>
          <w:tcPr>
            <w:tcW w:w="3672" w:type="dxa"/>
            <w:tcBorders>
              <w:top w:val="single" w:sz="6" w:space="0" w:color="7F7F7F"/>
              <w:left w:val="single" w:sz="6" w:space="0" w:color="7F7F7F"/>
              <w:bottom w:val="single" w:sz="6" w:space="0" w:color="7F7F7F"/>
              <w:right w:val="single" w:sz="6" w:space="0" w:color="7F7F7F"/>
            </w:tcBorders>
          </w:tcPr>
          <w:p w14:paraId="496A09C1"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eastAsia="Calibri" w:hAnsi="Times New Roman" w:cs="Times New Roman"/>
                <w:szCs w:val="24"/>
              </w:rPr>
              <w:t>Troškovi prodane robe</w:t>
            </w:r>
          </w:p>
        </w:tc>
        <w:tc>
          <w:tcPr>
            <w:tcW w:w="1459" w:type="dxa"/>
            <w:tcBorders>
              <w:top w:val="single" w:sz="6" w:space="0" w:color="7F7F7F"/>
              <w:left w:val="single" w:sz="6" w:space="0" w:color="7F7F7F"/>
              <w:bottom w:val="single" w:sz="6" w:space="0" w:color="7F7F7F"/>
              <w:right w:val="single" w:sz="6" w:space="0" w:color="7F7F7F"/>
            </w:tcBorders>
          </w:tcPr>
          <w:p w14:paraId="0405099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59" w:type="dxa"/>
            <w:tcBorders>
              <w:top w:val="single" w:sz="6" w:space="0" w:color="7F7F7F"/>
              <w:left w:val="single" w:sz="6" w:space="0" w:color="7F7F7F"/>
              <w:bottom w:val="single" w:sz="6" w:space="0" w:color="7F7F7F"/>
              <w:right w:val="single" w:sz="6" w:space="0" w:color="7F7F7F"/>
            </w:tcBorders>
          </w:tcPr>
          <w:p w14:paraId="504E46A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36" w:type="dxa"/>
            <w:tcBorders>
              <w:top w:val="single" w:sz="6" w:space="0" w:color="7F7F7F"/>
              <w:left w:val="single" w:sz="6" w:space="0" w:color="7F7F7F"/>
              <w:bottom w:val="single" w:sz="6" w:space="0" w:color="7F7F7F"/>
              <w:right w:val="single" w:sz="6" w:space="0" w:color="7F7F7F"/>
            </w:tcBorders>
          </w:tcPr>
          <w:p w14:paraId="65F8D86B"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5AC05F84" w14:textId="77777777">
        <w:trPr>
          <w:trHeight w:val="341"/>
        </w:trPr>
        <w:tc>
          <w:tcPr>
            <w:tcW w:w="3672" w:type="dxa"/>
            <w:tcBorders>
              <w:top w:val="single" w:sz="6" w:space="0" w:color="7F7F7F"/>
              <w:left w:val="single" w:sz="6" w:space="0" w:color="7F7F7F"/>
              <w:bottom w:val="single" w:sz="17" w:space="0" w:color="2E75B6"/>
              <w:right w:val="single" w:sz="6" w:space="0" w:color="7F7F7F"/>
            </w:tcBorders>
          </w:tcPr>
          <w:p w14:paraId="310B4743"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eastAsia="Calibri" w:hAnsi="Times New Roman" w:cs="Times New Roman"/>
                <w:szCs w:val="24"/>
              </w:rPr>
              <w:t>Ostali vanjski troškovi</w:t>
            </w:r>
          </w:p>
        </w:tc>
        <w:tc>
          <w:tcPr>
            <w:tcW w:w="1459" w:type="dxa"/>
            <w:tcBorders>
              <w:top w:val="single" w:sz="6" w:space="0" w:color="7F7F7F"/>
              <w:left w:val="single" w:sz="6" w:space="0" w:color="7F7F7F"/>
              <w:bottom w:val="single" w:sz="17" w:space="0" w:color="2E75B6"/>
              <w:right w:val="single" w:sz="6" w:space="0" w:color="7F7F7F"/>
            </w:tcBorders>
          </w:tcPr>
          <w:p w14:paraId="18B9949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19.050 kn</w:t>
            </w:r>
          </w:p>
        </w:tc>
        <w:tc>
          <w:tcPr>
            <w:tcW w:w="1459" w:type="dxa"/>
            <w:tcBorders>
              <w:top w:val="single" w:sz="6" w:space="0" w:color="7F7F7F"/>
              <w:left w:val="single" w:sz="6" w:space="0" w:color="7F7F7F"/>
              <w:bottom w:val="single" w:sz="17" w:space="0" w:color="2E75B6"/>
              <w:right w:val="single" w:sz="6" w:space="0" w:color="7F7F7F"/>
            </w:tcBorders>
          </w:tcPr>
          <w:p w14:paraId="2285D74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39.175 kn</w:t>
            </w:r>
          </w:p>
        </w:tc>
        <w:tc>
          <w:tcPr>
            <w:tcW w:w="1536" w:type="dxa"/>
            <w:tcBorders>
              <w:top w:val="single" w:sz="6" w:space="0" w:color="7F7F7F"/>
              <w:left w:val="single" w:sz="6" w:space="0" w:color="7F7F7F"/>
              <w:bottom w:val="single" w:sz="17" w:space="0" w:color="2E75B6"/>
              <w:right w:val="single" w:sz="6" w:space="0" w:color="7F7F7F"/>
            </w:tcBorders>
          </w:tcPr>
          <w:p w14:paraId="03A136C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205,64</w:t>
            </w:r>
          </w:p>
        </w:tc>
      </w:tr>
      <w:tr w:rsidR="00CA4720" w:rsidRPr="00B3040C" w14:paraId="56D1D5F1" w14:textId="77777777">
        <w:trPr>
          <w:trHeight w:val="341"/>
        </w:trPr>
        <w:tc>
          <w:tcPr>
            <w:tcW w:w="3672" w:type="dxa"/>
            <w:tcBorders>
              <w:top w:val="single" w:sz="17" w:space="0" w:color="2E75B6"/>
              <w:left w:val="single" w:sz="6" w:space="0" w:color="7F7F7F"/>
              <w:bottom w:val="single" w:sz="6" w:space="0" w:color="7F7F7F"/>
              <w:right w:val="single" w:sz="6" w:space="0" w:color="7F7F7F"/>
            </w:tcBorders>
          </w:tcPr>
          <w:p w14:paraId="211D2D4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459" w:type="dxa"/>
            <w:tcBorders>
              <w:top w:val="single" w:sz="17" w:space="0" w:color="2E75B6"/>
              <w:left w:val="single" w:sz="6" w:space="0" w:color="7F7F7F"/>
              <w:bottom w:val="single" w:sz="6" w:space="0" w:color="7F7F7F"/>
              <w:right w:val="single" w:sz="6" w:space="0" w:color="7F7F7F"/>
            </w:tcBorders>
          </w:tcPr>
          <w:p w14:paraId="775E22CD"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41.952 kn</w:t>
            </w:r>
          </w:p>
        </w:tc>
        <w:tc>
          <w:tcPr>
            <w:tcW w:w="1459" w:type="dxa"/>
            <w:tcBorders>
              <w:top w:val="single" w:sz="17" w:space="0" w:color="2E75B6"/>
              <w:left w:val="single" w:sz="6" w:space="0" w:color="7F7F7F"/>
              <w:bottom w:val="single" w:sz="6" w:space="0" w:color="7F7F7F"/>
              <w:right w:val="single" w:sz="6" w:space="0" w:color="7F7F7F"/>
            </w:tcBorders>
          </w:tcPr>
          <w:p w14:paraId="716A0CE7"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59.127 kn</w:t>
            </w:r>
          </w:p>
        </w:tc>
        <w:tc>
          <w:tcPr>
            <w:tcW w:w="1536" w:type="dxa"/>
            <w:tcBorders>
              <w:top w:val="single" w:sz="17" w:space="0" w:color="2E75B6"/>
              <w:left w:val="single" w:sz="6" w:space="0" w:color="7F7F7F"/>
              <w:bottom w:val="single" w:sz="6" w:space="0" w:color="7F7F7F"/>
              <w:right w:val="single" w:sz="6" w:space="0" w:color="7F7F7F"/>
            </w:tcBorders>
          </w:tcPr>
          <w:p w14:paraId="0C7DF2A2"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4B095505" w14:textId="77777777" w:rsidR="00CA4720" w:rsidRPr="00B3040C" w:rsidRDefault="00B3040C">
      <w:pPr>
        <w:spacing w:after="566" w:line="246" w:lineRule="auto"/>
        <w:ind w:left="-5" w:right="-15"/>
        <w:jc w:val="left"/>
        <w:rPr>
          <w:rFonts w:ascii="Times New Roman" w:hAnsi="Times New Roman" w:cs="Times New Roman"/>
          <w:szCs w:val="24"/>
        </w:rPr>
      </w:pPr>
      <w:r w:rsidRPr="00B3040C">
        <w:rPr>
          <w:rFonts w:ascii="Times New Roman" w:hAnsi="Times New Roman" w:cs="Times New Roman"/>
          <w:szCs w:val="24"/>
        </w:rPr>
        <w:t>Na</w:t>
      </w:r>
      <w:r w:rsidRPr="00B3040C">
        <w:rPr>
          <w:rFonts w:ascii="Times New Roman" w:hAnsi="Times New Roman" w:cs="Times New Roman"/>
          <w:szCs w:val="24"/>
        </w:rPr>
        <w:tab/>
        <w:t>poziciji</w:t>
      </w:r>
      <w:r w:rsidRPr="00B3040C">
        <w:rPr>
          <w:rFonts w:ascii="Times New Roman" w:hAnsi="Times New Roman" w:cs="Times New Roman"/>
          <w:szCs w:val="24"/>
        </w:rPr>
        <w:tab/>
        <w:t>vanjskih</w:t>
      </w:r>
      <w:r w:rsidRPr="00B3040C">
        <w:rPr>
          <w:rFonts w:ascii="Times New Roman" w:hAnsi="Times New Roman" w:cs="Times New Roman"/>
          <w:szCs w:val="24"/>
        </w:rPr>
        <w:tab/>
        <w:t>troškova</w:t>
      </w:r>
      <w:r w:rsidRPr="00B3040C">
        <w:rPr>
          <w:rFonts w:ascii="Times New Roman" w:hAnsi="Times New Roman" w:cs="Times New Roman"/>
          <w:szCs w:val="24"/>
        </w:rPr>
        <w:tab/>
        <w:t>prikazani</w:t>
      </w:r>
      <w:r w:rsidRPr="00B3040C">
        <w:rPr>
          <w:rFonts w:ascii="Times New Roman" w:hAnsi="Times New Roman" w:cs="Times New Roman"/>
          <w:szCs w:val="24"/>
        </w:rPr>
        <w:tab/>
        <w:t>su</w:t>
      </w:r>
      <w:r w:rsidRPr="00B3040C">
        <w:rPr>
          <w:rFonts w:ascii="Times New Roman" w:hAnsi="Times New Roman" w:cs="Times New Roman"/>
          <w:szCs w:val="24"/>
        </w:rPr>
        <w:tab/>
        <w:t>troškovi</w:t>
      </w:r>
      <w:r w:rsidRPr="00B3040C">
        <w:rPr>
          <w:rFonts w:ascii="Times New Roman" w:hAnsi="Times New Roman" w:cs="Times New Roman"/>
          <w:szCs w:val="24"/>
        </w:rPr>
        <w:tab/>
        <w:t>kao</w:t>
      </w:r>
      <w:r w:rsidRPr="00B3040C">
        <w:rPr>
          <w:rFonts w:ascii="Times New Roman" w:hAnsi="Times New Roman" w:cs="Times New Roman"/>
          <w:szCs w:val="24"/>
        </w:rPr>
        <w:tab/>
        <w:t>što</w:t>
      </w:r>
      <w:r w:rsidRPr="00B3040C">
        <w:rPr>
          <w:rFonts w:ascii="Times New Roman" w:hAnsi="Times New Roman" w:cs="Times New Roman"/>
          <w:szCs w:val="24"/>
        </w:rPr>
        <w:tab/>
        <w:t>su</w:t>
      </w:r>
      <w:r w:rsidRPr="00B3040C">
        <w:rPr>
          <w:rFonts w:ascii="Times New Roman" w:hAnsi="Times New Roman" w:cs="Times New Roman"/>
          <w:szCs w:val="24"/>
        </w:rPr>
        <w:tab/>
        <w:t>poštanske</w:t>
      </w:r>
      <w:r w:rsidRPr="00B3040C">
        <w:rPr>
          <w:rFonts w:ascii="Times New Roman" w:hAnsi="Times New Roman" w:cs="Times New Roman"/>
          <w:szCs w:val="24"/>
        </w:rPr>
        <w:tab/>
        <w:t>i telekomunikacijske</w:t>
      </w:r>
      <w:r w:rsidRPr="00B3040C">
        <w:rPr>
          <w:rFonts w:ascii="Times New Roman" w:hAnsi="Times New Roman" w:cs="Times New Roman"/>
          <w:szCs w:val="24"/>
        </w:rPr>
        <w:tab/>
        <w:t>usluge,</w:t>
      </w:r>
      <w:r w:rsidRPr="00B3040C">
        <w:rPr>
          <w:rFonts w:ascii="Times New Roman" w:hAnsi="Times New Roman" w:cs="Times New Roman"/>
          <w:szCs w:val="24"/>
        </w:rPr>
        <w:tab/>
        <w:t>trošak</w:t>
      </w:r>
      <w:r w:rsidRPr="00B3040C">
        <w:rPr>
          <w:rFonts w:ascii="Times New Roman" w:hAnsi="Times New Roman" w:cs="Times New Roman"/>
          <w:szCs w:val="24"/>
        </w:rPr>
        <w:tab/>
        <w:t>vanjskih</w:t>
      </w:r>
      <w:r w:rsidRPr="00B3040C">
        <w:rPr>
          <w:rFonts w:ascii="Times New Roman" w:hAnsi="Times New Roman" w:cs="Times New Roman"/>
          <w:szCs w:val="24"/>
        </w:rPr>
        <w:tab/>
        <w:t>dorada,</w:t>
      </w:r>
      <w:r w:rsidRPr="00B3040C">
        <w:rPr>
          <w:rFonts w:ascii="Times New Roman" w:hAnsi="Times New Roman" w:cs="Times New Roman"/>
          <w:szCs w:val="24"/>
        </w:rPr>
        <w:tab/>
        <w:t>trošak</w:t>
      </w:r>
      <w:r w:rsidRPr="00B3040C">
        <w:rPr>
          <w:rFonts w:ascii="Times New Roman" w:hAnsi="Times New Roman" w:cs="Times New Roman"/>
          <w:szCs w:val="24"/>
        </w:rPr>
        <w:tab/>
        <w:t>servisnih</w:t>
      </w:r>
      <w:r w:rsidRPr="00B3040C">
        <w:rPr>
          <w:rFonts w:ascii="Times New Roman" w:hAnsi="Times New Roman" w:cs="Times New Roman"/>
          <w:szCs w:val="24"/>
        </w:rPr>
        <w:tab/>
        <w:t>usluga</w:t>
      </w:r>
      <w:r w:rsidRPr="00B3040C">
        <w:rPr>
          <w:rFonts w:ascii="Times New Roman" w:hAnsi="Times New Roman" w:cs="Times New Roman"/>
          <w:szCs w:val="24"/>
        </w:rPr>
        <w:tab/>
        <w:t>i održavanja, trošak intelektualnih i drugih usluga.</w:t>
      </w:r>
    </w:p>
    <w:p w14:paraId="400F6BD2"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Troškovi osoblja</w:t>
      </w:r>
    </w:p>
    <w:p w14:paraId="2AA82A50"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5c</w:t>
      </w:r>
    </w:p>
    <w:p w14:paraId="106BFC6F"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Troškovi osoblja se odnose na troškove neto plaća i nadnica, troškova poreza i doprinosa iz plaća i troškova doprinosa na plaće.</w:t>
      </w:r>
    </w:p>
    <w:p w14:paraId="19BFD8BC"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t>U 2018. godini troškovi osoblja iznosili su 38.002 kn.</w:t>
      </w:r>
    </w:p>
    <w:tbl>
      <w:tblPr>
        <w:tblStyle w:val="TableGrid"/>
        <w:tblW w:w="8126" w:type="dxa"/>
        <w:tblInd w:w="-17" w:type="dxa"/>
        <w:tblCellMar>
          <w:top w:w="36" w:type="dxa"/>
          <w:left w:w="31" w:type="dxa"/>
          <w:bottom w:w="0" w:type="dxa"/>
          <w:right w:w="55" w:type="dxa"/>
        </w:tblCellMar>
        <w:tblLook w:val="04A0" w:firstRow="1" w:lastRow="0" w:firstColumn="1" w:lastColumn="0" w:noHBand="0" w:noVBand="1"/>
      </w:tblPr>
      <w:tblGrid>
        <w:gridCol w:w="3844"/>
        <w:gridCol w:w="1402"/>
        <w:gridCol w:w="1402"/>
        <w:gridCol w:w="1478"/>
      </w:tblGrid>
      <w:tr w:rsidR="00CA4720" w:rsidRPr="00B3040C" w14:paraId="6BD2EC1C" w14:textId="77777777">
        <w:trPr>
          <w:trHeight w:val="898"/>
        </w:trPr>
        <w:tc>
          <w:tcPr>
            <w:tcW w:w="3845"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6FEA76CA"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lastRenderedPageBreak/>
              <w:t>Naziv pozicije</w:t>
            </w:r>
          </w:p>
        </w:tc>
        <w:tc>
          <w:tcPr>
            <w:tcW w:w="1402"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10DC2310"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402"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6839E411"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47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0FEF566A"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25252CEB" w14:textId="77777777">
        <w:trPr>
          <w:trHeight w:val="312"/>
        </w:trPr>
        <w:tc>
          <w:tcPr>
            <w:tcW w:w="3845" w:type="dxa"/>
            <w:tcBorders>
              <w:top w:val="single" w:sz="6" w:space="0" w:color="7F7F7F"/>
              <w:left w:val="single" w:sz="6" w:space="0" w:color="7F7F7F"/>
              <w:bottom w:val="single" w:sz="6" w:space="0" w:color="7F7F7F"/>
              <w:right w:val="single" w:sz="6" w:space="0" w:color="7F7F7F"/>
            </w:tcBorders>
            <w:shd w:val="clear" w:color="auto" w:fill="FFFFFF"/>
          </w:tcPr>
          <w:p w14:paraId="15B8D294"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Neto plaće i nadnice</w:t>
            </w:r>
          </w:p>
        </w:tc>
        <w:tc>
          <w:tcPr>
            <w:tcW w:w="1402" w:type="dxa"/>
            <w:tcBorders>
              <w:top w:val="single" w:sz="6" w:space="0" w:color="7F7F7F"/>
              <w:left w:val="single" w:sz="6" w:space="0" w:color="7F7F7F"/>
              <w:bottom w:val="single" w:sz="6" w:space="0" w:color="7F7F7F"/>
              <w:right w:val="single" w:sz="6" w:space="0" w:color="7F7F7F"/>
            </w:tcBorders>
            <w:shd w:val="clear" w:color="auto" w:fill="FFFFFF"/>
          </w:tcPr>
          <w:p w14:paraId="6E733A8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43.617 kn</w:t>
            </w:r>
          </w:p>
        </w:tc>
        <w:tc>
          <w:tcPr>
            <w:tcW w:w="1402" w:type="dxa"/>
            <w:tcBorders>
              <w:top w:val="single" w:sz="6" w:space="0" w:color="7F7F7F"/>
              <w:left w:val="single" w:sz="6" w:space="0" w:color="7F7F7F"/>
              <w:bottom w:val="single" w:sz="6" w:space="0" w:color="7F7F7F"/>
              <w:right w:val="single" w:sz="6" w:space="0" w:color="7F7F7F"/>
            </w:tcBorders>
            <w:shd w:val="clear" w:color="auto" w:fill="FFFFFF"/>
          </w:tcPr>
          <w:p w14:paraId="559920D0"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30.401 kn</w:t>
            </w:r>
          </w:p>
        </w:tc>
        <w:tc>
          <w:tcPr>
            <w:tcW w:w="1478" w:type="dxa"/>
            <w:tcBorders>
              <w:top w:val="single" w:sz="6" w:space="0" w:color="7F7F7F"/>
              <w:left w:val="single" w:sz="6" w:space="0" w:color="7F7F7F"/>
              <w:bottom w:val="single" w:sz="6" w:space="0" w:color="7F7F7F"/>
              <w:right w:val="single" w:sz="6" w:space="0" w:color="7F7F7F"/>
            </w:tcBorders>
            <w:shd w:val="clear" w:color="auto" w:fill="FFFFFF"/>
          </w:tcPr>
          <w:p w14:paraId="6E8CA86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69,70</w:t>
            </w:r>
          </w:p>
        </w:tc>
      </w:tr>
      <w:tr w:rsidR="00CA4720" w:rsidRPr="00B3040C" w14:paraId="08F59439" w14:textId="77777777">
        <w:trPr>
          <w:trHeight w:val="602"/>
        </w:trPr>
        <w:tc>
          <w:tcPr>
            <w:tcW w:w="3845" w:type="dxa"/>
            <w:tcBorders>
              <w:top w:val="single" w:sz="6" w:space="0" w:color="7F7F7F"/>
              <w:left w:val="single" w:sz="6" w:space="0" w:color="7F7F7F"/>
              <w:bottom w:val="single" w:sz="6" w:space="0" w:color="7F7F7F"/>
              <w:right w:val="single" w:sz="6" w:space="0" w:color="7F7F7F"/>
            </w:tcBorders>
          </w:tcPr>
          <w:p w14:paraId="1E390186" w14:textId="77777777" w:rsidR="00CA4720" w:rsidRPr="00B3040C" w:rsidRDefault="00B3040C">
            <w:pPr>
              <w:spacing w:after="0" w:line="259" w:lineRule="auto"/>
              <w:ind w:left="0" w:right="582" w:firstLine="0"/>
              <w:jc w:val="left"/>
              <w:rPr>
                <w:rFonts w:ascii="Times New Roman" w:hAnsi="Times New Roman" w:cs="Times New Roman"/>
                <w:szCs w:val="24"/>
              </w:rPr>
            </w:pPr>
            <w:r w:rsidRPr="00B3040C">
              <w:rPr>
                <w:rFonts w:ascii="Times New Roman" w:hAnsi="Times New Roman" w:cs="Times New Roman"/>
                <w:szCs w:val="24"/>
              </w:rPr>
              <w:t>Troškovi poreza i doprinosa iz plaća</w:t>
            </w:r>
          </w:p>
        </w:tc>
        <w:tc>
          <w:tcPr>
            <w:tcW w:w="1402" w:type="dxa"/>
            <w:tcBorders>
              <w:top w:val="single" w:sz="6" w:space="0" w:color="7F7F7F"/>
              <w:left w:val="single" w:sz="6" w:space="0" w:color="7F7F7F"/>
              <w:bottom w:val="single" w:sz="6" w:space="0" w:color="7F7F7F"/>
              <w:right w:val="single" w:sz="6" w:space="0" w:color="7F7F7F"/>
            </w:tcBorders>
            <w:vAlign w:val="center"/>
          </w:tcPr>
          <w:p w14:paraId="0BFC3678"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11.287 kn</w:t>
            </w:r>
          </w:p>
        </w:tc>
        <w:tc>
          <w:tcPr>
            <w:tcW w:w="1402" w:type="dxa"/>
            <w:tcBorders>
              <w:top w:val="single" w:sz="6" w:space="0" w:color="7F7F7F"/>
              <w:left w:val="single" w:sz="6" w:space="0" w:color="7F7F7F"/>
              <w:bottom w:val="single" w:sz="6" w:space="0" w:color="7F7F7F"/>
              <w:right w:val="single" w:sz="6" w:space="0" w:color="7F7F7F"/>
            </w:tcBorders>
            <w:vAlign w:val="center"/>
          </w:tcPr>
          <w:p w14:paraId="65C2435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7.601 kn</w:t>
            </w:r>
          </w:p>
        </w:tc>
        <w:tc>
          <w:tcPr>
            <w:tcW w:w="1478" w:type="dxa"/>
            <w:tcBorders>
              <w:top w:val="single" w:sz="6" w:space="0" w:color="7F7F7F"/>
              <w:left w:val="single" w:sz="6" w:space="0" w:color="7F7F7F"/>
              <w:bottom w:val="single" w:sz="6" w:space="0" w:color="7F7F7F"/>
              <w:right w:val="single" w:sz="6" w:space="0" w:color="7F7F7F"/>
            </w:tcBorders>
            <w:vAlign w:val="center"/>
          </w:tcPr>
          <w:p w14:paraId="689DCE0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67,34</w:t>
            </w:r>
          </w:p>
        </w:tc>
      </w:tr>
      <w:tr w:rsidR="00CA4720" w:rsidRPr="00B3040C" w14:paraId="75B33DF3" w14:textId="77777777">
        <w:trPr>
          <w:trHeight w:val="326"/>
        </w:trPr>
        <w:tc>
          <w:tcPr>
            <w:tcW w:w="3845" w:type="dxa"/>
            <w:tcBorders>
              <w:top w:val="single" w:sz="6" w:space="0" w:color="7F7F7F"/>
              <w:left w:val="single" w:sz="6" w:space="0" w:color="7F7F7F"/>
              <w:bottom w:val="single" w:sz="17" w:space="0" w:color="2E75B6"/>
              <w:right w:val="single" w:sz="6" w:space="0" w:color="7F7F7F"/>
            </w:tcBorders>
          </w:tcPr>
          <w:p w14:paraId="50441297"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Doprinosi na plaće</w:t>
            </w:r>
          </w:p>
        </w:tc>
        <w:tc>
          <w:tcPr>
            <w:tcW w:w="1402" w:type="dxa"/>
            <w:tcBorders>
              <w:top w:val="single" w:sz="6" w:space="0" w:color="7F7F7F"/>
              <w:left w:val="single" w:sz="6" w:space="0" w:color="7F7F7F"/>
              <w:bottom w:val="single" w:sz="17" w:space="0" w:color="2E75B6"/>
              <w:right w:val="single" w:sz="6" w:space="0" w:color="7F7F7F"/>
            </w:tcBorders>
          </w:tcPr>
          <w:p w14:paraId="5E8A1A6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924 kn</w:t>
            </w:r>
          </w:p>
        </w:tc>
        <w:tc>
          <w:tcPr>
            <w:tcW w:w="1402" w:type="dxa"/>
            <w:tcBorders>
              <w:top w:val="single" w:sz="6" w:space="0" w:color="7F7F7F"/>
              <w:left w:val="single" w:sz="6" w:space="0" w:color="7F7F7F"/>
              <w:bottom w:val="single" w:sz="17" w:space="0" w:color="2E75B6"/>
              <w:right w:val="single" w:sz="6" w:space="0" w:color="7F7F7F"/>
            </w:tcBorders>
          </w:tcPr>
          <w:p w14:paraId="73248CD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78" w:type="dxa"/>
            <w:tcBorders>
              <w:top w:val="single" w:sz="6" w:space="0" w:color="7F7F7F"/>
              <w:left w:val="single" w:sz="6" w:space="0" w:color="7F7F7F"/>
              <w:bottom w:val="single" w:sz="17" w:space="0" w:color="2E75B6"/>
              <w:right w:val="single" w:sz="6" w:space="0" w:color="7F7F7F"/>
            </w:tcBorders>
          </w:tcPr>
          <w:p w14:paraId="5C3B9AE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0,00</w:t>
            </w:r>
          </w:p>
        </w:tc>
      </w:tr>
      <w:tr w:rsidR="00CA4720" w:rsidRPr="00B3040C" w14:paraId="5D3186F1" w14:textId="77777777">
        <w:trPr>
          <w:trHeight w:val="341"/>
        </w:trPr>
        <w:tc>
          <w:tcPr>
            <w:tcW w:w="3845" w:type="dxa"/>
            <w:tcBorders>
              <w:top w:val="single" w:sz="17" w:space="0" w:color="2E75B6"/>
              <w:left w:val="single" w:sz="6" w:space="0" w:color="7F7F7F"/>
              <w:bottom w:val="single" w:sz="6" w:space="0" w:color="7F7F7F"/>
              <w:right w:val="single" w:sz="6" w:space="0" w:color="7F7F7F"/>
            </w:tcBorders>
          </w:tcPr>
          <w:p w14:paraId="785C9AE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402" w:type="dxa"/>
            <w:tcBorders>
              <w:top w:val="single" w:sz="17" w:space="0" w:color="2E75B6"/>
              <w:left w:val="single" w:sz="6" w:space="0" w:color="7F7F7F"/>
              <w:bottom w:val="single" w:sz="6" w:space="0" w:color="7F7F7F"/>
              <w:right w:val="single" w:sz="6" w:space="0" w:color="7F7F7F"/>
            </w:tcBorders>
          </w:tcPr>
          <w:p w14:paraId="13AF3AB4"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55.828 kn</w:t>
            </w:r>
          </w:p>
        </w:tc>
        <w:tc>
          <w:tcPr>
            <w:tcW w:w="1402" w:type="dxa"/>
            <w:tcBorders>
              <w:top w:val="single" w:sz="17" w:space="0" w:color="2E75B6"/>
              <w:left w:val="single" w:sz="6" w:space="0" w:color="7F7F7F"/>
              <w:bottom w:val="single" w:sz="6" w:space="0" w:color="7F7F7F"/>
              <w:right w:val="single" w:sz="6" w:space="0" w:color="7F7F7F"/>
            </w:tcBorders>
          </w:tcPr>
          <w:p w14:paraId="446BDA71"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38.002 kn</w:t>
            </w:r>
          </w:p>
        </w:tc>
        <w:tc>
          <w:tcPr>
            <w:tcW w:w="1478" w:type="dxa"/>
            <w:tcBorders>
              <w:top w:val="single" w:sz="17" w:space="0" w:color="2E75B6"/>
              <w:left w:val="single" w:sz="6" w:space="0" w:color="7F7F7F"/>
              <w:bottom w:val="single" w:sz="6" w:space="0" w:color="7F7F7F"/>
              <w:right w:val="single" w:sz="6" w:space="0" w:color="7F7F7F"/>
            </w:tcBorders>
          </w:tcPr>
          <w:p w14:paraId="78A7ECBA"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5012B0A1" w14:textId="77777777" w:rsidR="00CA4720" w:rsidRPr="00B3040C" w:rsidRDefault="00CA4720">
      <w:pPr>
        <w:rPr>
          <w:rFonts w:ascii="Times New Roman" w:hAnsi="Times New Roman" w:cs="Times New Roman"/>
          <w:szCs w:val="24"/>
        </w:rPr>
        <w:sectPr w:rsidR="00CA4720" w:rsidRPr="00B3040C">
          <w:footerReference w:type="even" r:id="rId6"/>
          <w:footerReference w:type="default" r:id="rId7"/>
          <w:footerReference w:type="first" r:id="rId8"/>
          <w:pgSz w:w="11904" w:h="16834"/>
          <w:pgMar w:top="706" w:right="1131" w:bottom="988" w:left="1416" w:header="720" w:footer="720" w:gutter="0"/>
          <w:cols w:space="720"/>
          <w:titlePg/>
        </w:sectPr>
      </w:pPr>
    </w:p>
    <w:p w14:paraId="780EEB9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lastRenderedPageBreak/>
        <w:t>Amortizacija</w:t>
      </w:r>
    </w:p>
    <w:p w14:paraId="6F7147FD"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5d</w:t>
      </w:r>
    </w:p>
    <w:p w14:paraId="67E3950B"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U poslovnoj godini trošak amortizacije iznosio je 7.845 kn. Amortizacija je rađena u skladu s računovodstvenim politikama Društva i odlukama uprave Društva.</w:t>
      </w:r>
    </w:p>
    <w:p w14:paraId="20D9A2A3"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Ostali troškovi</w:t>
      </w:r>
    </w:p>
    <w:p w14:paraId="5841004F"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5e</w:t>
      </w:r>
    </w:p>
    <w:p w14:paraId="50B5C04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Ostale troškove čine premije osiguranja, bankarske usluge i troškovi platnog prometa, zdravstvene usluge, troškovi prava korištenja, troškovi članarina, troškovi poreza koji ne ovise o dobitku i ostali nematerijalni troškovi poslovanja.</w:t>
      </w:r>
    </w:p>
    <w:p w14:paraId="679E14A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je u poslovnoj godini imalo ukupno 8.597 kn ostalih troškova.</w:t>
      </w:r>
    </w:p>
    <w:p w14:paraId="368AE844" w14:textId="77777777" w:rsidR="00CA4720" w:rsidRPr="00B3040C" w:rsidRDefault="00B3040C">
      <w:pPr>
        <w:spacing w:after="267"/>
        <w:ind w:left="-5" w:right="5967"/>
        <w:jc w:val="left"/>
        <w:rPr>
          <w:rFonts w:ascii="Times New Roman" w:hAnsi="Times New Roman" w:cs="Times New Roman"/>
          <w:szCs w:val="24"/>
        </w:rPr>
      </w:pPr>
      <w:r w:rsidRPr="00B3040C">
        <w:rPr>
          <w:rFonts w:ascii="Times New Roman" w:hAnsi="Times New Roman" w:cs="Times New Roman"/>
          <w:b/>
          <w:szCs w:val="24"/>
        </w:rPr>
        <w:t xml:space="preserve">Vrijednosna usklađenja </w:t>
      </w:r>
      <w:r w:rsidRPr="00B3040C">
        <w:rPr>
          <w:rFonts w:ascii="Times New Roman" w:hAnsi="Times New Roman" w:cs="Times New Roman"/>
          <w:b/>
          <w:i/>
          <w:color w:val="808080"/>
          <w:szCs w:val="24"/>
          <w:u w:val="single" w:color="808080"/>
        </w:rPr>
        <w:t>Bilješka br. 5f</w:t>
      </w:r>
    </w:p>
    <w:p w14:paraId="09FD48E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u poslovnoj godini nije imalo vrijednosna usklađenja nefinancijske imovine.</w:t>
      </w:r>
    </w:p>
    <w:p w14:paraId="54E1A0DA"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Rezerviranja</w:t>
      </w:r>
    </w:p>
    <w:p w14:paraId="6EE49F1D"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5g</w:t>
      </w:r>
    </w:p>
    <w:p w14:paraId="53B90628" w14:textId="77777777" w:rsidR="00CA4720" w:rsidRPr="00B3040C" w:rsidRDefault="00B3040C">
      <w:pPr>
        <w:spacing w:after="229"/>
        <w:ind w:left="-5"/>
        <w:rPr>
          <w:rFonts w:ascii="Times New Roman" w:hAnsi="Times New Roman" w:cs="Times New Roman"/>
          <w:szCs w:val="24"/>
        </w:rPr>
      </w:pPr>
      <w:r w:rsidRPr="00B3040C">
        <w:rPr>
          <w:rFonts w:ascii="Times New Roman" w:hAnsi="Times New Roman" w:cs="Times New Roman"/>
          <w:szCs w:val="24"/>
        </w:rPr>
        <w:t>Društvo tijekom sastavljanja financijskih izvještaja, a u skladu s odredbama Zakona o porezu na dobit te standarada financijskog izvještavanja, nije imalo potrebe niti obavezu izvršiti rezerviranja.</w:t>
      </w:r>
    </w:p>
    <w:p w14:paraId="7C2E18A6" w14:textId="77777777" w:rsidR="00CA4720" w:rsidRPr="00B3040C" w:rsidRDefault="00B3040C">
      <w:pPr>
        <w:spacing w:after="267"/>
        <w:ind w:left="-5" w:right="6062"/>
        <w:jc w:val="left"/>
        <w:rPr>
          <w:rFonts w:ascii="Times New Roman" w:hAnsi="Times New Roman" w:cs="Times New Roman"/>
          <w:szCs w:val="24"/>
        </w:rPr>
      </w:pPr>
      <w:r w:rsidRPr="00B3040C">
        <w:rPr>
          <w:rFonts w:ascii="Times New Roman" w:hAnsi="Times New Roman" w:cs="Times New Roman"/>
          <w:b/>
          <w:szCs w:val="24"/>
        </w:rPr>
        <w:t xml:space="preserve">Ostali poslovni rashodi </w:t>
      </w:r>
      <w:r w:rsidRPr="00B3040C">
        <w:rPr>
          <w:rFonts w:ascii="Times New Roman" w:hAnsi="Times New Roman" w:cs="Times New Roman"/>
          <w:b/>
          <w:i/>
          <w:color w:val="808080"/>
          <w:szCs w:val="24"/>
          <w:u w:val="single" w:color="808080"/>
        </w:rPr>
        <w:t>Bilješka br. 5h</w:t>
      </w:r>
    </w:p>
    <w:p w14:paraId="0F749CA2" w14:textId="77777777" w:rsidR="00CA4720" w:rsidRPr="00B3040C" w:rsidRDefault="00B3040C">
      <w:pPr>
        <w:spacing w:after="558"/>
        <w:ind w:left="-5"/>
        <w:rPr>
          <w:rFonts w:ascii="Times New Roman" w:hAnsi="Times New Roman" w:cs="Times New Roman"/>
          <w:szCs w:val="24"/>
        </w:rPr>
      </w:pPr>
      <w:r w:rsidRPr="00B3040C">
        <w:rPr>
          <w:rFonts w:ascii="Times New Roman" w:hAnsi="Times New Roman" w:cs="Times New Roman"/>
          <w:szCs w:val="24"/>
        </w:rPr>
        <w:t>Društvo u poslovnoj godini nije imalo ostalih poslovnih rashoda.</w:t>
      </w:r>
    </w:p>
    <w:p w14:paraId="07A99DF0"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Financijski rashodi</w:t>
      </w:r>
    </w:p>
    <w:p w14:paraId="111CC4AD"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6</w:t>
      </w:r>
    </w:p>
    <w:p w14:paraId="17B1D51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Financijski rashodi se odnose na kamate, tečajne razlike i druge rashode, nerealizirane gubitke (rashode) od financijske imovine, neto vrijednosna usklađenja financijske imovine i ostale financijske rashode.</w:t>
      </w:r>
    </w:p>
    <w:p w14:paraId="1C480489" w14:textId="77777777" w:rsidR="00CA4720" w:rsidRPr="00B3040C" w:rsidRDefault="00B3040C">
      <w:pPr>
        <w:spacing w:after="1119"/>
        <w:ind w:left="-5"/>
        <w:rPr>
          <w:rFonts w:ascii="Times New Roman" w:hAnsi="Times New Roman" w:cs="Times New Roman"/>
          <w:szCs w:val="24"/>
        </w:rPr>
      </w:pPr>
      <w:r w:rsidRPr="00B3040C">
        <w:rPr>
          <w:rFonts w:ascii="Times New Roman" w:hAnsi="Times New Roman" w:cs="Times New Roman"/>
          <w:szCs w:val="24"/>
        </w:rPr>
        <w:t>Društvo u poslovnoj godini nije imalo poslovnih rashoda.</w:t>
      </w:r>
    </w:p>
    <w:p w14:paraId="11E2ABF4"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POREZ NA DOBIT</w:t>
      </w:r>
    </w:p>
    <w:p w14:paraId="3FEB5B40"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7</w:t>
      </w:r>
    </w:p>
    <w:p w14:paraId="4318752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Porez na dobit sukladno hrvatskom Zakonu o porezu na dobit izračunava se primjenom propisane stope na oporezivu osnovicu. Porezna osnovica uvećava se i umanjuje prema propisima navedenim u Zakonu o porezu na dobit.</w:t>
      </w:r>
    </w:p>
    <w:tbl>
      <w:tblPr>
        <w:tblStyle w:val="TableGrid"/>
        <w:tblW w:w="8126" w:type="dxa"/>
        <w:tblInd w:w="-17" w:type="dxa"/>
        <w:tblCellMar>
          <w:top w:w="36" w:type="dxa"/>
          <w:left w:w="31" w:type="dxa"/>
          <w:bottom w:w="0" w:type="dxa"/>
          <w:right w:w="56" w:type="dxa"/>
        </w:tblCellMar>
        <w:tblLook w:val="04A0" w:firstRow="1" w:lastRow="0" w:firstColumn="1" w:lastColumn="0" w:noHBand="0" w:noVBand="1"/>
      </w:tblPr>
      <w:tblGrid>
        <w:gridCol w:w="3580"/>
        <w:gridCol w:w="1488"/>
        <w:gridCol w:w="1488"/>
        <w:gridCol w:w="1570"/>
      </w:tblGrid>
      <w:tr w:rsidR="00CA4720" w:rsidRPr="00B3040C" w14:paraId="156B45F6" w14:textId="77777777">
        <w:trPr>
          <w:trHeight w:val="898"/>
        </w:trPr>
        <w:tc>
          <w:tcPr>
            <w:tcW w:w="3581"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1C5316E9"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lastRenderedPageBreak/>
              <w:t>Naziv pozicije</w:t>
            </w:r>
          </w:p>
        </w:tc>
        <w:tc>
          <w:tcPr>
            <w:tcW w:w="148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3AA2B5E5"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2017</w:t>
            </w:r>
          </w:p>
        </w:tc>
        <w:tc>
          <w:tcPr>
            <w:tcW w:w="148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0F28F673"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2018</w:t>
            </w:r>
          </w:p>
        </w:tc>
        <w:tc>
          <w:tcPr>
            <w:tcW w:w="1570"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31834E9A"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46A4E660" w14:textId="77777777">
        <w:trPr>
          <w:trHeight w:val="312"/>
        </w:trPr>
        <w:tc>
          <w:tcPr>
            <w:tcW w:w="3581" w:type="dxa"/>
            <w:tcBorders>
              <w:top w:val="single" w:sz="6" w:space="0" w:color="7F7F7F"/>
              <w:left w:val="single" w:sz="6" w:space="0" w:color="7F7F7F"/>
              <w:bottom w:val="single" w:sz="6" w:space="0" w:color="7F7F7F"/>
              <w:right w:val="single" w:sz="6" w:space="0" w:color="7F7F7F"/>
            </w:tcBorders>
            <w:shd w:val="clear" w:color="auto" w:fill="FFFFFF"/>
          </w:tcPr>
          <w:p w14:paraId="4F67A3F1"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Dobit prije oporezivanja</w:t>
            </w:r>
          </w:p>
        </w:tc>
        <w:tc>
          <w:tcPr>
            <w:tcW w:w="1488" w:type="dxa"/>
            <w:tcBorders>
              <w:top w:val="single" w:sz="6" w:space="0" w:color="7F7F7F"/>
              <w:left w:val="single" w:sz="6" w:space="0" w:color="7F7F7F"/>
              <w:bottom w:val="single" w:sz="6" w:space="0" w:color="7F7F7F"/>
              <w:right w:val="single" w:sz="6" w:space="0" w:color="7F7F7F"/>
            </w:tcBorders>
            <w:shd w:val="clear" w:color="auto" w:fill="FFFFFF"/>
          </w:tcPr>
          <w:p w14:paraId="5609298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19.796 kn</w:t>
            </w:r>
          </w:p>
        </w:tc>
        <w:tc>
          <w:tcPr>
            <w:tcW w:w="1488" w:type="dxa"/>
            <w:tcBorders>
              <w:top w:val="single" w:sz="6" w:space="0" w:color="7F7F7F"/>
              <w:left w:val="single" w:sz="6" w:space="0" w:color="7F7F7F"/>
              <w:bottom w:val="single" w:sz="6" w:space="0" w:color="7F7F7F"/>
              <w:right w:val="single" w:sz="6" w:space="0" w:color="7F7F7F"/>
            </w:tcBorders>
            <w:shd w:val="clear" w:color="auto" w:fill="FFFFFF"/>
          </w:tcPr>
          <w:p w14:paraId="388AAC68"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34.789 kn</w:t>
            </w:r>
          </w:p>
        </w:tc>
        <w:tc>
          <w:tcPr>
            <w:tcW w:w="1570" w:type="dxa"/>
            <w:tcBorders>
              <w:top w:val="single" w:sz="6" w:space="0" w:color="7F7F7F"/>
              <w:left w:val="single" w:sz="6" w:space="0" w:color="7F7F7F"/>
              <w:bottom w:val="single" w:sz="6" w:space="0" w:color="7F7F7F"/>
              <w:right w:val="single" w:sz="6" w:space="0" w:color="7F7F7F"/>
            </w:tcBorders>
            <w:shd w:val="clear" w:color="auto" w:fill="FFFFFF"/>
          </w:tcPr>
          <w:p w14:paraId="3B04EA7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175,74</w:t>
            </w:r>
          </w:p>
        </w:tc>
      </w:tr>
      <w:tr w:rsidR="00CA4720" w:rsidRPr="00B3040C" w14:paraId="5622F874" w14:textId="77777777">
        <w:trPr>
          <w:trHeight w:val="323"/>
        </w:trPr>
        <w:tc>
          <w:tcPr>
            <w:tcW w:w="3581" w:type="dxa"/>
            <w:tcBorders>
              <w:top w:val="single" w:sz="6" w:space="0" w:color="7F7F7F"/>
              <w:left w:val="single" w:sz="6" w:space="0" w:color="7F7F7F"/>
              <w:bottom w:val="single" w:sz="6" w:space="0" w:color="7F7F7F"/>
              <w:right w:val="single" w:sz="6" w:space="0" w:color="7F7F7F"/>
            </w:tcBorders>
          </w:tcPr>
          <w:p w14:paraId="3F26BB5B"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Gubitak prije oporezivanja</w:t>
            </w:r>
          </w:p>
        </w:tc>
        <w:tc>
          <w:tcPr>
            <w:tcW w:w="1488" w:type="dxa"/>
            <w:tcBorders>
              <w:top w:val="single" w:sz="6" w:space="0" w:color="7F7F7F"/>
              <w:left w:val="single" w:sz="6" w:space="0" w:color="7F7F7F"/>
              <w:bottom w:val="single" w:sz="6" w:space="0" w:color="7F7F7F"/>
              <w:right w:val="single" w:sz="6" w:space="0" w:color="7F7F7F"/>
            </w:tcBorders>
          </w:tcPr>
          <w:p w14:paraId="4BEE5AA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88" w:type="dxa"/>
            <w:tcBorders>
              <w:top w:val="single" w:sz="6" w:space="0" w:color="7F7F7F"/>
              <w:left w:val="single" w:sz="6" w:space="0" w:color="7F7F7F"/>
              <w:bottom w:val="single" w:sz="6" w:space="0" w:color="7F7F7F"/>
              <w:right w:val="single" w:sz="6" w:space="0" w:color="7F7F7F"/>
            </w:tcBorders>
          </w:tcPr>
          <w:p w14:paraId="121905F9"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70" w:type="dxa"/>
            <w:tcBorders>
              <w:top w:val="single" w:sz="6" w:space="0" w:color="7F7F7F"/>
              <w:left w:val="single" w:sz="6" w:space="0" w:color="7F7F7F"/>
              <w:bottom w:val="single" w:sz="6" w:space="0" w:color="7F7F7F"/>
              <w:right w:val="single" w:sz="6" w:space="0" w:color="7F7F7F"/>
            </w:tcBorders>
          </w:tcPr>
          <w:p w14:paraId="6506EF9B"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53891A71" w14:textId="77777777">
        <w:trPr>
          <w:trHeight w:val="322"/>
        </w:trPr>
        <w:tc>
          <w:tcPr>
            <w:tcW w:w="3581" w:type="dxa"/>
            <w:tcBorders>
              <w:top w:val="single" w:sz="6" w:space="0" w:color="7F7F7F"/>
              <w:left w:val="single" w:sz="6" w:space="0" w:color="7F7F7F"/>
              <w:bottom w:val="single" w:sz="6" w:space="0" w:color="7F7F7F"/>
              <w:right w:val="single" w:sz="6" w:space="0" w:color="7F7F7F"/>
            </w:tcBorders>
          </w:tcPr>
          <w:p w14:paraId="16A2709B"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Porez na dobit</w:t>
            </w:r>
          </w:p>
        </w:tc>
        <w:tc>
          <w:tcPr>
            <w:tcW w:w="1488" w:type="dxa"/>
            <w:tcBorders>
              <w:top w:val="single" w:sz="6" w:space="0" w:color="7F7F7F"/>
              <w:left w:val="single" w:sz="6" w:space="0" w:color="7F7F7F"/>
              <w:bottom w:val="single" w:sz="6" w:space="0" w:color="7F7F7F"/>
              <w:right w:val="single" w:sz="6" w:space="0" w:color="7F7F7F"/>
            </w:tcBorders>
          </w:tcPr>
          <w:p w14:paraId="70C6A47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88" w:type="dxa"/>
            <w:tcBorders>
              <w:top w:val="single" w:sz="6" w:space="0" w:color="7F7F7F"/>
              <w:left w:val="single" w:sz="6" w:space="0" w:color="7F7F7F"/>
              <w:bottom w:val="single" w:sz="6" w:space="0" w:color="7F7F7F"/>
              <w:right w:val="single" w:sz="6" w:space="0" w:color="7F7F7F"/>
            </w:tcBorders>
          </w:tcPr>
          <w:p w14:paraId="0F9FCE2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3.072 kn</w:t>
            </w:r>
          </w:p>
        </w:tc>
        <w:tc>
          <w:tcPr>
            <w:tcW w:w="1570" w:type="dxa"/>
            <w:tcBorders>
              <w:top w:val="single" w:sz="6" w:space="0" w:color="7F7F7F"/>
              <w:left w:val="single" w:sz="6" w:space="0" w:color="7F7F7F"/>
              <w:bottom w:val="single" w:sz="6" w:space="0" w:color="7F7F7F"/>
              <w:right w:val="single" w:sz="6" w:space="0" w:color="7F7F7F"/>
            </w:tcBorders>
          </w:tcPr>
          <w:p w14:paraId="00B5A50A"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0DF32B06" w14:textId="77777777">
        <w:trPr>
          <w:trHeight w:val="312"/>
        </w:trPr>
        <w:tc>
          <w:tcPr>
            <w:tcW w:w="3581" w:type="dxa"/>
            <w:tcBorders>
              <w:top w:val="single" w:sz="6" w:space="0" w:color="7F7F7F"/>
              <w:left w:val="single" w:sz="6" w:space="0" w:color="7F7F7F"/>
              <w:bottom w:val="single" w:sz="6" w:space="0" w:color="7F7F7F"/>
              <w:right w:val="single" w:sz="6" w:space="0" w:color="7F7F7F"/>
            </w:tcBorders>
          </w:tcPr>
          <w:p w14:paraId="4DC84887"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Dobit razdoblja</w:t>
            </w:r>
          </w:p>
        </w:tc>
        <w:tc>
          <w:tcPr>
            <w:tcW w:w="1488" w:type="dxa"/>
            <w:tcBorders>
              <w:top w:val="single" w:sz="6" w:space="0" w:color="7F7F7F"/>
              <w:left w:val="single" w:sz="6" w:space="0" w:color="7F7F7F"/>
              <w:bottom w:val="single" w:sz="6" w:space="0" w:color="7F7F7F"/>
              <w:right w:val="single" w:sz="6" w:space="0" w:color="7F7F7F"/>
            </w:tcBorders>
          </w:tcPr>
          <w:p w14:paraId="1793426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19.796 kn</w:t>
            </w:r>
          </w:p>
        </w:tc>
        <w:tc>
          <w:tcPr>
            <w:tcW w:w="1488" w:type="dxa"/>
            <w:tcBorders>
              <w:top w:val="single" w:sz="6" w:space="0" w:color="7F7F7F"/>
              <w:left w:val="single" w:sz="6" w:space="0" w:color="7F7F7F"/>
              <w:bottom w:val="single" w:sz="6" w:space="0" w:color="7F7F7F"/>
              <w:right w:val="single" w:sz="6" w:space="0" w:color="7F7F7F"/>
            </w:tcBorders>
          </w:tcPr>
          <w:p w14:paraId="0768323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31.717 kn</w:t>
            </w:r>
          </w:p>
        </w:tc>
        <w:tc>
          <w:tcPr>
            <w:tcW w:w="1570" w:type="dxa"/>
            <w:tcBorders>
              <w:top w:val="single" w:sz="6" w:space="0" w:color="7F7F7F"/>
              <w:left w:val="single" w:sz="6" w:space="0" w:color="7F7F7F"/>
              <w:bottom w:val="single" w:sz="6" w:space="0" w:color="7F7F7F"/>
              <w:right w:val="single" w:sz="6" w:space="0" w:color="7F7F7F"/>
            </w:tcBorders>
          </w:tcPr>
          <w:p w14:paraId="435AD03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160,22</w:t>
            </w:r>
          </w:p>
        </w:tc>
      </w:tr>
      <w:tr w:rsidR="00CA4720" w:rsidRPr="00B3040C" w14:paraId="106F429A" w14:textId="77777777">
        <w:trPr>
          <w:trHeight w:val="322"/>
        </w:trPr>
        <w:tc>
          <w:tcPr>
            <w:tcW w:w="3581" w:type="dxa"/>
            <w:tcBorders>
              <w:top w:val="single" w:sz="6" w:space="0" w:color="7F7F7F"/>
              <w:left w:val="single" w:sz="6" w:space="0" w:color="7F7F7F"/>
              <w:bottom w:val="single" w:sz="6" w:space="0" w:color="7F7F7F"/>
              <w:right w:val="single" w:sz="6" w:space="0" w:color="7F7F7F"/>
            </w:tcBorders>
          </w:tcPr>
          <w:p w14:paraId="44C63283"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Gubitak razdoblja</w:t>
            </w:r>
          </w:p>
        </w:tc>
        <w:tc>
          <w:tcPr>
            <w:tcW w:w="1488" w:type="dxa"/>
            <w:tcBorders>
              <w:top w:val="single" w:sz="6" w:space="0" w:color="7F7F7F"/>
              <w:left w:val="single" w:sz="6" w:space="0" w:color="7F7F7F"/>
              <w:bottom w:val="single" w:sz="6" w:space="0" w:color="7F7F7F"/>
              <w:right w:val="single" w:sz="6" w:space="0" w:color="7F7F7F"/>
            </w:tcBorders>
          </w:tcPr>
          <w:p w14:paraId="028CA150"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88" w:type="dxa"/>
            <w:tcBorders>
              <w:top w:val="single" w:sz="6" w:space="0" w:color="7F7F7F"/>
              <w:left w:val="single" w:sz="6" w:space="0" w:color="7F7F7F"/>
              <w:bottom w:val="single" w:sz="6" w:space="0" w:color="7F7F7F"/>
              <w:right w:val="single" w:sz="6" w:space="0" w:color="7F7F7F"/>
            </w:tcBorders>
          </w:tcPr>
          <w:p w14:paraId="681525B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570" w:type="dxa"/>
            <w:tcBorders>
              <w:top w:val="single" w:sz="6" w:space="0" w:color="7F7F7F"/>
              <w:left w:val="single" w:sz="6" w:space="0" w:color="7F7F7F"/>
              <w:bottom w:val="single" w:sz="6" w:space="0" w:color="7F7F7F"/>
              <w:right w:val="single" w:sz="6" w:space="0" w:color="7F7F7F"/>
            </w:tcBorders>
          </w:tcPr>
          <w:p w14:paraId="0E55E643"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175AD282" w14:textId="77777777" w:rsidR="00CA4720" w:rsidRPr="00B3040C" w:rsidRDefault="00B3040C">
      <w:pPr>
        <w:pStyle w:val="Naslov1"/>
        <w:tabs>
          <w:tab w:val="center" w:pos="1264"/>
        </w:tabs>
        <w:spacing w:after="279"/>
        <w:ind w:left="-15" w:firstLine="0"/>
        <w:rPr>
          <w:rFonts w:ascii="Times New Roman" w:hAnsi="Times New Roman" w:cs="Times New Roman"/>
          <w:sz w:val="24"/>
          <w:szCs w:val="24"/>
        </w:rPr>
      </w:pPr>
      <w:r w:rsidRPr="00B3040C">
        <w:rPr>
          <w:rFonts w:ascii="Times New Roman" w:hAnsi="Times New Roman" w:cs="Times New Roman"/>
          <w:sz w:val="24"/>
          <w:szCs w:val="24"/>
        </w:rPr>
        <w:t>VI.</w:t>
      </w:r>
      <w:r w:rsidRPr="00B3040C">
        <w:rPr>
          <w:rFonts w:ascii="Times New Roman" w:hAnsi="Times New Roman" w:cs="Times New Roman"/>
          <w:sz w:val="24"/>
          <w:szCs w:val="24"/>
        </w:rPr>
        <w:tab/>
        <w:t>BILANCA</w:t>
      </w:r>
    </w:p>
    <w:p w14:paraId="124A806C" w14:textId="77777777" w:rsidR="00CA4720" w:rsidRPr="00B3040C" w:rsidRDefault="00B3040C">
      <w:pPr>
        <w:pStyle w:val="Naslov2"/>
        <w:ind w:left="-5"/>
        <w:rPr>
          <w:rFonts w:ascii="Times New Roman" w:hAnsi="Times New Roman" w:cs="Times New Roman"/>
          <w:szCs w:val="24"/>
        </w:rPr>
      </w:pPr>
      <w:r w:rsidRPr="00B3040C">
        <w:rPr>
          <w:rFonts w:ascii="Times New Roman" w:hAnsi="Times New Roman" w:cs="Times New Roman"/>
          <w:szCs w:val="24"/>
        </w:rPr>
        <w:t>AKTIVA</w:t>
      </w:r>
    </w:p>
    <w:p w14:paraId="4F2D75BE"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DUGOTRAJNA IMOVINA</w:t>
      </w:r>
    </w:p>
    <w:p w14:paraId="1E0AD0F1"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8</w:t>
      </w:r>
    </w:p>
    <w:p w14:paraId="1FFE7C0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Dugotrajna imovina društva sastoji se od nematerijalne imovine, dugotrajne materijalne imovine, dugotrajne financijske imovine, dugoročnih potraživanja i odgođene porezne imovine.</w:t>
      </w:r>
    </w:p>
    <w:p w14:paraId="00E7ECA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Dugotrajna imovina na dan izvještavanja iznosila je 3.735 kn.</w:t>
      </w:r>
    </w:p>
    <w:p w14:paraId="5C6ECF02" w14:textId="77777777" w:rsidR="00CA4720" w:rsidRPr="00B3040C" w:rsidRDefault="00B3040C">
      <w:pPr>
        <w:pStyle w:val="Naslov3"/>
        <w:spacing w:after="315"/>
        <w:ind w:left="-5" w:right="6044"/>
        <w:rPr>
          <w:rFonts w:ascii="Times New Roman" w:hAnsi="Times New Roman" w:cs="Times New Roman"/>
          <w:szCs w:val="24"/>
        </w:rPr>
      </w:pPr>
      <w:r w:rsidRPr="00B3040C">
        <w:rPr>
          <w:rFonts w:ascii="Times New Roman" w:hAnsi="Times New Roman" w:cs="Times New Roman"/>
          <w:szCs w:val="24"/>
        </w:rPr>
        <w:t xml:space="preserve">Nematerijalna imovina </w:t>
      </w:r>
      <w:r w:rsidRPr="00B3040C">
        <w:rPr>
          <w:rFonts w:ascii="Times New Roman" w:hAnsi="Times New Roman" w:cs="Times New Roman"/>
          <w:i/>
          <w:color w:val="808080"/>
          <w:szCs w:val="24"/>
          <w:u w:val="single" w:color="808080"/>
        </w:rPr>
        <w:t>Bilješka br. 9</w:t>
      </w:r>
    </w:p>
    <w:p w14:paraId="220861B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 xml:space="preserve">Nematerijalna imovina sastoji se od izdataka za razvoj, koncesija, patenata, licencija, robnih i uslužnih marki, softvera i ostalih prava, </w:t>
      </w:r>
      <w:proofErr w:type="spellStart"/>
      <w:r w:rsidRPr="00B3040C">
        <w:rPr>
          <w:rFonts w:ascii="Times New Roman" w:hAnsi="Times New Roman" w:cs="Times New Roman"/>
          <w:szCs w:val="24"/>
        </w:rPr>
        <w:t>goodwilla</w:t>
      </w:r>
      <w:proofErr w:type="spellEnd"/>
      <w:r w:rsidRPr="00B3040C">
        <w:rPr>
          <w:rFonts w:ascii="Times New Roman" w:hAnsi="Times New Roman" w:cs="Times New Roman"/>
          <w:szCs w:val="24"/>
        </w:rPr>
        <w:t>, predujmova za nabavku nematerijalne imovine, nematerijalne imovine u pripremi i ostale nematerijalne imovine.</w:t>
      </w:r>
    </w:p>
    <w:p w14:paraId="369A3EB7"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 xml:space="preserve">Knjigovodstvena vrijednost </w:t>
      </w:r>
      <w:proofErr w:type="spellStart"/>
      <w:r w:rsidRPr="00B3040C">
        <w:rPr>
          <w:rFonts w:ascii="Times New Roman" w:hAnsi="Times New Roman" w:cs="Times New Roman"/>
          <w:szCs w:val="24"/>
        </w:rPr>
        <w:t>nematerijane</w:t>
      </w:r>
      <w:proofErr w:type="spellEnd"/>
      <w:r w:rsidRPr="00B3040C">
        <w:rPr>
          <w:rFonts w:ascii="Times New Roman" w:hAnsi="Times New Roman" w:cs="Times New Roman"/>
          <w:szCs w:val="24"/>
        </w:rPr>
        <w:t xml:space="preserve"> imovine na dan izvještavanja iznosila je 0 kn.</w:t>
      </w:r>
    </w:p>
    <w:p w14:paraId="5664CF04" w14:textId="77777777" w:rsidR="00CA4720" w:rsidRPr="00B3040C" w:rsidRDefault="00B3040C">
      <w:pPr>
        <w:pStyle w:val="Naslov3"/>
        <w:spacing w:after="315"/>
        <w:ind w:left="-5" w:right="6371"/>
        <w:rPr>
          <w:rFonts w:ascii="Times New Roman" w:hAnsi="Times New Roman" w:cs="Times New Roman"/>
          <w:szCs w:val="24"/>
        </w:rPr>
      </w:pPr>
      <w:r w:rsidRPr="00B3040C">
        <w:rPr>
          <w:rFonts w:ascii="Times New Roman" w:hAnsi="Times New Roman" w:cs="Times New Roman"/>
          <w:szCs w:val="24"/>
        </w:rPr>
        <w:t xml:space="preserve">Materijalna imovina </w:t>
      </w:r>
      <w:r w:rsidRPr="00B3040C">
        <w:rPr>
          <w:rFonts w:ascii="Times New Roman" w:hAnsi="Times New Roman" w:cs="Times New Roman"/>
          <w:i/>
          <w:color w:val="808080"/>
          <w:szCs w:val="24"/>
          <w:u w:val="single" w:color="808080"/>
        </w:rPr>
        <w:t>Bilješka br. 10</w:t>
      </w:r>
    </w:p>
    <w:p w14:paraId="7466B2CD"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Materijalna imovina sastoji se od zemljišta, građevinskih objekata, postrojenja i oprema, alata, pogonskog inventara i transportne imovine, biološke imovine, predujmova za materijalnu imovinu, materijalne imovine u pripremi, ostale materijalne imovine i ulaganja u nekretnine.</w:t>
      </w:r>
    </w:p>
    <w:p w14:paraId="22E66753" w14:textId="77777777" w:rsidR="00CA4720" w:rsidRPr="00B3040C" w:rsidRDefault="00B3040C">
      <w:pPr>
        <w:spacing w:after="17"/>
        <w:ind w:left="-5"/>
        <w:rPr>
          <w:rFonts w:ascii="Times New Roman" w:hAnsi="Times New Roman" w:cs="Times New Roman"/>
          <w:szCs w:val="24"/>
        </w:rPr>
      </w:pPr>
      <w:r w:rsidRPr="00B3040C">
        <w:rPr>
          <w:rFonts w:ascii="Times New Roman" w:hAnsi="Times New Roman" w:cs="Times New Roman"/>
          <w:szCs w:val="24"/>
        </w:rPr>
        <w:t>Knjigovodstvena vrijednost materijalne imovine na dan sastavljanja financijskih izvještaja iznosila je 3.735 kn.</w:t>
      </w:r>
    </w:p>
    <w:p w14:paraId="7C169093" w14:textId="77777777" w:rsidR="00CA4720" w:rsidRPr="00B3040C" w:rsidRDefault="00B3040C">
      <w:pPr>
        <w:spacing w:after="0" w:line="259" w:lineRule="auto"/>
        <w:ind w:left="-14" w:firstLine="0"/>
        <w:jc w:val="left"/>
        <w:rPr>
          <w:rFonts w:ascii="Times New Roman" w:hAnsi="Times New Roman" w:cs="Times New Roman"/>
          <w:szCs w:val="24"/>
        </w:rPr>
      </w:pPr>
      <w:r w:rsidRPr="00B3040C">
        <w:rPr>
          <w:rFonts w:ascii="Times New Roman" w:eastAsia="Calibri" w:hAnsi="Times New Roman" w:cs="Times New Roman"/>
          <w:noProof/>
          <w:szCs w:val="24"/>
        </w:rPr>
        <mc:AlternateContent>
          <mc:Choice Requires="wpg">
            <w:drawing>
              <wp:inline distT="0" distB="0" distL="0" distR="0" wp14:anchorId="0BF4D132" wp14:editId="4A0A19FE">
                <wp:extent cx="4617720" cy="9144"/>
                <wp:effectExtent l="0" t="0" r="0" b="0"/>
                <wp:docPr id="43630" name="Group 43630"/>
                <wp:cNvGraphicFramePr/>
                <a:graphic xmlns:a="http://schemas.openxmlformats.org/drawingml/2006/main">
                  <a:graphicData uri="http://schemas.microsoft.com/office/word/2010/wordprocessingGroup">
                    <wpg:wgp>
                      <wpg:cNvGrpSpPr/>
                      <wpg:grpSpPr>
                        <a:xfrm>
                          <a:off x="0" y="0"/>
                          <a:ext cx="4617720" cy="9144"/>
                          <a:chOff x="0" y="0"/>
                          <a:chExt cx="4617720" cy="9144"/>
                        </a:xfrm>
                      </wpg:grpSpPr>
                      <wps:wsp>
                        <wps:cNvPr id="49889" name="Shape 49889"/>
                        <wps:cNvSpPr/>
                        <wps:spPr>
                          <a:xfrm>
                            <a:off x="0" y="0"/>
                            <a:ext cx="2398776" cy="9144"/>
                          </a:xfrm>
                          <a:custGeom>
                            <a:avLst/>
                            <a:gdLst/>
                            <a:ahLst/>
                            <a:cxnLst/>
                            <a:rect l="0" t="0" r="0" b="0"/>
                            <a:pathLst>
                              <a:path w="2398776" h="9144">
                                <a:moveTo>
                                  <a:pt x="0" y="0"/>
                                </a:moveTo>
                                <a:lnTo>
                                  <a:pt x="2398776" y="0"/>
                                </a:lnTo>
                                <a:lnTo>
                                  <a:pt x="239877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9890" name="Shape 49890"/>
                        <wps:cNvSpPr/>
                        <wps:spPr>
                          <a:xfrm>
                            <a:off x="2398776" y="0"/>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9891" name="Shape 49891"/>
                        <wps:cNvSpPr/>
                        <wps:spPr>
                          <a:xfrm>
                            <a:off x="3508248" y="0"/>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235" name="Shape 4235"/>
                        <wps:cNvSpPr/>
                        <wps:spPr>
                          <a:xfrm>
                            <a:off x="0" y="0"/>
                            <a:ext cx="0" cy="9144"/>
                          </a:xfrm>
                          <a:custGeom>
                            <a:avLst/>
                            <a:gdLst/>
                            <a:ahLst/>
                            <a:cxnLst/>
                            <a:rect l="0" t="0" r="0" b="0"/>
                            <a:pathLst>
                              <a:path h="9144">
                                <a:moveTo>
                                  <a:pt x="0" y="9144"/>
                                </a:moveTo>
                                <a:lnTo>
                                  <a:pt x="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236" name="Shape 4236"/>
                        <wps:cNvSpPr/>
                        <wps:spPr>
                          <a:xfrm>
                            <a:off x="2398776" y="0"/>
                            <a:ext cx="0" cy="9144"/>
                          </a:xfrm>
                          <a:custGeom>
                            <a:avLst/>
                            <a:gdLst/>
                            <a:ahLst/>
                            <a:cxnLst/>
                            <a:rect l="0" t="0" r="0" b="0"/>
                            <a:pathLst>
                              <a:path h="9144">
                                <a:moveTo>
                                  <a:pt x="0" y="9144"/>
                                </a:moveTo>
                                <a:lnTo>
                                  <a:pt x="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237" name="Shape 4237"/>
                        <wps:cNvSpPr/>
                        <wps:spPr>
                          <a:xfrm>
                            <a:off x="3508248" y="0"/>
                            <a:ext cx="0" cy="9144"/>
                          </a:xfrm>
                          <a:custGeom>
                            <a:avLst/>
                            <a:gdLst/>
                            <a:ahLst/>
                            <a:cxnLst/>
                            <a:rect l="0" t="0" r="0" b="0"/>
                            <a:pathLst>
                              <a:path h="9144">
                                <a:moveTo>
                                  <a:pt x="0" y="9144"/>
                                </a:moveTo>
                                <a:lnTo>
                                  <a:pt x="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238" name="Shape 4238"/>
                        <wps:cNvSpPr/>
                        <wps:spPr>
                          <a:xfrm>
                            <a:off x="4617720" y="0"/>
                            <a:ext cx="0" cy="9144"/>
                          </a:xfrm>
                          <a:custGeom>
                            <a:avLst/>
                            <a:gdLst/>
                            <a:ahLst/>
                            <a:cxnLst/>
                            <a:rect l="0" t="0" r="0" b="0"/>
                            <a:pathLst>
                              <a:path h="9144">
                                <a:moveTo>
                                  <a:pt x="0" y="9144"/>
                                </a:moveTo>
                                <a:lnTo>
                                  <a:pt x="0" y="0"/>
                                </a:ln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xmlns:a="http://schemas.openxmlformats.org/drawingml/2006/main">
            <w:pict>
              <v:group id="Group 43630" style="width:363.6pt;height:0.720032pt;mso-position-horizontal-relative:char;mso-position-vertical-relative:line" coordsize="46177,91">
                <v:shape id="Shape 49892" style="position:absolute;width:23987;height:91;left:0;top:0;" coordsize="2398776,9144" path="m0,0l2398776,0l2398776,9144l0,9144l0,0">
                  <v:stroke weight="0pt" endcap="flat" joinstyle="miter" miterlimit="10" on="false" color="#000000" opacity="0"/>
                  <v:fill on="true" color="#7f7f7f"/>
                </v:shape>
                <v:shape id="Shape 49893" style="position:absolute;width:11094;height:91;left:23987;top:0;" coordsize="1109472,9144" path="m0,0l1109472,0l1109472,9144l0,9144l0,0">
                  <v:stroke weight="0pt" endcap="flat" joinstyle="miter" miterlimit="10" on="false" color="#000000" opacity="0"/>
                  <v:fill on="true" color="#7f7f7f"/>
                </v:shape>
                <v:shape id="Shape 49894" style="position:absolute;width:11094;height:91;left:35082;top:0;" coordsize="1109472,9144" path="m0,0l1109472,0l1109472,9144l0,9144l0,0">
                  <v:stroke weight="0pt" endcap="flat" joinstyle="miter" miterlimit="10" on="false" color="#000000" opacity="0"/>
                  <v:fill on="true" color="#7f7f7f"/>
                </v:shape>
                <v:shape id="Shape 4235" style="position:absolute;width:0;height:91;left:0;top:0;" coordsize="0,9144" path="m0,9144l0,0x">
                  <v:stroke weight="0pt" endcap="flat" joinstyle="miter" miterlimit="10" on="false" color="#000000" opacity="0"/>
                  <v:fill on="true" color="#7f7f7f"/>
                </v:shape>
                <v:shape id="Shape 4236" style="position:absolute;width:0;height:91;left:23987;top:0;" coordsize="0,9144" path="m0,9144l0,0x">
                  <v:stroke weight="0pt" endcap="flat" joinstyle="miter" miterlimit="10" on="false" color="#000000" opacity="0"/>
                  <v:fill on="true" color="#7f7f7f"/>
                </v:shape>
                <v:shape id="Shape 4237" style="position:absolute;width:0;height:91;left:35082;top:0;" coordsize="0,9144" path="m0,9144l0,0x">
                  <v:stroke weight="0pt" endcap="flat" joinstyle="miter" miterlimit="10" on="false" color="#000000" opacity="0"/>
                  <v:fill on="true" color="#7f7f7f"/>
                </v:shape>
                <v:shape id="Shape 4238" style="position:absolute;width:0;height:91;left:46177;top:0;" coordsize="0,9144" path="m0,9144l0,0x">
                  <v:stroke weight="0pt" endcap="flat" joinstyle="miter" miterlimit="10" on="false" color="#000000" opacity="0"/>
                  <v:fill on="true" color="#7f7f7f"/>
                </v:shape>
              </v:group>
            </w:pict>
          </mc:Fallback>
        </mc:AlternateContent>
      </w:r>
    </w:p>
    <w:tbl>
      <w:tblPr>
        <w:tblStyle w:val="TableGrid"/>
        <w:tblW w:w="7272" w:type="dxa"/>
        <w:tblInd w:w="-17" w:type="dxa"/>
        <w:tblCellMar>
          <w:top w:w="31" w:type="dxa"/>
          <w:left w:w="31" w:type="dxa"/>
          <w:bottom w:w="0" w:type="dxa"/>
          <w:right w:w="55" w:type="dxa"/>
        </w:tblCellMar>
        <w:tblLook w:val="04A0" w:firstRow="1" w:lastRow="0" w:firstColumn="1" w:lastColumn="0" w:noHBand="0" w:noVBand="1"/>
      </w:tblPr>
      <w:tblGrid>
        <w:gridCol w:w="3632"/>
        <w:gridCol w:w="1820"/>
        <w:gridCol w:w="1820"/>
      </w:tblGrid>
      <w:tr w:rsidR="00CA4720" w:rsidRPr="00B3040C" w14:paraId="03AA49FD" w14:textId="77777777">
        <w:trPr>
          <w:trHeight w:val="898"/>
        </w:trPr>
        <w:tc>
          <w:tcPr>
            <w:tcW w:w="3778"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08B544CD"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Opis</w:t>
            </w:r>
          </w:p>
        </w:tc>
        <w:tc>
          <w:tcPr>
            <w:tcW w:w="1747" w:type="dxa"/>
            <w:tcBorders>
              <w:top w:val="single" w:sz="6" w:space="0" w:color="7F7F7F"/>
              <w:left w:val="single" w:sz="6" w:space="0" w:color="7F7F7F"/>
              <w:bottom w:val="single" w:sz="6" w:space="0" w:color="7F7F7F"/>
              <w:right w:val="single" w:sz="6" w:space="0" w:color="7F7F7F"/>
            </w:tcBorders>
            <w:shd w:val="clear" w:color="auto" w:fill="CCECFF"/>
          </w:tcPr>
          <w:p w14:paraId="2D1D2771" w14:textId="77777777" w:rsidR="00CA4720" w:rsidRPr="00B3040C" w:rsidRDefault="00B3040C">
            <w:pPr>
              <w:spacing w:after="0" w:line="242" w:lineRule="auto"/>
              <w:ind w:left="0" w:firstLine="0"/>
              <w:jc w:val="center"/>
              <w:rPr>
                <w:rFonts w:ascii="Times New Roman" w:hAnsi="Times New Roman" w:cs="Times New Roman"/>
                <w:szCs w:val="24"/>
              </w:rPr>
            </w:pPr>
            <w:r w:rsidRPr="00B3040C">
              <w:rPr>
                <w:rFonts w:ascii="Times New Roman" w:hAnsi="Times New Roman" w:cs="Times New Roman"/>
                <w:b/>
                <w:szCs w:val="24"/>
              </w:rPr>
              <w:t>Knjigovodstvena vrijednost</w:t>
            </w:r>
          </w:p>
          <w:p w14:paraId="527EF204"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31.12.2017.</w:t>
            </w:r>
          </w:p>
        </w:tc>
        <w:tc>
          <w:tcPr>
            <w:tcW w:w="1747" w:type="dxa"/>
            <w:tcBorders>
              <w:top w:val="single" w:sz="6" w:space="0" w:color="7F7F7F"/>
              <w:left w:val="single" w:sz="6" w:space="0" w:color="7F7F7F"/>
              <w:bottom w:val="single" w:sz="6" w:space="0" w:color="7F7F7F"/>
              <w:right w:val="single" w:sz="6" w:space="0" w:color="7F7F7F"/>
            </w:tcBorders>
            <w:shd w:val="clear" w:color="auto" w:fill="CCECFF"/>
          </w:tcPr>
          <w:p w14:paraId="6B1766BB" w14:textId="77777777" w:rsidR="00CA4720" w:rsidRPr="00B3040C" w:rsidRDefault="00B3040C">
            <w:pPr>
              <w:spacing w:after="0" w:line="242" w:lineRule="auto"/>
              <w:ind w:left="0" w:firstLine="0"/>
              <w:jc w:val="center"/>
              <w:rPr>
                <w:rFonts w:ascii="Times New Roman" w:hAnsi="Times New Roman" w:cs="Times New Roman"/>
                <w:szCs w:val="24"/>
              </w:rPr>
            </w:pPr>
            <w:r w:rsidRPr="00B3040C">
              <w:rPr>
                <w:rFonts w:ascii="Times New Roman" w:hAnsi="Times New Roman" w:cs="Times New Roman"/>
                <w:b/>
                <w:szCs w:val="24"/>
              </w:rPr>
              <w:t>Knjigovodstvena vrijednost</w:t>
            </w:r>
          </w:p>
          <w:p w14:paraId="7BCD079F" w14:textId="77777777" w:rsidR="00CA4720" w:rsidRPr="00B3040C" w:rsidRDefault="00B3040C">
            <w:pPr>
              <w:spacing w:after="0" w:line="259" w:lineRule="auto"/>
              <w:ind w:left="27" w:firstLine="0"/>
              <w:jc w:val="center"/>
              <w:rPr>
                <w:rFonts w:ascii="Times New Roman" w:hAnsi="Times New Roman" w:cs="Times New Roman"/>
                <w:szCs w:val="24"/>
              </w:rPr>
            </w:pPr>
            <w:r w:rsidRPr="00B3040C">
              <w:rPr>
                <w:rFonts w:ascii="Times New Roman" w:hAnsi="Times New Roman" w:cs="Times New Roman"/>
                <w:b/>
                <w:szCs w:val="24"/>
              </w:rPr>
              <w:t>31.12.2018.</w:t>
            </w:r>
          </w:p>
        </w:tc>
      </w:tr>
      <w:tr w:rsidR="00CA4720" w:rsidRPr="00B3040C" w14:paraId="7061F83B" w14:textId="77777777">
        <w:trPr>
          <w:trHeight w:val="298"/>
        </w:trPr>
        <w:tc>
          <w:tcPr>
            <w:tcW w:w="3778" w:type="dxa"/>
            <w:tcBorders>
              <w:top w:val="single" w:sz="6" w:space="0" w:color="7F7F7F"/>
              <w:left w:val="single" w:sz="6" w:space="0" w:color="7F7F7F"/>
              <w:bottom w:val="single" w:sz="6" w:space="0" w:color="7F7F7F"/>
              <w:right w:val="single" w:sz="6" w:space="0" w:color="7F7F7F"/>
            </w:tcBorders>
            <w:shd w:val="clear" w:color="auto" w:fill="FFFFFF"/>
          </w:tcPr>
          <w:p w14:paraId="36E51FB0"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Zemljište</w:t>
            </w:r>
          </w:p>
        </w:tc>
        <w:tc>
          <w:tcPr>
            <w:tcW w:w="1747" w:type="dxa"/>
            <w:tcBorders>
              <w:top w:val="single" w:sz="6" w:space="0" w:color="7F7F7F"/>
              <w:left w:val="single" w:sz="6" w:space="0" w:color="7F7F7F"/>
              <w:bottom w:val="single" w:sz="6" w:space="0" w:color="7F7F7F"/>
              <w:right w:val="single" w:sz="6" w:space="0" w:color="7F7F7F"/>
            </w:tcBorders>
            <w:shd w:val="clear" w:color="auto" w:fill="FFFFFF"/>
          </w:tcPr>
          <w:p w14:paraId="0EFD864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shd w:val="clear" w:color="auto" w:fill="FFFFFF"/>
          </w:tcPr>
          <w:p w14:paraId="2F15BF8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7CED850E" w14:textId="77777777">
        <w:trPr>
          <w:trHeight w:val="299"/>
        </w:trPr>
        <w:tc>
          <w:tcPr>
            <w:tcW w:w="3778" w:type="dxa"/>
            <w:tcBorders>
              <w:top w:val="single" w:sz="6" w:space="0" w:color="7F7F7F"/>
              <w:left w:val="single" w:sz="6" w:space="0" w:color="7F7F7F"/>
              <w:bottom w:val="single" w:sz="6" w:space="0" w:color="7F7F7F"/>
              <w:right w:val="single" w:sz="6" w:space="0" w:color="7F7F7F"/>
            </w:tcBorders>
          </w:tcPr>
          <w:p w14:paraId="797CED3C"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Građevinski objekti</w:t>
            </w:r>
          </w:p>
        </w:tc>
        <w:tc>
          <w:tcPr>
            <w:tcW w:w="1747" w:type="dxa"/>
            <w:tcBorders>
              <w:top w:val="single" w:sz="6" w:space="0" w:color="7F7F7F"/>
              <w:left w:val="single" w:sz="6" w:space="0" w:color="7F7F7F"/>
              <w:bottom w:val="single" w:sz="6" w:space="0" w:color="7F7F7F"/>
              <w:right w:val="single" w:sz="6" w:space="0" w:color="7F7F7F"/>
            </w:tcBorders>
          </w:tcPr>
          <w:p w14:paraId="48A6161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tcPr>
          <w:p w14:paraId="26AAAE4D"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1B6EF231" w14:textId="77777777">
        <w:trPr>
          <w:trHeight w:val="298"/>
        </w:trPr>
        <w:tc>
          <w:tcPr>
            <w:tcW w:w="3778" w:type="dxa"/>
            <w:tcBorders>
              <w:top w:val="single" w:sz="6" w:space="0" w:color="7F7F7F"/>
              <w:left w:val="single" w:sz="6" w:space="0" w:color="7F7F7F"/>
              <w:bottom w:val="single" w:sz="6" w:space="0" w:color="7F7F7F"/>
              <w:right w:val="single" w:sz="6" w:space="0" w:color="7F7F7F"/>
            </w:tcBorders>
          </w:tcPr>
          <w:p w14:paraId="3F16560F"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Postrojenja i oprema</w:t>
            </w:r>
          </w:p>
        </w:tc>
        <w:tc>
          <w:tcPr>
            <w:tcW w:w="1747" w:type="dxa"/>
            <w:tcBorders>
              <w:top w:val="single" w:sz="6" w:space="0" w:color="7F7F7F"/>
              <w:left w:val="single" w:sz="6" w:space="0" w:color="7F7F7F"/>
              <w:bottom w:val="single" w:sz="6" w:space="0" w:color="7F7F7F"/>
              <w:right w:val="single" w:sz="6" w:space="0" w:color="7F7F7F"/>
            </w:tcBorders>
          </w:tcPr>
          <w:p w14:paraId="56F04D8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7.845 kn</w:t>
            </w:r>
          </w:p>
        </w:tc>
        <w:tc>
          <w:tcPr>
            <w:tcW w:w="1747" w:type="dxa"/>
            <w:tcBorders>
              <w:top w:val="single" w:sz="6" w:space="0" w:color="7F7F7F"/>
              <w:left w:val="single" w:sz="6" w:space="0" w:color="7F7F7F"/>
              <w:bottom w:val="single" w:sz="6" w:space="0" w:color="7F7F7F"/>
              <w:right w:val="single" w:sz="6" w:space="0" w:color="7F7F7F"/>
            </w:tcBorders>
          </w:tcPr>
          <w:p w14:paraId="5BDBD45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3.735 kn</w:t>
            </w:r>
          </w:p>
        </w:tc>
      </w:tr>
      <w:tr w:rsidR="00CA4720" w:rsidRPr="00B3040C" w14:paraId="41201A65" w14:textId="77777777">
        <w:trPr>
          <w:trHeight w:val="600"/>
        </w:trPr>
        <w:tc>
          <w:tcPr>
            <w:tcW w:w="3778" w:type="dxa"/>
            <w:tcBorders>
              <w:top w:val="single" w:sz="6" w:space="0" w:color="7F7F7F"/>
              <w:left w:val="single" w:sz="6" w:space="0" w:color="7F7F7F"/>
              <w:bottom w:val="single" w:sz="6" w:space="0" w:color="7F7F7F"/>
              <w:right w:val="single" w:sz="6" w:space="0" w:color="7F7F7F"/>
            </w:tcBorders>
          </w:tcPr>
          <w:p w14:paraId="0A4E05B0"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lastRenderedPageBreak/>
              <w:t>Alati, pogonski inventar i transportna imovina</w:t>
            </w:r>
          </w:p>
        </w:tc>
        <w:tc>
          <w:tcPr>
            <w:tcW w:w="1747" w:type="dxa"/>
            <w:tcBorders>
              <w:top w:val="single" w:sz="6" w:space="0" w:color="7F7F7F"/>
              <w:left w:val="single" w:sz="6" w:space="0" w:color="7F7F7F"/>
              <w:bottom w:val="single" w:sz="6" w:space="0" w:color="7F7F7F"/>
              <w:right w:val="single" w:sz="6" w:space="0" w:color="7F7F7F"/>
            </w:tcBorders>
            <w:vAlign w:val="center"/>
          </w:tcPr>
          <w:p w14:paraId="6E3CFA2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vAlign w:val="center"/>
          </w:tcPr>
          <w:p w14:paraId="345522AD"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79EF2363" w14:textId="77777777">
        <w:trPr>
          <w:trHeight w:val="298"/>
        </w:trPr>
        <w:tc>
          <w:tcPr>
            <w:tcW w:w="3778" w:type="dxa"/>
            <w:tcBorders>
              <w:top w:val="single" w:sz="6" w:space="0" w:color="7F7F7F"/>
              <w:left w:val="single" w:sz="6" w:space="0" w:color="7F7F7F"/>
              <w:bottom w:val="single" w:sz="6" w:space="0" w:color="7F7F7F"/>
              <w:right w:val="single" w:sz="6" w:space="0" w:color="7F7F7F"/>
            </w:tcBorders>
          </w:tcPr>
          <w:p w14:paraId="07A15C7A"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Biološka imovina</w:t>
            </w:r>
          </w:p>
        </w:tc>
        <w:tc>
          <w:tcPr>
            <w:tcW w:w="1747" w:type="dxa"/>
            <w:tcBorders>
              <w:top w:val="single" w:sz="6" w:space="0" w:color="7F7F7F"/>
              <w:left w:val="single" w:sz="6" w:space="0" w:color="7F7F7F"/>
              <w:bottom w:val="single" w:sz="6" w:space="0" w:color="7F7F7F"/>
              <w:right w:val="single" w:sz="6" w:space="0" w:color="7F7F7F"/>
            </w:tcBorders>
          </w:tcPr>
          <w:p w14:paraId="5465683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tcPr>
          <w:p w14:paraId="515D0E01"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0A154007" w14:textId="77777777">
        <w:trPr>
          <w:trHeight w:val="298"/>
        </w:trPr>
        <w:tc>
          <w:tcPr>
            <w:tcW w:w="3778" w:type="dxa"/>
            <w:tcBorders>
              <w:top w:val="single" w:sz="6" w:space="0" w:color="7F7F7F"/>
              <w:left w:val="single" w:sz="6" w:space="0" w:color="7F7F7F"/>
              <w:bottom w:val="single" w:sz="6" w:space="0" w:color="7F7F7F"/>
              <w:right w:val="single" w:sz="6" w:space="0" w:color="7F7F7F"/>
            </w:tcBorders>
          </w:tcPr>
          <w:p w14:paraId="662D83CD"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Predujmovi za materijalnu imovinu</w:t>
            </w:r>
          </w:p>
        </w:tc>
        <w:tc>
          <w:tcPr>
            <w:tcW w:w="1747" w:type="dxa"/>
            <w:tcBorders>
              <w:top w:val="single" w:sz="6" w:space="0" w:color="7F7F7F"/>
              <w:left w:val="single" w:sz="6" w:space="0" w:color="7F7F7F"/>
              <w:bottom w:val="single" w:sz="6" w:space="0" w:color="7F7F7F"/>
              <w:right w:val="single" w:sz="6" w:space="0" w:color="7F7F7F"/>
            </w:tcBorders>
          </w:tcPr>
          <w:p w14:paraId="7B262C9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tcPr>
          <w:p w14:paraId="028A2E0C"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502DA194" w14:textId="77777777">
        <w:trPr>
          <w:trHeight w:val="389"/>
        </w:trPr>
        <w:tc>
          <w:tcPr>
            <w:tcW w:w="3778" w:type="dxa"/>
            <w:tcBorders>
              <w:top w:val="single" w:sz="6" w:space="0" w:color="7F7F7F"/>
              <w:left w:val="single" w:sz="6" w:space="0" w:color="7F7F7F"/>
              <w:bottom w:val="single" w:sz="6" w:space="0" w:color="7F7F7F"/>
              <w:right w:val="single" w:sz="6" w:space="0" w:color="7F7F7F"/>
            </w:tcBorders>
          </w:tcPr>
          <w:p w14:paraId="6C4612D3"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Materijalna imovina u pripremi</w:t>
            </w:r>
          </w:p>
        </w:tc>
        <w:tc>
          <w:tcPr>
            <w:tcW w:w="1747" w:type="dxa"/>
            <w:tcBorders>
              <w:top w:val="single" w:sz="6" w:space="0" w:color="7F7F7F"/>
              <w:left w:val="single" w:sz="6" w:space="0" w:color="7F7F7F"/>
              <w:bottom w:val="single" w:sz="6" w:space="0" w:color="7F7F7F"/>
              <w:right w:val="single" w:sz="6" w:space="0" w:color="7F7F7F"/>
            </w:tcBorders>
          </w:tcPr>
          <w:p w14:paraId="574D2805"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tcPr>
          <w:p w14:paraId="460530CA"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1DB45441" w14:textId="77777777">
        <w:trPr>
          <w:trHeight w:val="298"/>
        </w:trPr>
        <w:tc>
          <w:tcPr>
            <w:tcW w:w="3778" w:type="dxa"/>
            <w:tcBorders>
              <w:top w:val="single" w:sz="6" w:space="0" w:color="7F7F7F"/>
              <w:left w:val="single" w:sz="6" w:space="0" w:color="7F7F7F"/>
              <w:bottom w:val="single" w:sz="6" w:space="0" w:color="7F7F7F"/>
              <w:right w:val="single" w:sz="6" w:space="0" w:color="7F7F7F"/>
            </w:tcBorders>
          </w:tcPr>
          <w:p w14:paraId="019C8FB3"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Ostala materijalna imovina</w:t>
            </w:r>
          </w:p>
        </w:tc>
        <w:tc>
          <w:tcPr>
            <w:tcW w:w="1747" w:type="dxa"/>
            <w:tcBorders>
              <w:top w:val="single" w:sz="6" w:space="0" w:color="7F7F7F"/>
              <w:left w:val="single" w:sz="6" w:space="0" w:color="7F7F7F"/>
              <w:bottom w:val="single" w:sz="6" w:space="0" w:color="7F7F7F"/>
              <w:right w:val="single" w:sz="6" w:space="0" w:color="7F7F7F"/>
            </w:tcBorders>
          </w:tcPr>
          <w:p w14:paraId="6E416CD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6" w:space="0" w:color="7F7F7F"/>
              <w:right w:val="single" w:sz="6" w:space="0" w:color="7F7F7F"/>
            </w:tcBorders>
          </w:tcPr>
          <w:p w14:paraId="5EF9516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51A541EF" w14:textId="77777777">
        <w:trPr>
          <w:trHeight w:val="312"/>
        </w:trPr>
        <w:tc>
          <w:tcPr>
            <w:tcW w:w="3778" w:type="dxa"/>
            <w:tcBorders>
              <w:top w:val="single" w:sz="6" w:space="0" w:color="7F7F7F"/>
              <w:left w:val="single" w:sz="6" w:space="0" w:color="7F7F7F"/>
              <w:bottom w:val="single" w:sz="17" w:space="0" w:color="2E75B6"/>
              <w:right w:val="single" w:sz="6" w:space="0" w:color="7F7F7F"/>
            </w:tcBorders>
          </w:tcPr>
          <w:p w14:paraId="2A10FCCF"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Ulaganja u nekretnine</w:t>
            </w:r>
          </w:p>
        </w:tc>
        <w:tc>
          <w:tcPr>
            <w:tcW w:w="1747" w:type="dxa"/>
            <w:tcBorders>
              <w:top w:val="single" w:sz="6" w:space="0" w:color="7F7F7F"/>
              <w:left w:val="single" w:sz="6" w:space="0" w:color="7F7F7F"/>
              <w:bottom w:val="single" w:sz="17" w:space="0" w:color="2E75B6"/>
              <w:right w:val="single" w:sz="6" w:space="0" w:color="7F7F7F"/>
            </w:tcBorders>
          </w:tcPr>
          <w:p w14:paraId="68BF57B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747" w:type="dxa"/>
            <w:tcBorders>
              <w:top w:val="single" w:sz="6" w:space="0" w:color="7F7F7F"/>
              <w:left w:val="single" w:sz="6" w:space="0" w:color="7F7F7F"/>
              <w:bottom w:val="single" w:sz="17" w:space="0" w:color="2E75B6"/>
              <w:right w:val="single" w:sz="6" w:space="0" w:color="7F7F7F"/>
            </w:tcBorders>
          </w:tcPr>
          <w:p w14:paraId="0F9491AD"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r>
      <w:tr w:rsidR="00CA4720" w:rsidRPr="00B3040C" w14:paraId="76C4F45F" w14:textId="77777777">
        <w:trPr>
          <w:trHeight w:val="298"/>
        </w:trPr>
        <w:tc>
          <w:tcPr>
            <w:tcW w:w="3778" w:type="dxa"/>
            <w:tcBorders>
              <w:top w:val="single" w:sz="17" w:space="0" w:color="2E75B6"/>
              <w:left w:val="single" w:sz="6" w:space="0" w:color="7F7F7F"/>
              <w:bottom w:val="single" w:sz="6" w:space="0" w:color="7F7F7F"/>
              <w:right w:val="single" w:sz="6" w:space="0" w:color="7F7F7F"/>
            </w:tcBorders>
          </w:tcPr>
          <w:p w14:paraId="4BDF4E7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747" w:type="dxa"/>
            <w:tcBorders>
              <w:top w:val="single" w:sz="17" w:space="0" w:color="2E75B6"/>
              <w:left w:val="single" w:sz="6" w:space="0" w:color="7F7F7F"/>
              <w:bottom w:val="single" w:sz="6" w:space="0" w:color="7F7F7F"/>
              <w:right w:val="single" w:sz="6" w:space="0" w:color="7F7F7F"/>
            </w:tcBorders>
          </w:tcPr>
          <w:p w14:paraId="50D2AAA9"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7.845 kn</w:t>
            </w:r>
          </w:p>
        </w:tc>
        <w:tc>
          <w:tcPr>
            <w:tcW w:w="1747" w:type="dxa"/>
            <w:tcBorders>
              <w:top w:val="single" w:sz="17" w:space="0" w:color="2E75B6"/>
              <w:left w:val="single" w:sz="6" w:space="0" w:color="7F7F7F"/>
              <w:bottom w:val="single" w:sz="6" w:space="0" w:color="7F7F7F"/>
              <w:right w:val="single" w:sz="6" w:space="0" w:color="7F7F7F"/>
            </w:tcBorders>
          </w:tcPr>
          <w:p w14:paraId="3CE9F767"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3.735 kn</w:t>
            </w:r>
          </w:p>
        </w:tc>
      </w:tr>
    </w:tbl>
    <w:p w14:paraId="7CDFC510" w14:textId="77777777" w:rsidR="00CA4720" w:rsidRPr="00B3040C" w:rsidRDefault="00B3040C">
      <w:pPr>
        <w:ind w:left="-5" w:right="800"/>
        <w:rPr>
          <w:rFonts w:ascii="Times New Roman" w:hAnsi="Times New Roman" w:cs="Times New Roman"/>
          <w:szCs w:val="24"/>
        </w:rPr>
      </w:pPr>
      <w:r w:rsidRPr="00B3040C">
        <w:rPr>
          <w:rFonts w:ascii="Times New Roman" w:hAnsi="Times New Roman" w:cs="Times New Roman"/>
          <w:szCs w:val="24"/>
        </w:rPr>
        <w:t>Amortizacija materijalne imovine (ispravak vrijednosti) obračunava se sukladno korisnom vijeku uporabe, linearnom metodom i primjenom stopa u skladu s računovodstvenim politikama.</w:t>
      </w:r>
    </w:p>
    <w:p w14:paraId="2F97EE0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Knjigovodstvena vrijednost nekretnina koja je utvrđena u skladu sa standardima financijskog izvještavanja (tj. neto amortizirane vrijednosti) i njezine fer vrijednosti na datum promjene njezine namjene u ulaganja u nekretnine. Ova početna razlika evidentirala se kao revalorizacijska rezerva u skladu sa standardima financijskog izvještavanja.</w:t>
      </w:r>
    </w:p>
    <w:p w14:paraId="729335B7" w14:textId="77777777" w:rsidR="00CA4720" w:rsidRPr="00B3040C" w:rsidRDefault="00B3040C">
      <w:pPr>
        <w:spacing w:after="488"/>
        <w:ind w:left="-5"/>
        <w:rPr>
          <w:rFonts w:ascii="Times New Roman" w:hAnsi="Times New Roman" w:cs="Times New Roman"/>
          <w:szCs w:val="24"/>
        </w:rPr>
      </w:pPr>
      <w:r w:rsidRPr="00B3040C">
        <w:rPr>
          <w:rFonts w:ascii="Times New Roman" w:hAnsi="Times New Roman" w:cs="Times New Roman"/>
          <w:szCs w:val="24"/>
        </w:rPr>
        <w:t>Prilikom prijenosa nekretnine mjerene po fer vrijednosti na nekretninu koju koristi vlasnik (</w:t>
      </w:r>
      <w:r w:rsidRPr="00B3040C">
        <w:rPr>
          <w:rFonts w:ascii="Times New Roman" w:hAnsi="Times New Roman" w:cs="Times New Roman"/>
          <w:i/>
          <w:szCs w:val="24"/>
        </w:rPr>
        <w:t>druga mogućnost koja je stavljena na zalihu</w:t>
      </w:r>
      <w:r w:rsidRPr="00B3040C">
        <w:rPr>
          <w:rFonts w:ascii="Times New Roman" w:hAnsi="Times New Roman" w:cs="Times New Roman"/>
          <w:szCs w:val="24"/>
        </w:rPr>
        <w:t>) fer vrijednost na datum prijenosa jest trošak nabave.</w:t>
      </w:r>
    </w:p>
    <w:p w14:paraId="1480B002" w14:textId="77777777" w:rsidR="00CA4720" w:rsidRPr="00B3040C" w:rsidRDefault="00B3040C">
      <w:pPr>
        <w:pStyle w:val="Naslov3"/>
        <w:spacing w:after="315"/>
        <w:ind w:left="-5" w:right="5108"/>
        <w:rPr>
          <w:rFonts w:ascii="Times New Roman" w:hAnsi="Times New Roman" w:cs="Times New Roman"/>
          <w:szCs w:val="24"/>
        </w:rPr>
      </w:pPr>
      <w:r w:rsidRPr="00B3040C">
        <w:rPr>
          <w:rFonts w:ascii="Times New Roman" w:hAnsi="Times New Roman" w:cs="Times New Roman"/>
          <w:szCs w:val="24"/>
        </w:rPr>
        <w:t xml:space="preserve">Dugotrajna financijska imovina </w:t>
      </w:r>
      <w:r w:rsidRPr="00B3040C">
        <w:rPr>
          <w:rFonts w:ascii="Times New Roman" w:hAnsi="Times New Roman" w:cs="Times New Roman"/>
          <w:i/>
          <w:color w:val="808080"/>
          <w:szCs w:val="24"/>
          <w:u w:val="single" w:color="808080"/>
        </w:rPr>
        <w:t>Bilješka br. 11</w:t>
      </w:r>
    </w:p>
    <w:p w14:paraId="27ED006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Dugotrajna financijska imovina sastoji se od dugoročnih ulaganja u udjele (dionice), ulaganja u vrijednosne papire, danih dugoročnih zajmova, depozita i sličnog, ostalih dugoročnih ulaganja koja se obračunavaju metodom udjela i ostalih ulaganja u dugotrajnu financijsku imovinu.</w:t>
      </w:r>
    </w:p>
    <w:p w14:paraId="4A34B0A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dugotrajnu financijsku imovinu.</w:t>
      </w:r>
    </w:p>
    <w:p w14:paraId="6268E215" w14:textId="77777777" w:rsidR="00CA4720" w:rsidRPr="00B3040C" w:rsidRDefault="00B3040C">
      <w:pPr>
        <w:spacing w:after="315"/>
        <w:ind w:left="-5" w:right="5934"/>
        <w:jc w:val="left"/>
        <w:rPr>
          <w:rFonts w:ascii="Times New Roman" w:hAnsi="Times New Roman" w:cs="Times New Roman"/>
          <w:szCs w:val="24"/>
        </w:rPr>
      </w:pPr>
      <w:r w:rsidRPr="00B3040C">
        <w:rPr>
          <w:rFonts w:ascii="Times New Roman" w:hAnsi="Times New Roman" w:cs="Times New Roman"/>
          <w:b/>
          <w:szCs w:val="24"/>
        </w:rPr>
        <w:t xml:space="preserve">Dugoročna potraživanja </w:t>
      </w:r>
      <w:r w:rsidRPr="00B3040C">
        <w:rPr>
          <w:rFonts w:ascii="Times New Roman" w:hAnsi="Times New Roman" w:cs="Times New Roman"/>
          <w:b/>
          <w:i/>
          <w:color w:val="808080"/>
          <w:szCs w:val="24"/>
          <w:u w:val="single" w:color="808080"/>
        </w:rPr>
        <w:t>Bilješka br. 12</w:t>
      </w:r>
    </w:p>
    <w:p w14:paraId="6CB6386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dugoročna potraživanja.</w:t>
      </w:r>
    </w:p>
    <w:p w14:paraId="259F0CDB" w14:textId="77777777" w:rsidR="00CA4720" w:rsidRPr="00B3040C" w:rsidRDefault="00B3040C">
      <w:pPr>
        <w:pStyle w:val="Naslov2"/>
        <w:spacing w:after="0"/>
        <w:ind w:left="-5"/>
        <w:rPr>
          <w:rFonts w:ascii="Times New Roman" w:hAnsi="Times New Roman" w:cs="Times New Roman"/>
          <w:szCs w:val="24"/>
        </w:rPr>
      </w:pPr>
      <w:r w:rsidRPr="00B3040C">
        <w:rPr>
          <w:rFonts w:ascii="Times New Roman" w:hAnsi="Times New Roman" w:cs="Times New Roman"/>
          <w:szCs w:val="24"/>
        </w:rPr>
        <w:t>KRATKOTRAJNA IMOVINA</w:t>
      </w:r>
    </w:p>
    <w:p w14:paraId="61BCF902" w14:textId="77777777" w:rsidR="00CA4720" w:rsidRPr="00B3040C" w:rsidRDefault="00B3040C">
      <w:pPr>
        <w:pStyle w:val="Naslov3"/>
        <w:spacing w:after="309" w:line="259" w:lineRule="auto"/>
        <w:ind w:left="-5"/>
        <w:rPr>
          <w:rFonts w:ascii="Times New Roman" w:hAnsi="Times New Roman" w:cs="Times New Roman"/>
          <w:szCs w:val="24"/>
        </w:rPr>
      </w:pPr>
      <w:r w:rsidRPr="00B3040C">
        <w:rPr>
          <w:rFonts w:ascii="Times New Roman" w:hAnsi="Times New Roman" w:cs="Times New Roman"/>
          <w:i/>
          <w:color w:val="808080"/>
          <w:szCs w:val="24"/>
          <w:u w:val="single" w:color="808080"/>
        </w:rPr>
        <w:t>Bilješka br. 13</w:t>
      </w:r>
    </w:p>
    <w:p w14:paraId="29A9BE8F"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Kratkotrajna imovina društva sastoji se od imovine koja je naplativa unutar roka od godinu dana, a sastoji se od zaliha, potraživanja, kratkotrajne financijske imovine i novca u banci i blagajni.</w:t>
      </w:r>
    </w:p>
    <w:p w14:paraId="70003EF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Kratkotrajna imovina na dan izvještavanja iznosila je 100.597 kn.</w:t>
      </w:r>
    </w:p>
    <w:p w14:paraId="547BE9A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Zalihe</w:t>
      </w:r>
    </w:p>
    <w:p w14:paraId="30BFDC20" w14:textId="77777777" w:rsidR="00CA4720" w:rsidRPr="00B3040C" w:rsidRDefault="00B3040C">
      <w:pPr>
        <w:spacing w:after="309" w:line="259" w:lineRule="auto"/>
        <w:ind w:left="-5"/>
        <w:jc w:val="left"/>
        <w:rPr>
          <w:rFonts w:ascii="Times New Roman" w:hAnsi="Times New Roman" w:cs="Times New Roman"/>
          <w:szCs w:val="24"/>
        </w:rPr>
      </w:pPr>
      <w:r w:rsidRPr="00B3040C">
        <w:rPr>
          <w:rFonts w:ascii="Times New Roman" w:hAnsi="Times New Roman" w:cs="Times New Roman"/>
          <w:b/>
          <w:i/>
          <w:color w:val="808080"/>
          <w:szCs w:val="24"/>
          <w:u w:val="single" w:color="808080"/>
        </w:rPr>
        <w:t>Bilješka br. 14</w:t>
      </w:r>
    </w:p>
    <w:p w14:paraId="4B6C886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zaliha.</w:t>
      </w:r>
    </w:p>
    <w:p w14:paraId="1DB9838E" w14:textId="77777777" w:rsidR="00CA4720" w:rsidRPr="00B3040C" w:rsidRDefault="00B3040C">
      <w:pPr>
        <w:pStyle w:val="Naslov3"/>
        <w:spacing w:after="315"/>
        <w:ind w:left="-5" w:right="5747"/>
        <w:rPr>
          <w:rFonts w:ascii="Times New Roman" w:hAnsi="Times New Roman" w:cs="Times New Roman"/>
          <w:szCs w:val="24"/>
        </w:rPr>
      </w:pPr>
      <w:r w:rsidRPr="00B3040C">
        <w:rPr>
          <w:rFonts w:ascii="Times New Roman" w:hAnsi="Times New Roman" w:cs="Times New Roman"/>
          <w:szCs w:val="24"/>
        </w:rPr>
        <w:lastRenderedPageBreak/>
        <w:t xml:space="preserve">Kratkoročna potraživanja </w:t>
      </w:r>
      <w:r w:rsidRPr="00B3040C">
        <w:rPr>
          <w:rFonts w:ascii="Times New Roman" w:hAnsi="Times New Roman" w:cs="Times New Roman"/>
          <w:i/>
          <w:color w:val="808080"/>
          <w:szCs w:val="24"/>
          <w:u w:val="single" w:color="808080"/>
        </w:rPr>
        <w:t>Bilješka br. 15</w:t>
      </w:r>
    </w:p>
    <w:p w14:paraId="70F8918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Kratkoročna potraživanja sastoje se od potraživanja za isporučenu robu i usluge, potraživanja od zaposlenika i članova poduzetnika, potraživanja od države i drugih institucija i ostalih potraživanja za koja se očekuje da će se pretvoriti u novčani oblik u roku do jedne godine.</w:t>
      </w:r>
    </w:p>
    <w:p w14:paraId="0AF4226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Kratkoročna potraživanja na dan izvještavanja iznosila su 43.936 kn.</w:t>
      </w:r>
    </w:p>
    <w:p w14:paraId="52D82647"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Kratkoročna potraživanja za isporučenu robu i usluge</w:t>
      </w:r>
    </w:p>
    <w:p w14:paraId="4941445D"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15a</w:t>
      </w:r>
    </w:p>
    <w:p w14:paraId="67E8841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Kratkoročna potraživanja za isporučenu robu i usluge i ostala potraživanja razrađuju se na potraživanja od poduzetnika unutar grupe, od društava povezanih sudjelujućim interesom i od nepovezanih osoba.</w:t>
      </w:r>
    </w:p>
    <w:p w14:paraId="5E1F69A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kratkoročna potraživanja.</w:t>
      </w:r>
    </w:p>
    <w:p w14:paraId="7625E218"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Kratkoročna potraživanja od zaposlenika i članova poduzetnika</w:t>
      </w:r>
    </w:p>
    <w:p w14:paraId="265FA12A"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15b</w:t>
      </w:r>
    </w:p>
    <w:p w14:paraId="3DB6983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je na dan izvještavanja imalo kratkoročna potraživanja od zaposlenika i članova društva u iznosu 19.961 kn.</w:t>
      </w:r>
    </w:p>
    <w:p w14:paraId="20F9FBD4"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Kratkoročna potraživanja od države i drugih institucija</w:t>
      </w:r>
    </w:p>
    <w:p w14:paraId="313EADF0"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15c</w:t>
      </w:r>
    </w:p>
    <w:p w14:paraId="4CA39353" w14:textId="77777777" w:rsidR="00CA4720" w:rsidRPr="00B3040C" w:rsidRDefault="00B3040C">
      <w:pPr>
        <w:spacing w:after="278" w:line="246" w:lineRule="auto"/>
        <w:ind w:left="-5" w:right="-15"/>
        <w:jc w:val="left"/>
        <w:rPr>
          <w:rFonts w:ascii="Times New Roman" w:hAnsi="Times New Roman" w:cs="Times New Roman"/>
          <w:szCs w:val="24"/>
        </w:rPr>
      </w:pPr>
      <w:r w:rsidRPr="00B3040C">
        <w:rPr>
          <w:rFonts w:ascii="Times New Roman" w:hAnsi="Times New Roman" w:cs="Times New Roman"/>
          <w:szCs w:val="24"/>
        </w:rPr>
        <w:t>Kratkoročna potraživanja od države i drugih institucija odnose se na potraživanja za porez na dobit, potraživanja za PDV, potraživanja za više plaćene članarine i slična potraživanja.</w:t>
      </w:r>
    </w:p>
    <w:p w14:paraId="3A57A767"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kratkoročna potraživanja od države i drugih institucija.</w:t>
      </w:r>
    </w:p>
    <w:p w14:paraId="4FBDE280" w14:textId="77777777" w:rsidR="00CA4720" w:rsidRPr="00B3040C" w:rsidRDefault="00B3040C">
      <w:pPr>
        <w:pStyle w:val="Naslov3"/>
        <w:spacing w:after="315"/>
        <w:ind w:left="-5" w:right="4993"/>
        <w:rPr>
          <w:rFonts w:ascii="Times New Roman" w:hAnsi="Times New Roman" w:cs="Times New Roman"/>
          <w:szCs w:val="24"/>
        </w:rPr>
      </w:pPr>
      <w:r w:rsidRPr="00B3040C">
        <w:rPr>
          <w:rFonts w:ascii="Times New Roman" w:hAnsi="Times New Roman" w:cs="Times New Roman"/>
          <w:szCs w:val="24"/>
        </w:rPr>
        <w:t xml:space="preserve">Ostala kratkoročna potraživanja </w:t>
      </w:r>
      <w:r w:rsidRPr="00B3040C">
        <w:rPr>
          <w:rFonts w:ascii="Times New Roman" w:hAnsi="Times New Roman" w:cs="Times New Roman"/>
          <w:i/>
          <w:color w:val="808080"/>
          <w:szCs w:val="24"/>
          <w:u w:val="single" w:color="808080"/>
        </w:rPr>
        <w:t>Bilješka br. 15d</w:t>
      </w:r>
    </w:p>
    <w:p w14:paraId="42A7184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Ostala kratkoročna potraživanja sačinjavaju potraživanja stečena cesijom ili nekom drugom vrstom ugovora (otkup tražbine, prijenos i sl.) te potraživanja za dane predujmove.</w:t>
      </w:r>
    </w:p>
    <w:p w14:paraId="1F5C069C" w14:textId="77777777" w:rsidR="00CA4720" w:rsidRPr="00B3040C" w:rsidRDefault="00B3040C">
      <w:pPr>
        <w:spacing w:after="560"/>
        <w:ind w:left="-5"/>
        <w:rPr>
          <w:rFonts w:ascii="Times New Roman" w:hAnsi="Times New Roman" w:cs="Times New Roman"/>
          <w:szCs w:val="24"/>
        </w:rPr>
      </w:pPr>
      <w:r w:rsidRPr="00B3040C">
        <w:rPr>
          <w:rFonts w:ascii="Times New Roman" w:hAnsi="Times New Roman" w:cs="Times New Roman"/>
          <w:szCs w:val="24"/>
        </w:rPr>
        <w:t>Ostala kratkoročna potraživanja Društva na dan izvještavanja iznosila su ukupno 23.975 kn.</w:t>
      </w:r>
    </w:p>
    <w:p w14:paraId="287650D6" w14:textId="77777777" w:rsidR="00CA4720" w:rsidRPr="00B3040C" w:rsidRDefault="00B3040C">
      <w:pPr>
        <w:pStyle w:val="Naslov3"/>
        <w:spacing w:after="315"/>
        <w:ind w:left="-5" w:right="4921"/>
        <w:rPr>
          <w:rFonts w:ascii="Times New Roman" w:hAnsi="Times New Roman" w:cs="Times New Roman"/>
          <w:szCs w:val="24"/>
        </w:rPr>
      </w:pPr>
      <w:r w:rsidRPr="00B3040C">
        <w:rPr>
          <w:rFonts w:ascii="Times New Roman" w:hAnsi="Times New Roman" w:cs="Times New Roman"/>
          <w:szCs w:val="24"/>
        </w:rPr>
        <w:t xml:space="preserve">Kratkotrajna financijska imovina </w:t>
      </w:r>
      <w:r w:rsidRPr="00B3040C">
        <w:rPr>
          <w:rFonts w:ascii="Times New Roman" w:hAnsi="Times New Roman" w:cs="Times New Roman"/>
          <w:i/>
          <w:color w:val="808080"/>
          <w:szCs w:val="24"/>
          <w:u w:val="single" w:color="808080"/>
        </w:rPr>
        <w:t>Bilješka br. 16</w:t>
      </w:r>
    </w:p>
    <w:p w14:paraId="5E07E42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Kratkotrajnu financijsku imovinu sačinjavaju ulaganja u udjele/dionice i vrijednosne papire, dani zajmovi, depoziti i slično te ostala financijska imovina za koju se očekuje da će se pretvoriti u novčani oblik unutar jedne godine.</w:t>
      </w:r>
    </w:p>
    <w:p w14:paraId="6FC79D47"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Na dan izvještavanja, kratkotrajna financijska imovina Društva iznosila je ukupno 54.904 kn.</w:t>
      </w:r>
    </w:p>
    <w:p w14:paraId="57E99E15" w14:textId="77777777" w:rsidR="00CA4720" w:rsidRPr="00B3040C" w:rsidRDefault="00B3040C">
      <w:pPr>
        <w:pStyle w:val="Naslov3"/>
        <w:spacing w:after="315"/>
        <w:ind w:left="-5" w:right="5698"/>
        <w:rPr>
          <w:rFonts w:ascii="Times New Roman" w:hAnsi="Times New Roman" w:cs="Times New Roman"/>
          <w:szCs w:val="24"/>
        </w:rPr>
      </w:pPr>
      <w:r w:rsidRPr="00B3040C">
        <w:rPr>
          <w:rFonts w:ascii="Times New Roman" w:hAnsi="Times New Roman" w:cs="Times New Roman"/>
          <w:szCs w:val="24"/>
        </w:rPr>
        <w:lastRenderedPageBreak/>
        <w:t xml:space="preserve">Ulaganja u udjele/dionice </w:t>
      </w:r>
      <w:r w:rsidRPr="00B3040C">
        <w:rPr>
          <w:rFonts w:ascii="Times New Roman" w:hAnsi="Times New Roman" w:cs="Times New Roman"/>
          <w:i/>
          <w:color w:val="808080"/>
          <w:szCs w:val="24"/>
          <w:u w:val="single" w:color="808080"/>
        </w:rPr>
        <w:t>Bilješka br. 16a</w:t>
      </w:r>
    </w:p>
    <w:p w14:paraId="38627E0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ulaganja u udjele i/ili dionice kod poduzetnika unutar grupe i/ili kod društava povezanih sudjelujućim interesima.</w:t>
      </w:r>
    </w:p>
    <w:p w14:paraId="358A53D9" w14:textId="77777777" w:rsidR="00CA4720" w:rsidRPr="00B3040C" w:rsidRDefault="00B3040C">
      <w:pPr>
        <w:spacing w:after="267"/>
        <w:ind w:left="-5" w:right="5208"/>
        <w:jc w:val="left"/>
        <w:rPr>
          <w:rFonts w:ascii="Times New Roman" w:hAnsi="Times New Roman" w:cs="Times New Roman"/>
          <w:szCs w:val="24"/>
        </w:rPr>
      </w:pPr>
      <w:r w:rsidRPr="00B3040C">
        <w:rPr>
          <w:rFonts w:ascii="Times New Roman" w:hAnsi="Times New Roman" w:cs="Times New Roman"/>
          <w:b/>
          <w:szCs w:val="24"/>
        </w:rPr>
        <w:t xml:space="preserve">Ulaganje u vrijednosne papire </w:t>
      </w:r>
      <w:r w:rsidRPr="00B3040C">
        <w:rPr>
          <w:rFonts w:ascii="Times New Roman" w:hAnsi="Times New Roman" w:cs="Times New Roman"/>
          <w:b/>
          <w:i/>
          <w:color w:val="808080"/>
          <w:szCs w:val="24"/>
          <w:u w:val="single" w:color="808080"/>
        </w:rPr>
        <w:t>Bilješka br. 16b</w:t>
      </w:r>
    </w:p>
    <w:p w14:paraId="16BF7C3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ulaganja u vrijednosne papire.</w:t>
      </w:r>
    </w:p>
    <w:p w14:paraId="4B0DB973" w14:textId="77777777" w:rsidR="00CA4720" w:rsidRPr="00B3040C" w:rsidRDefault="00B3040C">
      <w:pPr>
        <w:pStyle w:val="Naslov3"/>
        <w:spacing w:after="315"/>
        <w:ind w:left="-5" w:right="4371"/>
        <w:rPr>
          <w:rFonts w:ascii="Times New Roman" w:hAnsi="Times New Roman" w:cs="Times New Roman"/>
          <w:szCs w:val="24"/>
        </w:rPr>
      </w:pPr>
      <w:r w:rsidRPr="00B3040C">
        <w:rPr>
          <w:rFonts w:ascii="Times New Roman" w:hAnsi="Times New Roman" w:cs="Times New Roman"/>
          <w:szCs w:val="24"/>
        </w:rPr>
        <w:t xml:space="preserve">Ulaganje u zajmove, depozite i slično </w:t>
      </w:r>
      <w:r w:rsidRPr="00B3040C">
        <w:rPr>
          <w:rFonts w:ascii="Times New Roman" w:hAnsi="Times New Roman" w:cs="Times New Roman"/>
          <w:i/>
          <w:color w:val="808080"/>
          <w:szCs w:val="24"/>
          <w:u w:val="single" w:color="808080"/>
        </w:rPr>
        <w:t>Bilješka br. 16c</w:t>
      </w:r>
    </w:p>
    <w:p w14:paraId="68905EB2" w14:textId="77777777" w:rsidR="00CA4720" w:rsidRPr="00B3040C" w:rsidRDefault="00B3040C">
      <w:pPr>
        <w:spacing w:after="20"/>
        <w:ind w:left="-5"/>
        <w:rPr>
          <w:rFonts w:ascii="Times New Roman" w:hAnsi="Times New Roman" w:cs="Times New Roman"/>
          <w:szCs w:val="24"/>
        </w:rPr>
      </w:pPr>
      <w:r w:rsidRPr="00B3040C">
        <w:rPr>
          <w:rFonts w:ascii="Times New Roman" w:hAnsi="Times New Roman" w:cs="Times New Roman"/>
          <w:szCs w:val="24"/>
        </w:rPr>
        <w:t>Društvo je na dan izvještavanja imalo ulaganja u dane zajmove, depozite i slično u iznosu 54.904 kn.</w:t>
      </w:r>
    </w:p>
    <w:tbl>
      <w:tblPr>
        <w:tblStyle w:val="TableGrid"/>
        <w:tblW w:w="9269" w:type="dxa"/>
        <w:tblInd w:w="-17" w:type="dxa"/>
        <w:tblCellMar>
          <w:top w:w="31" w:type="dxa"/>
          <w:left w:w="31" w:type="dxa"/>
          <w:bottom w:w="0" w:type="dxa"/>
          <w:right w:w="55" w:type="dxa"/>
        </w:tblCellMar>
        <w:tblLook w:val="04A0" w:firstRow="1" w:lastRow="0" w:firstColumn="1" w:lastColumn="0" w:noHBand="0" w:noVBand="1"/>
      </w:tblPr>
      <w:tblGrid>
        <w:gridCol w:w="5060"/>
        <w:gridCol w:w="1459"/>
        <w:gridCol w:w="1459"/>
        <w:gridCol w:w="1291"/>
      </w:tblGrid>
      <w:tr w:rsidR="00CA4720" w:rsidRPr="00B3040C" w14:paraId="422F1C48" w14:textId="77777777">
        <w:trPr>
          <w:trHeight w:val="600"/>
        </w:trPr>
        <w:tc>
          <w:tcPr>
            <w:tcW w:w="5059"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058DBE6A"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b/>
                <w:szCs w:val="24"/>
              </w:rPr>
              <w:t>Opis</w:t>
            </w:r>
          </w:p>
        </w:tc>
        <w:tc>
          <w:tcPr>
            <w:tcW w:w="1459"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29CEA3A1" w14:textId="77777777" w:rsidR="00CA4720" w:rsidRPr="00B3040C" w:rsidRDefault="00B3040C">
            <w:pPr>
              <w:spacing w:after="0" w:line="259" w:lineRule="auto"/>
              <w:ind w:left="110" w:firstLine="0"/>
              <w:jc w:val="left"/>
              <w:rPr>
                <w:rFonts w:ascii="Times New Roman" w:hAnsi="Times New Roman" w:cs="Times New Roman"/>
                <w:szCs w:val="24"/>
              </w:rPr>
            </w:pPr>
            <w:r w:rsidRPr="00B3040C">
              <w:rPr>
                <w:rFonts w:ascii="Times New Roman" w:hAnsi="Times New Roman" w:cs="Times New Roman"/>
                <w:b/>
                <w:szCs w:val="24"/>
              </w:rPr>
              <w:t>31.12.2017.</w:t>
            </w:r>
          </w:p>
        </w:tc>
        <w:tc>
          <w:tcPr>
            <w:tcW w:w="1459" w:type="dxa"/>
            <w:tcBorders>
              <w:top w:val="single" w:sz="6" w:space="0" w:color="7F7F7F"/>
              <w:left w:val="single" w:sz="6" w:space="0" w:color="7F7F7F"/>
              <w:bottom w:val="single" w:sz="6" w:space="0" w:color="7F7F7F"/>
              <w:right w:val="single" w:sz="6" w:space="0" w:color="7F7F7F"/>
            </w:tcBorders>
            <w:shd w:val="clear" w:color="auto" w:fill="CCECFF"/>
            <w:vAlign w:val="center"/>
          </w:tcPr>
          <w:p w14:paraId="77681706" w14:textId="77777777" w:rsidR="00CA4720" w:rsidRPr="00B3040C" w:rsidRDefault="00B3040C">
            <w:pPr>
              <w:spacing w:after="0" w:line="259" w:lineRule="auto"/>
              <w:ind w:left="110" w:firstLine="0"/>
              <w:jc w:val="left"/>
              <w:rPr>
                <w:rFonts w:ascii="Times New Roman" w:hAnsi="Times New Roman" w:cs="Times New Roman"/>
                <w:szCs w:val="24"/>
              </w:rPr>
            </w:pPr>
            <w:r w:rsidRPr="00B3040C">
              <w:rPr>
                <w:rFonts w:ascii="Times New Roman" w:hAnsi="Times New Roman" w:cs="Times New Roman"/>
                <w:b/>
                <w:szCs w:val="24"/>
              </w:rPr>
              <w:t>31.12.2018.</w:t>
            </w:r>
          </w:p>
        </w:tc>
        <w:tc>
          <w:tcPr>
            <w:tcW w:w="1291" w:type="dxa"/>
            <w:tcBorders>
              <w:top w:val="single" w:sz="6" w:space="0" w:color="7F7F7F"/>
              <w:left w:val="single" w:sz="6" w:space="0" w:color="7F7F7F"/>
              <w:bottom w:val="single" w:sz="6" w:space="0" w:color="7F7F7F"/>
              <w:right w:val="single" w:sz="6" w:space="0" w:color="7F7F7F"/>
            </w:tcBorders>
            <w:shd w:val="clear" w:color="auto" w:fill="CCECFF"/>
          </w:tcPr>
          <w:p w14:paraId="6F484294" w14:textId="77777777" w:rsidR="00CA4720" w:rsidRPr="00B3040C" w:rsidRDefault="00B3040C">
            <w:pPr>
              <w:spacing w:after="0" w:line="259" w:lineRule="auto"/>
              <w:ind w:left="0" w:firstLine="0"/>
              <w:jc w:val="center"/>
              <w:rPr>
                <w:rFonts w:ascii="Times New Roman" w:hAnsi="Times New Roman" w:cs="Times New Roman"/>
                <w:szCs w:val="24"/>
              </w:rPr>
            </w:pPr>
            <w:r w:rsidRPr="00B3040C">
              <w:rPr>
                <w:rFonts w:ascii="Times New Roman" w:hAnsi="Times New Roman" w:cs="Times New Roman"/>
                <w:b/>
                <w:szCs w:val="24"/>
              </w:rPr>
              <w:t>Indeks 2018/2017</w:t>
            </w:r>
          </w:p>
        </w:tc>
      </w:tr>
      <w:tr w:rsidR="00CA4720" w:rsidRPr="00B3040C" w14:paraId="4F3E2790" w14:textId="77777777">
        <w:trPr>
          <w:trHeight w:val="600"/>
        </w:trPr>
        <w:tc>
          <w:tcPr>
            <w:tcW w:w="5059" w:type="dxa"/>
            <w:tcBorders>
              <w:top w:val="single" w:sz="6" w:space="0" w:color="7F7F7F"/>
              <w:left w:val="single" w:sz="6" w:space="0" w:color="7F7F7F"/>
              <w:bottom w:val="single" w:sz="6" w:space="0" w:color="7F7F7F"/>
              <w:right w:val="single" w:sz="6" w:space="0" w:color="7F7F7F"/>
            </w:tcBorders>
            <w:shd w:val="clear" w:color="auto" w:fill="FFFFFF"/>
          </w:tcPr>
          <w:p w14:paraId="245CBB04" w14:textId="77777777" w:rsidR="00CA4720" w:rsidRPr="00B3040C" w:rsidRDefault="00B3040C">
            <w:pPr>
              <w:spacing w:after="0" w:line="259" w:lineRule="auto"/>
              <w:ind w:left="0" w:right="244" w:firstLine="0"/>
              <w:jc w:val="left"/>
              <w:rPr>
                <w:rFonts w:ascii="Times New Roman" w:hAnsi="Times New Roman" w:cs="Times New Roman"/>
                <w:szCs w:val="24"/>
              </w:rPr>
            </w:pPr>
            <w:r w:rsidRPr="00B3040C">
              <w:rPr>
                <w:rFonts w:ascii="Times New Roman" w:hAnsi="Times New Roman" w:cs="Times New Roman"/>
                <w:szCs w:val="24"/>
              </w:rPr>
              <w:t>Dani zajmovi, depoziti i slično poduzetnicima unutar grupe</w:t>
            </w:r>
          </w:p>
        </w:tc>
        <w:tc>
          <w:tcPr>
            <w:tcW w:w="1459" w:type="dxa"/>
            <w:tcBorders>
              <w:top w:val="single" w:sz="6" w:space="0" w:color="7F7F7F"/>
              <w:left w:val="single" w:sz="6" w:space="0" w:color="7F7F7F"/>
              <w:bottom w:val="single" w:sz="6" w:space="0" w:color="7F7F7F"/>
              <w:right w:val="single" w:sz="6" w:space="0" w:color="7F7F7F"/>
            </w:tcBorders>
            <w:shd w:val="clear" w:color="auto" w:fill="FFFFFF"/>
            <w:vAlign w:val="center"/>
          </w:tcPr>
          <w:p w14:paraId="147F5F8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59" w:type="dxa"/>
            <w:tcBorders>
              <w:top w:val="single" w:sz="6" w:space="0" w:color="7F7F7F"/>
              <w:left w:val="single" w:sz="6" w:space="0" w:color="7F7F7F"/>
              <w:bottom w:val="single" w:sz="6" w:space="0" w:color="7F7F7F"/>
              <w:right w:val="single" w:sz="6" w:space="0" w:color="7F7F7F"/>
            </w:tcBorders>
            <w:shd w:val="clear" w:color="auto" w:fill="FFFFFF"/>
            <w:vAlign w:val="center"/>
          </w:tcPr>
          <w:p w14:paraId="75804DB3"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291" w:type="dxa"/>
            <w:tcBorders>
              <w:top w:val="single" w:sz="6" w:space="0" w:color="7F7F7F"/>
              <w:left w:val="single" w:sz="6" w:space="0" w:color="7F7F7F"/>
              <w:bottom w:val="single" w:sz="6" w:space="0" w:color="7F7F7F"/>
              <w:right w:val="single" w:sz="6" w:space="0" w:color="7F7F7F"/>
            </w:tcBorders>
            <w:shd w:val="clear" w:color="auto" w:fill="FFFFFF"/>
          </w:tcPr>
          <w:p w14:paraId="5631CACE"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08BCA714" w14:textId="77777777">
        <w:trPr>
          <w:trHeight w:val="602"/>
        </w:trPr>
        <w:tc>
          <w:tcPr>
            <w:tcW w:w="5059" w:type="dxa"/>
            <w:tcBorders>
              <w:top w:val="single" w:sz="6" w:space="0" w:color="7F7F7F"/>
              <w:left w:val="single" w:sz="6" w:space="0" w:color="7F7F7F"/>
              <w:bottom w:val="single" w:sz="6" w:space="0" w:color="7F7F7F"/>
              <w:right w:val="single" w:sz="6" w:space="0" w:color="7F7F7F"/>
            </w:tcBorders>
          </w:tcPr>
          <w:p w14:paraId="1E809A47" w14:textId="77777777" w:rsidR="00CA4720" w:rsidRPr="00B3040C" w:rsidRDefault="00B3040C">
            <w:pPr>
              <w:spacing w:after="0" w:line="259" w:lineRule="auto"/>
              <w:ind w:left="0" w:right="310" w:firstLine="0"/>
              <w:jc w:val="left"/>
              <w:rPr>
                <w:rFonts w:ascii="Times New Roman" w:hAnsi="Times New Roman" w:cs="Times New Roman"/>
                <w:szCs w:val="24"/>
              </w:rPr>
            </w:pPr>
            <w:r w:rsidRPr="00B3040C">
              <w:rPr>
                <w:rFonts w:ascii="Times New Roman" w:hAnsi="Times New Roman" w:cs="Times New Roman"/>
                <w:szCs w:val="24"/>
              </w:rPr>
              <w:t>Dani zajmovi, depoziti i slično društvima povezanim sudjelujućim interesom</w:t>
            </w:r>
          </w:p>
        </w:tc>
        <w:tc>
          <w:tcPr>
            <w:tcW w:w="1459" w:type="dxa"/>
            <w:tcBorders>
              <w:top w:val="single" w:sz="6" w:space="0" w:color="7F7F7F"/>
              <w:left w:val="single" w:sz="6" w:space="0" w:color="7F7F7F"/>
              <w:bottom w:val="single" w:sz="6" w:space="0" w:color="7F7F7F"/>
              <w:right w:val="single" w:sz="6" w:space="0" w:color="7F7F7F"/>
            </w:tcBorders>
            <w:vAlign w:val="center"/>
          </w:tcPr>
          <w:p w14:paraId="46AB5CE6"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459" w:type="dxa"/>
            <w:tcBorders>
              <w:top w:val="single" w:sz="6" w:space="0" w:color="7F7F7F"/>
              <w:left w:val="single" w:sz="6" w:space="0" w:color="7F7F7F"/>
              <w:bottom w:val="single" w:sz="6" w:space="0" w:color="7F7F7F"/>
              <w:right w:val="single" w:sz="6" w:space="0" w:color="7F7F7F"/>
            </w:tcBorders>
            <w:vAlign w:val="center"/>
          </w:tcPr>
          <w:p w14:paraId="3717CBDB"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 kn</w:t>
            </w:r>
          </w:p>
        </w:tc>
        <w:tc>
          <w:tcPr>
            <w:tcW w:w="1291" w:type="dxa"/>
            <w:tcBorders>
              <w:top w:val="single" w:sz="6" w:space="0" w:color="7F7F7F"/>
              <w:left w:val="single" w:sz="6" w:space="0" w:color="7F7F7F"/>
              <w:bottom w:val="single" w:sz="6" w:space="0" w:color="7F7F7F"/>
              <w:right w:val="single" w:sz="6" w:space="0" w:color="7F7F7F"/>
            </w:tcBorders>
          </w:tcPr>
          <w:p w14:paraId="26F46468" w14:textId="77777777" w:rsidR="00CA4720" w:rsidRPr="00B3040C" w:rsidRDefault="00CA4720">
            <w:pPr>
              <w:spacing w:after="160" w:line="259" w:lineRule="auto"/>
              <w:ind w:left="0" w:firstLine="0"/>
              <w:jc w:val="left"/>
              <w:rPr>
                <w:rFonts w:ascii="Times New Roman" w:hAnsi="Times New Roman" w:cs="Times New Roman"/>
                <w:szCs w:val="24"/>
              </w:rPr>
            </w:pPr>
          </w:p>
        </w:tc>
      </w:tr>
      <w:tr w:rsidR="00CA4720" w:rsidRPr="00B3040C" w14:paraId="28A91FB9" w14:textId="77777777">
        <w:trPr>
          <w:trHeight w:val="312"/>
        </w:trPr>
        <w:tc>
          <w:tcPr>
            <w:tcW w:w="5059" w:type="dxa"/>
            <w:tcBorders>
              <w:top w:val="single" w:sz="6" w:space="0" w:color="7F7F7F"/>
              <w:left w:val="single" w:sz="6" w:space="0" w:color="7F7F7F"/>
              <w:bottom w:val="single" w:sz="17" w:space="0" w:color="2E75B6"/>
              <w:right w:val="single" w:sz="6" w:space="0" w:color="7F7F7F"/>
            </w:tcBorders>
          </w:tcPr>
          <w:p w14:paraId="48624DB5" w14:textId="77777777" w:rsidR="00CA4720" w:rsidRPr="00B3040C" w:rsidRDefault="00B3040C">
            <w:pPr>
              <w:spacing w:after="0" w:line="259" w:lineRule="auto"/>
              <w:ind w:left="0" w:firstLine="0"/>
              <w:jc w:val="left"/>
              <w:rPr>
                <w:rFonts w:ascii="Times New Roman" w:hAnsi="Times New Roman" w:cs="Times New Roman"/>
                <w:szCs w:val="24"/>
              </w:rPr>
            </w:pPr>
            <w:r w:rsidRPr="00B3040C">
              <w:rPr>
                <w:rFonts w:ascii="Times New Roman" w:hAnsi="Times New Roman" w:cs="Times New Roman"/>
                <w:szCs w:val="24"/>
              </w:rPr>
              <w:t>Dani zajmovi, depoziti i slično</w:t>
            </w:r>
          </w:p>
        </w:tc>
        <w:tc>
          <w:tcPr>
            <w:tcW w:w="1459" w:type="dxa"/>
            <w:tcBorders>
              <w:top w:val="single" w:sz="6" w:space="0" w:color="7F7F7F"/>
              <w:left w:val="single" w:sz="6" w:space="0" w:color="7F7F7F"/>
              <w:bottom w:val="single" w:sz="17" w:space="0" w:color="2E75B6"/>
              <w:right w:val="single" w:sz="6" w:space="0" w:color="7F7F7F"/>
            </w:tcBorders>
          </w:tcPr>
          <w:p w14:paraId="7E4BEF5E"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384 kn</w:t>
            </w:r>
          </w:p>
        </w:tc>
        <w:tc>
          <w:tcPr>
            <w:tcW w:w="1459" w:type="dxa"/>
            <w:tcBorders>
              <w:top w:val="single" w:sz="6" w:space="0" w:color="7F7F7F"/>
              <w:left w:val="single" w:sz="6" w:space="0" w:color="7F7F7F"/>
              <w:bottom w:val="single" w:sz="17" w:space="0" w:color="2E75B6"/>
              <w:right w:val="single" w:sz="6" w:space="0" w:color="7F7F7F"/>
            </w:tcBorders>
          </w:tcPr>
          <w:p w14:paraId="422AE874"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54.904 kn</w:t>
            </w:r>
          </w:p>
        </w:tc>
        <w:tc>
          <w:tcPr>
            <w:tcW w:w="1291" w:type="dxa"/>
            <w:tcBorders>
              <w:top w:val="single" w:sz="6" w:space="0" w:color="7F7F7F"/>
              <w:left w:val="single" w:sz="6" w:space="0" w:color="7F7F7F"/>
              <w:bottom w:val="single" w:sz="17" w:space="0" w:color="2E75B6"/>
              <w:right w:val="single" w:sz="6" w:space="0" w:color="7F7F7F"/>
            </w:tcBorders>
          </w:tcPr>
          <w:p w14:paraId="032474FF"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14297,92</w:t>
            </w:r>
          </w:p>
        </w:tc>
      </w:tr>
      <w:tr w:rsidR="00CA4720" w:rsidRPr="00B3040C" w14:paraId="759B5501" w14:textId="77777777">
        <w:trPr>
          <w:trHeight w:val="341"/>
        </w:trPr>
        <w:tc>
          <w:tcPr>
            <w:tcW w:w="5059" w:type="dxa"/>
            <w:tcBorders>
              <w:top w:val="single" w:sz="17" w:space="0" w:color="2E75B6"/>
              <w:left w:val="single" w:sz="6" w:space="0" w:color="7F7F7F"/>
              <w:bottom w:val="single" w:sz="6" w:space="0" w:color="7F7F7F"/>
              <w:right w:val="single" w:sz="6" w:space="0" w:color="7F7F7F"/>
            </w:tcBorders>
          </w:tcPr>
          <w:p w14:paraId="7B32C1D1" w14:textId="77777777" w:rsidR="00CA4720" w:rsidRPr="00B3040C" w:rsidRDefault="00B3040C">
            <w:pPr>
              <w:spacing w:after="0" w:line="259" w:lineRule="auto"/>
              <w:ind w:left="0" w:firstLine="0"/>
              <w:jc w:val="right"/>
              <w:rPr>
                <w:rFonts w:ascii="Times New Roman" w:hAnsi="Times New Roman" w:cs="Times New Roman"/>
                <w:szCs w:val="24"/>
              </w:rPr>
            </w:pPr>
            <w:r w:rsidRPr="00B3040C">
              <w:rPr>
                <w:rFonts w:ascii="Times New Roman" w:hAnsi="Times New Roman" w:cs="Times New Roman"/>
                <w:szCs w:val="24"/>
              </w:rPr>
              <w:t>UKUPNO</w:t>
            </w:r>
          </w:p>
        </w:tc>
        <w:tc>
          <w:tcPr>
            <w:tcW w:w="1459" w:type="dxa"/>
            <w:tcBorders>
              <w:top w:val="single" w:sz="17" w:space="0" w:color="2E75B6"/>
              <w:left w:val="single" w:sz="6" w:space="0" w:color="7F7F7F"/>
              <w:bottom w:val="single" w:sz="6" w:space="0" w:color="7F7F7F"/>
              <w:right w:val="single" w:sz="6" w:space="0" w:color="7F7F7F"/>
            </w:tcBorders>
          </w:tcPr>
          <w:p w14:paraId="654255F3"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384 kn</w:t>
            </w:r>
          </w:p>
        </w:tc>
        <w:tc>
          <w:tcPr>
            <w:tcW w:w="1459" w:type="dxa"/>
            <w:tcBorders>
              <w:top w:val="single" w:sz="17" w:space="0" w:color="2E75B6"/>
              <w:left w:val="single" w:sz="6" w:space="0" w:color="7F7F7F"/>
              <w:bottom w:val="single" w:sz="6" w:space="0" w:color="7F7F7F"/>
              <w:right w:val="single" w:sz="6" w:space="0" w:color="7F7F7F"/>
            </w:tcBorders>
          </w:tcPr>
          <w:p w14:paraId="3CE84230" w14:textId="77777777" w:rsidR="00CA4720" w:rsidRPr="00B3040C" w:rsidRDefault="00B3040C">
            <w:pPr>
              <w:spacing w:after="0" w:line="259" w:lineRule="auto"/>
              <w:ind w:left="0" w:right="1" w:firstLine="0"/>
              <w:jc w:val="right"/>
              <w:rPr>
                <w:rFonts w:ascii="Times New Roman" w:hAnsi="Times New Roman" w:cs="Times New Roman"/>
                <w:szCs w:val="24"/>
              </w:rPr>
            </w:pPr>
            <w:r w:rsidRPr="00B3040C">
              <w:rPr>
                <w:rFonts w:ascii="Times New Roman" w:hAnsi="Times New Roman" w:cs="Times New Roman"/>
                <w:szCs w:val="24"/>
              </w:rPr>
              <w:t>54.904 kn</w:t>
            </w:r>
          </w:p>
        </w:tc>
        <w:tc>
          <w:tcPr>
            <w:tcW w:w="1291" w:type="dxa"/>
            <w:tcBorders>
              <w:top w:val="single" w:sz="17" w:space="0" w:color="2E75B6"/>
              <w:left w:val="single" w:sz="6" w:space="0" w:color="7F7F7F"/>
              <w:bottom w:val="single" w:sz="6" w:space="0" w:color="7F7F7F"/>
              <w:right w:val="single" w:sz="6" w:space="0" w:color="7F7F7F"/>
            </w:tcBorders>
          </w:tcPr>
          <w:p w14:paraId="35400F65" w14:textId="77777777" w:rsidR="00CA4720" w:rsidRPr="00B3040C" w:rsidRDefault="00CA4720">
            <w:pPr>
              <w:spacing w:after="160" w:line="259" w:lineRule="auto"/>
              <w:ind w:left="0" w:firstLine="0"/>
              <w:jc w:val="left"/>
              <w:rPr>
                <w:rFonts w:ascii="Times New Roman" w:hAnsi="Times New Roman" w:cs="Times New Roman"/>
                <w:szCs w:val="24"/>
              </w:rPr>
            </w:pPr>
          </w:p>
        </w:tc>
      </w:tr>
    </w:tbl>
    <w:p w14:paraId="6318F3DC" w14:textId="77777777" w:rsidR="00CA4720" w:rsidRPr="00B3040C" w:rsidRDefault="00B3040C">
      <w:pPr>
        <w:spacing w:after="560"/>
        <w:ind w:left="-5"/>
        <w:rPr>
          <w:rFonts w:ascii="Times New Roman" w:hAnsi="Times New Roman" w:cs="Times New Roman"/>
          <w:szCs w:val="24"/>
        </w:rPr>
      </w:pPr>
      <w:r w:rsidRPr="00B3040C">
        <w:rPr>
          <w:rFonts w:ascii="Times New Roman" w:hAnsi="Times New Roman" w:cs="Times New Roman"/>
          <w:szCs w:val="24"/>
        </w:rPr>
        <w:t>Društvo na dan izvještavanja nije imalo danih zajmova, depozita i sličnog poduzetnicima unutar grupe i/ili društvima povezanim sudjelujućim interesima.</w:t>
      </w:r>
    </w:p>
    <w:p w14:paraId="4F50195C" w14:textId="77777777" w:rsidR="00CA4720" w:rsidRPr="00B3040C" w:rsidRDefault="00B3040C">
      <w:pPr>
        <w:pStyle w:val="Naslov3"/>
        <w:spacing w:after="315"/>
        <w:ind w:left="-5" w:right="5646"/>
        <w:rPr>
          <w:rFonts w:ascii="Times New Roman" w:hAnsi="Times New Roman" w:cs="Times New Roman"/>
          <w:szCs w:val="24"/>
        </w:rPr>
      </w:pPr>
      <w:r w:rsidRPr="00B3040C">
        <w:rPr>
          <w:rFonts w:ascii="Times New Roman" w:hAnsi="Times New Roman" w:cs="Times New Roman"/>
          <w:szCs w:val="24"/>
        </w:rPr>
        <w:t xml:space="preserve">Ostala financijska imovina </w:t>
      </w:r>
      <w:r w:rsidRPr="00B3040C">
        <w:rPr>
          <w:rFonts w:ascii="Times New Roman" w:hAnsi="Times New Roman" w:cs="Times New Roman"/>
          <w:i/>
          <w:color w:val="808080"/>
          <w:szCs w:val="24"/>
          <w:u w:val="single" w:color="808080"/>
        </w:rPr>
        <w:t>Bilješka br. 16d</w:t>
      </w:r>
    </w:p>
    <w:p w14:paraId="4EE9C17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Ostala kratkotrajna financijska imovina odnosi se na ulaganja u udjele/dionice društava s udjelom vlasništva manjim od 20%, kratkoročna ulaganja u investicijske fondove i sl.</w:t>
      </w:r>
    </w:p>
    <w:p w14:paraId="78B0441A" w14:textId="77777777" w:rsidR="00CA4720" w:rsidRPr="00B3040C" w:rsidRDefault="00B3040C">
      <w:pPr>
        <w:spacing w:after="841"/>
        <w:ind w:left="-5"/>
        <w:rPr>
          <w:rFonts w:ascii="Times New Roman" w:hAnsi="Times New Roman" w:cs="Times New Roman"/>
          <w:szCs w:val="24"/>
        </w:rPr>
      </w:pPr>
      <w:r w:rsidRPr="00B3040C">
        <w:rPr>
          <w:rFonts w:ascii="Times New Roman" w:hAnsi="Times New Roman" w:cs="Times New Roman"/>
          <w:szCs w:val="24"/>
        </w:rPr>
        <w:t>Društvo na dan izvještavanja nije imalo ulaganja u ostalu financijsku imovinu.</w:t>
      </w:r>
    </w:p>
    <w:p w14:paraId="1D319109" w14:textId="77777777" w:rsidR="00CA4720" w:rsidRPr="00B3040C" w:rsidRDefault="00B3040C">
      <w:pPr>
        <w:pStyle w:val="Naslov3"/>
        <w:spacing w:after="315"/>
        <w:ind w:left="-5" w:right="5923"/>
        <w:rPr>
          <w:rFonts w:ascii="Times New Roman" w:hAnsi="Times New Roman" w:cs="Times New Roman"/>
          <w:szCs w:val="24"/>
        </w:rPr>
      </w:pPr>
      <w:r w:rsidRPr="00B3040C">
        <w:rPr>
          <w:rFonts w:ascii="Times New Roman" w:hAnsi="Times New Roman" w:cs="Times New Roman"/>
          <w:szCs w:val="24"/>
        </w:rPr>
        <w:t xml:space="preserve">Novac u banci i blagajni </w:t>
      </w:r>
      <w:r w:rsidRPr="00B3040C">
        <w:rPr>
          <w:rFonts w:ascii="Times New Roman" w:hAnsi="Times New Roman" w:cs="Times New Roman"/>
          <w:i/>
          <w:color w:val="808080"/>
          <w:szCs w:val="24"/>
          <w:u w:val="single" w:color="808080"/>
        </w:rPr>
        <w:t>Bilješka br. 17</w:t>
      </w:r>
    </w:p>
    <w:p w14:paraId="1195B5D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Na dan izvještavanja iznos novca u banci kojeg čine salda na kunskim i/ili deviznim računima te novac u blagajni iznosio je 1.757 kn.</w:t>
      </w:r>
    </w:p>
    <w:p w14:paraId="376E2CC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lastRenderedPageBreak/>
        <w:t>Plaćeni troškovi budućeg razdoblja i obračunati prihodi</w:t>
      </w:r>
    </w:p>
    <w:p w14:paraId="18B8E487"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18</w:t>
      </w:r>
    </w:p>
    <w:p w14:paraId="0823C9CA" w14:textId="77777777" w:rsidR="00CA4720" w:rsidRPr="00B3040C" w:rsidRDefault="00B3040C">
      <w:pPr>
        <w:spacing w:after="560"/>
        <w:ind w:left="-5"/>
        <w:rPr>
          <w:rFonts w:ascii="Times New Roman" w:hAnsi="Times New Roman" w:cs="Times New Roman"/>
          <w:szCs w:val="24"/>
        </w:rPr>
      </w:pPr>
      <w:r w:rsidRPr="00B3040C">
        <w:rPr>
          <w:rFonts w:ascii="Times New Roman" w:hAnsi="Times New Roman" w:cs="Times New Roman"/>
          <w:szCs w:val="24"/>
        </w:rPr>
        <w:t>Društvo na dan izvještavanja nije imalo plaćenih troškova budućeg razdoblja i obračunatih prihoda.</w:t>
      </w:r>
    </w:p>
    <w:p w14:paraId="60010D71" w14:textId="77777777" w:rsidR="00CA4720" w:rsidRPr="00B3040C" w:rsidRDefault="00B3040C">
      <w:pPr>
        <w:pStyle w:val="Naslov2"/>
        <w:spacing w:after="0"/>
        <w:ind w:left="-5"/>
        <w:rPr>
          <w:rFonts w:ascii="Times New Roman" w:hAnsi="Times New Roman" w:cs="Times New Roman"/>
          <w:szCs w:val="24"/>
        </w:rPr>
      </w:pPr>
      <w:r w:rsidRPr="00B3040C">
        <w:rPr>
          <w:rFonts w:ascii="Times New Roman" w:hAnsi="Times New Roman" w:cs="Times New Roman"/>
          <w:szCs w:val="24"/>
        </w:rPr>
        <w:t>PASIVA</w:t>
      </w:r>
    </w:p>
    <w:p w14:paraId="236D97B2"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Kapital i rezerve</w:t>
      </w:r>
    </w:p>
    <w:p w14:paraId="3E6153DE"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19</w:t>
      </w:r>
    </w:p>
    <w:p w14:paraId="36DB3B13"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Prema standardima financijskog izvještavanja kapital i rezerve se sastoje od upisanog kapitala, kapitalnih rezervi, rezervi iz dobiti, revalorizacijskih rezervi, rezervi fer vrijednosti, zadržane dobiti ili prenesenog gubitka, dobiti ili gubitka tekućeg razdoblja te manjinskog interesa.</w:t>
      </w:r>
    </w:p>
    <w:p w14:paraId="13761010"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Na dan izvještavanja kapital Društva iznosio je 41.496 kn.</w:t>
      </w:r>
    </w:p>
    <w:p w14:paraId="3352E638" w14:textId="77777777" w:rsidR="00CA4720" w:rsidRPr="00B3040C" w:rsidRDefault="00B3040C">
      <w:pPr>
        <w:pStyle w:val="Naslov3"/>
        <w:spacing w:after="315"/>
        <w:ind w:left="-5" w:right="5703"/>
        <w:rPr>
          <w:rFonts w:ascii="Times New Roman" w:hAnsi="Times New Roman" w:cs="Times New Roman"/>
          <w:szCs w:val="24"/>
        </w:rPr>
      </w:pPr>
      <w:r w:rsidRPr="00B3040C">
        <w:rPr>
          <w:rFonts w:ascii="Times New Roman" w:hAnsi="Times New Roman" w:cs="Times New Roman"/>
          <w:szCs w:val="24"/>
        </w:rPr>
        <w:t xml:space="preserve">Temeljni (upisani) kapital </w:t>
      </w:r>
      <w:r w:rsidRPr="00B3040C">
        <w:rPr>
          <w:rFonts w:ascii="Times New Roman" w:hAnsi="Times New Roman" w:cs="Times New Roman"/>
          <w:i/>
          <w:color w:val="808080"/>
          <w:szCs w:val="24"/>
          <w:u w:val="single" w:color="808080"/>
        </w:rPr>
        <w:t>Bilješka br. 20</w:t>
      </w:r>
    </w:p>
    <w:p w14:paraId="0E56B2D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Na dan izvještavanja temeljni kapital Društva iznosio je 20.000 kn i u cijelosti je upisan u sudski registar kod nadležnog trgovačkog suda.</w:t>
      </w:r>
    </w:p>
    <w:p w14:paraId="2F186476"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Kapitalne rezerve</w:t>
      </w:r>
    </w:p>
    <w:p w14:paraId="55D2C1BB"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21</w:t>
      </w:r>
    </w:p>
    <w:p w14:paraId="115F0BF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Kapitalne rezerve odnose se na kapitalni dobitak na prodane dionice, kapitalni dobitak iz prodaje otkupljenih vlastitih dionica i udjela te kapitalne pričuve iz drugih izvora. Kapitalne rezerve mogu sačinjavati povećanje kapitala društva od ulaganja novca, stvari ili prava od strane vlasnika ili dioničara u neupisani kapital društva.</w:t>
      </w:r>
    </w:p>
    <w:p w14:paraId="065B8F5A"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kapitalnih rezervi.</w:t>
      </w:r>
    </w:p>
    <w:p w14:paraId="01972A25"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Rezerve iz dobiti</w:t>
      </w:r>
    </w:p>
    <w:p w14:paraId="1F3874A2"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22</w:t>
      </w:r>
    </w:p>
    <w:p w14:paraId="53DF1E4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Rezerve iz dobiti obuhvaćaju zakonske rezerve, rezerve za vlastite udjele te statutarne i ostale rezerve.</w:t>
      </w:r>
    </w:p>
    <w:p w14:paraId="319879D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rezervi iz dobiti.</w:t>
      </w:r>
    </w:p>
    <w:p w14:paraId="4186331F" w14:textId="77777777" w:rsidR="00CA4720" w:rsidRPr="00B3040C" w:rsidRDefault="00B3040C">
      <w:pPr>
        <w:pStyle w:val="Naslov3"/>
        <w:spacing w:after="315"/>
        <w:ind w:left="-5" w:right="5828"/>
        <w:rPr>
          <w:rFonts w:ascii="Times New Roman" w:hAnsi="Times New Roman" w:cs="Times New Roman"/>
          <w:szCs w:val="24"/>
        </w:rPr>
      </w:pPr>
      <w:r w:rsidRPr="00B3040C">
        <w:rPr>
          <w:rFonts w:ascii="Times New Roman" w:hAnsi="Times New Roman" w:cs="Times New Roman"/>
          <w:szCs w:val="24"/>
        </w:rPr>
        <w:t xml:space="preserve">Revalorizacijske rezerve </w:t>
      </w:r>
      <w:r w:rsidRPr="00B3040C">
        <w:rPr>
          <w:rFonts w:ascii="Times New Roman" w:hAnsi="Times New Roman" w:cs="Times New Roman"/>
          <w:i/>
          <w:color w:val="808080"/>
          <w:szCs w:val="24"/>
          <w:u w:val="single" w:color="808080"/>
        </w:rPr>
        <w:t>Bilješka br. 23</w:t>
      </w:r>
    </w:p>
    <w:p w14:paraId="54641130"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Revalorizacijske rezerve nastaju ponovnom procjenom imovine iznad troškova nabave dugotrajne materijalne i nematerijalne imovine.</w:t>
      </w:r>
    </w:p>
    <w:p w14:paraId="1DF451FB"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revalorizacijskih rezervi.</w:t>
      </w:r>
    </w:p>
    <w:p w14:paraId="40F9C11B" w14:textId="77777777" w:rsidR="00CA4720" w:rsidRPr="00B3040C" w:rsidRDefault="00B3040C">
      <w:pPr>
        <w:pStyle w:val="Naslov3"/>
        <w:spacing w:after="315"/>
        <w:ind w:left="-5" w:right="5995"/>
        <w:rPr>
          <w:rFonts w:ascii="Times New Roman" w:hAnsi="Times New Roman" w:cs="Times New Roman"/>
          <w:szCs w:val="24"/>
        </w:rPr>
      </w:pPr>
      <w:r w:rsidRPr="00B3040C">
        <w:rPr>
          <w:rFonts w:ascii="Times New Roman" w:hAnsi="Times New Roman" w:cs="Times New Roman"/>
          <w:szCs w:val="24"/>
        </w:rPr>
        <w:lastRenderedPageBreak/>
        <w:t xml:space="preserve">Rezerve fer vrijednosti </w:t>
      </w:r>
      <w:r w:rsidRPr="00B3040C">
        <w:rPr>
          <w:rFonts w:ascii="Times New Roman" w:hAnsi="Times New Roman" w:cs="Times New Roman"/>
          <w:i/>
          <w:color w:val="808080"/>
          <w:szCs w:val="24"/>
          <w:u w:val="single" w:color="808080"/>
        </w:rPr>
        <w:t>Bilješka br. 24</w:t>
      </w:r>
    </w:p>
    <w:p w14:paraId="4872081E"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Rezerve fer vrijednosti sastoje se od fer vrijednosti financijske imovine raspoložive za prodaju, učinkovitog dijela zaštite novčanih tijekova i učinkovitog dijela zaštite ulaganja u inozemstvu.</w:t>
      </w:r>
    </w:p>
    <w:p w14:paraId="59AE428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oformilo rezerve fer vrijednosti.</w:t>
      </w:r>
    </w:p>
    <w:p w14:paraId="0D3B613B"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Zadržana dobit ili preneseni gubitak</w:t>
      </w:r>
    </w:p>
    <w:p w14:paraId="3A0DD7A5"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25</w:t>
      </w:r>
    </w:p>
    <w:p w14:paraId="4016AC29" w14:textId="77777777" w:rsidR="00CA4720" w:rsidRPr="00B3040C" w:rsidRDefault="00B3040C">
      <w:pPr>
        <w:ind w:left="-15" w:firstLine="432"/>
        <w:rPr>
          <w:rFonts w:ascii="Times New Roman" w:hAnsi="Times New Roman" w:cs="Times New Roman"/>
          <w:szCs w:val="24"/>
        </w:rPr>
      </w:pPr>
      <w:r w:rsidRPr="00B3040C">
        <w:rPr>
          <w:rFonts w:ascii="Times New Roman" w:hAnsi="Times New Roman" w:cs="Times New Roman"/>
          <w:szCs w:val="24"/>
        </w:rPr>
        <w:t>Stanje</w:t>
      </w:r>
      <w:r w:rsidRPr="00B3040C">
        <w:rPr>
          <w:rFonts w:ascii="Times New Roman" w:hAnsi="Times New Roman" w:cs="Times New Roman"/>
          <w:szCs w:val="24"/>
        </w:rPr>
        <w:tab/>
        <w:t>ukupnog</w:t>
      </w:r>
      <w:r w:rsidRPr="00B3040C">
        <w:rPr>
          <w:rFonts w:ascii="Times New Roman" w:hAnsi="Times New Roman" w:cs="Times New Roman"/>
          <w:szCs w:val="24"/>
        </w:rPr>
        <w:tab/>
        <w:t>gubitka</w:t>
      </w:r>
      <w:r w:rsidRPr="00B3040C">
        <w:rPr>
          <w:rFonts w:ascii="Times New Roman" w:hAnsi="Times New Roman" w:cs="Times New Roman"/>
          <w:szCs w:val="24"/>
        </w:rPr>
        <w:tab/>
        <w:t>kumuliranog</w:t>
      </w:r>
      <w:r w:rsidRPr="00B3040C">
        <w:rPr>
          <w:rFonts w:ascii="Times New Roman" w:hAnsi="Times New Roman" w:cs="Times New Roman"/>
          <w:szCs w:val="24"/>
        </w:rPr>
        <w:tab/>
        <w:t>tijekom</w:t>
      </w:r>
      <w:r w:rsidRPr="00B3040C">
        <w:rPr>
          <w:rFonts w:ascii="Times New Roman" w:hAnsi="Times New Roman" w:cs="Times New Roman"/>
          <w:szCs w:val="24"/>
        </w:rPr>
        <w:tab/>
        <w:t>prijašnjih</w:t>
      </w:r>
      <w:r w:rsidRPr="00B3040C">
        <w:rPr>
          <w:rFonts w:ascii="Times New Roman" w:hAnsi="Times New Roman" w:cs="Times New Roman"/>
          <w:szCs w:val="24"/>
        </w:rPr>
        <w:tab/>
        <w:t>razdoblja</w:t>
      </w:r>
      <w:r w:rsidRPr="00B3040C">
        <w:rPr>
          <w:rFonts w:ascii="Times New Roman" w:hAnsi="Times New Roman" w:cs="Times New Roman"/>
          <w:szCs w:val="24"/>
        </w:rPr>
        <w:tab/>
        <w:t>na</w:t>
      </w:r>
      <w:r w:rsidRPr="00B3040C">
        <w:rPr>
          <w:rFonts w:ascii="Times New Roman" w:hAnsi="Times New Roman" w:cs="Times New Roman"/>
          <w:szCs w:val="24"/>
        </w:rPr>
        <w:tab/>
        <w:t>dan izvještavanja iznosilo je 10.221 kn.</w:t>
      </w:r>
    </w:p>
    <w:p w14:paraId="40D764DB" w14:textId="77777777" w:rsidR="00CA4720" w:rsidRPr="00B3040C" w:rsidRDefault="00B3040C">
      <w:pPr>
        <w:spacing w:after="315"/>
        <w:ind w:left="-5" w:right="4930"/>
        <w:jc w:val="left"/>
        <w:rPr>
          <w:rFonts w:ascii="Times New Roman" w:hAnsi="Times New Roman" w:cs="Times New Roman"/>
          <w:szCs w:val="24"/>
        </w:rPr>
      </w:pPr>
      <w:r w:rsidRPr="00B3040C">
        <w:rPr>
          <w:rFonts w:ascii="Times New Roman" w:hAnsi="Times New Roman" w:cs="Times New Roman"/>
          <w:b/>
          <w:szCs w:val="24"/>
        </w:rPr>
        <w:t xml:space="preserve">Dobit ili gubitak poslovne godine </w:t>
      </w:r>
      <w:r w:rsidRPr="00B3040C">
        <w:rPr>
          <w:rFonts w:ascii="Times New Roman" w:hAnsi="Times New Roman" w:cs="Times New Roman"/>
          <w:b/>
          <w:i/>
          <w:color w:val="808080"/>
          <w:szCs w:val="24"/>
          <w:u w:val="single" w:color="808080"/>
        </w:rPr>
        <w:t>Bilješka br. 26</w:t>
      </w:r>
    </w:p>
    <w:p w14:paraId="2244F5BC"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je u poslovnoj godini ostvarilo neto dobit u iznosu 31.717 kn.</w:t>
      </w:r>
    </w:p>
    <w:p w14:paraId="4A93EE69" w14:textId="77777777" w:rsidR="00CA4720" w:rsidRPr="00B3040C" w:rsidRDefault="00B3040C">
      <w:pPr>
        <w:pStyle w:val="Naslov3"/>
        <w:spacing w:after="315"/>
        <w:ind w:left="-5" w:right="4605"/>
        <w:rPr>
          <w:rFonts w:ascii="Times New Roman" w:hAnsi="Times New Roman" w:cs="Times New Roman"/>
          <w:szCs w:val="24"/>
        </w:rPr>
      </w:pPr>
      <w:r w:rsidRPr="00B3040C">
        <w:rPr>
          <w:rFonts w:ascii="Times New Roman" w:hAnsi="Times New Roman" w:cs="Times New Roman"/>
          <w:szCs w:val="24"/>
        </w:rPr>
        <w:t>Manjinski (</w:t>
      </w:r>
      <w:proofErr w:type="spellStart"/>
      <w:r w:rsidRPr="00B3040C">
        <w:rPr>
          <w:rFonts w:ascii="Times New Roman" w:hAnsi="Times New Roman" w:cs="Times New Roman"/>
          <w:szCs w:val="24"/>
        </w:rPr>
        <w:t>nekontrolirajući</w:t>
      </w:r>
      <w:proofErr w:type="spellEnd"/>
      <w:r w:rsidRPr="00B3040C">
        <w:rPr>
          <w:rFonts w:ascii="Times New Roman" w:hAnsi="Times New Roman" w:cs="Times New Roman"/>
          <w:szCs w:val="24"/>
        </w:rPr>
        <w:t xml:space="preserve">) interes </w:t>
      </w:r>
      <w:r w:rsidRPr="00B3040C">
        <w:rPr>
          <w:rFonts w:ascii="Times New Roman" w:hAnsi="Times New Roman" w:cs="Times New Roman"/>
          <w:i/>
          <w:color w:val="808080"/>
          <w:szCs w:val="24"/>
          <w:u w:val="single" w:color="808080"/>
        </w:rPr>
        <w:t>Bilješka br. 27</w:t>
      </w:r>
    </w:p>
    <w:p w14:paraId="282E061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Manjinski interesi odnose se na ostvarenu dobit koja pripada Društvu po osnovi udjela u dobiti od društava kod kojih je postotak udjela u vlasništvu manji od 20%.</w:t>
      </w:r>
    </w:p>
    <w:p w14:paraId="08AB7E70"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nije ostvarilo interes iz odnosa s nekontroliranim društvima.</w:t>
      </w:r>
    </w:p>
    <w:p w14:paraId="361E545F"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Rezerviranja</w:t>
      </w:r>
    </w:p>
    <w:p w14:paraId="44979781"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28</w:t>
      </w:r>
    </w:p>
    <w:p w14:paraId="069C0549"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Rezerviranja se provode u skladu s računovodstvenim politikama i standardima financijskog izvještavanja.</w:t>
      </w:r>
    </w:p>
    <w:p w14:paraId="2A8377B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provedena rezerviranja.</w:t>
      </w:r>
    </w:p>
    <w:p w14:paraId="1093A7A8"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Dugoročne obveze</w:t>
      </w:r>
    </w:p>
    <w:p w14:paraId="0B939028"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29</w:t>
      </w:r>
    </w:p>
    <w:p w14:paraId="370E03E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Dugoročne obveze odnose se na obveze s rokom dospijeća dužim od godinu dana.</w:t>
      </w:r>
    </w:p>
    <w:p w14:paraId="2FB7B52B"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dugoročnih obveza.</w:t>
      </w:r>
    </w:p>
    <w:p w14:paraId="35ADF1B6" w14:textId="77777777" w:rsidR="00CA4720" w:rsidRPr="00B3040C" w:rsidRDefault="00B3040C">
      <w:pPr>
        <w:pStyle w:val="Naslov3"/>
        <w:spacing w:after="315"/>
        <w:ind w:left="-5" w:right="6346"/>
        <w:rPr>
          <w:rFonts w:ascii="Times New Roman" w:hAnsi="Times New Roman" w:cs="Times New Roman"/>
          <w:szCs w:val="24"/>
        </w:rPr>
      </w:pPr>
      <w:r w:rsidRPr="00B3040C">
        <w:rPr>
          <w:rFonts w:ascii="Times New Roman" w:hAnsi="Times New Roman" w:cs="Times New Roman"/>
          <w:szCs w:val="24"/>
        </w:rPr>
        <w:t xml:space="preserve">Kratkoročne obveze </w:t>
      </w:r>
      <w:r w:rsidRPr="00B3040C">
        <w:rPr>
          <w:rFonts w:ascii="Times New Roman" w:hAnsi="Times New Roman" w:cs="Times New Roman"/>
          <w:i/>
          <w:color w:val="808080"/>
          <w:szCs w:val="24"/>
          <w:u w:val="single" w:color="808080"/>
        </w:rPr>
        <w:t>Bilješka br. 30</w:t>
      </w:r>
    </w:p>
    <w:p w14:paraId="6D1EAAB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odnose se na obveze s rokom dospijeća kraćim od godinu dana.</w:t>
      </w:r>
    </w:p>
    <w:p w14:paraId="4C87C88E" w14:textId="77777777" w:rsidR="00CA4720" w:rsidRPr="00B3040C" w:rsidRDefault="00B3040C">
      <w:pPr>
        <w:spacing w:after="793"/>
        <w:ind w:left="-5"/>
        <w:rPr>
          <w:rFonts w:ascii="Times New Roman" w:hAnsi="Times New Roman" w:cs="Times New Roman"/>
          <w:szCs w:val="24"/>
        </w:rPr>
      </w:pPr>
      <w:r w:rsidRPr="00B3040C">
        <w:rPr>
          <w:rFonts w:ascii="Times New Roman" w:hAnsi="Times New Roman" w:cs="Times New Roman"/>
          <w:szCs w:val="24"/>
        </w:rPr>
        <w:t>Društvo je na dan izvještavanja imalo kratkoročne obveze u visini od 62.836 kn.</w:t>
      </w:r>
    </w:p>
    <w:p w14:paraId="1025D185"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lastRenderedPageBreak/>
        <w:t>Kratkoročne obveze za primljenu robu i usluge</w:t>
      </w:r>
    </w:p>
    <w:p w14:paraId="15E39E4E" w14:textId="77777777" w:rsidR="00CA4720" w:rsidRPr="00B3040C" w:rsidRDefault="00B3040C">
      <w:pPr>
        <w:pStyle w:val="Naslov4"/>
        <w:spacing w:after="261"/>
        <w:ind w:left="-5"/>
        <w:rPr>
          <w:rFonts w:ascii="Times New Roman" w:hAnsi="Times New Roman" w:cs="Times New Roman"/>
          <w:sz w:val="24"/>
          <w:szCs w:val="24"/>
        </w:rPr>
      </w:pPr>
      <w:r w:rsidRPr="00B3040C">
        <w:rPr>
          <w:rFonts w:ascii="Times New Roman" w:hAnsi="Times New Roman" w:cs="Times New Roman"/>
          <w:sz w:val="24"/>
          <w:szCs w:val="24"/>
        </w:rPr>
        <w:t>Bilješka br. 30a</w:t>
      </w:r>
    </w:p>
    <w:p w14:paraId="583CD8A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Ukupne kratkoročne obveze za primljenu robu i usluge iznosile su 26.289 kn.</w:t>
      </w:r>
    </w:p>
    <w:p w14:paraId="315028A1" w14:textId="77777777" w:rsidR="00CA4720" w:rsidRPr="00B3040C" w:rsidRDefault="00B3040C">
      <w:pPr>
        <w:spacing w:after="838"/>
        <w:ind w:left="-5"/>
        <w:rPr>
          <w:rFonts w:ascii="Times New Roman" w:hAnsi="Times New Roman" w:cs="Times New Roman"/>
          <w:szCs w:val="24"/>
        </w:rPr>
      </w:pPr>
      <w:r w:rsidRPr="00B3040C">
        <w:rPr>
          <w:rFonts w:ascii="Times New Roman" w:hAnsi="Times New Roman" w:cs="Times New Roman"/>
          <w:szCs w:val="24"/>
        </w:rPr>
        <w:t>Društvo nije imalo kratkoročne obveze prema poduzetnicima unutar grupe i/ili prema društvima povezanim sudjelujućim interesima po osnovi primljenih roba i usluga.</w:t>
      </w:r>
    </w:p>
    <w:p w14:paraId="6B33778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Kratkoročne obveze po osnovi zajmova, depozita i sličnog</w:t>
      </w:r>
    </w:p>
    <w:p w14:paraId="307DB4D0"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30b</w:t>
      </w:r>
    </w:p>
    <w:p w14:paraId="618E54B8"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Ukupne kratkoročne obveze po osnovi primljenih zajmova, depozita i sličnog iznosile su 27.467 kn.</w:t>
      </w:r>
    </w:p>
    <w:p w14:paraId="2C5509C9" w14:textId="77777777" w:rsidR="00CA4720" w:rsidRPr="00B3040C" w:rsidRDefault="00B3040C">
      <w:pPr>
        <w:spacing w:after="843"/>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kratkoročne obveze prema poduzetnicima unutar grupe i/ili prema društvima povezanim sudjelujućim interesima po osnovi primljenih zajmova, depozita i sličnog.</w:t>
      </w:r>
    </w:p>
    <w:p w14:paraId="55652FEC" w14:textId="77777777" w:rsidR="00CA4720" w:rsidRPr="00B3040C" w:rsidRDefault="00B3040C">
      <w:pPr>
        <w:pStyle w:val="Naslov3"/>
        <w:spacing w:after="315"/>
        <w:ind w:left="-5" w:right="903"/>
        <w:rPr>
          <w:rFonts w:ascii="Times New Roman" w:hAnsi="Times New Roman" w:cs="Times New Roman"/>
          <w:szCs w:val="24"/>
        </w:rPr>
      </w:pPr>
      <w:r w:rsidRPr="00B3040C">
        <w:rPr>
          <w:rFonts w:ascii="Times New Roman" w:hAnsi="Times New Roman" w:cs="Times New Roman"/>
          <w:szCs w:val="24"/>
        </w:rPr>
        <w:t xml:space="preserve">Kratkoročne obveze prema bankama i drugim financijskim institucijama </w:t>
      </w:r>
      <w:r w:rsidRPr="00B3040C">
        <w:rPr>
          <w:rFonts w:ascii="Times New Roman" w:hAnsi="Times New Roman" w:cs="Times New Roman"/>
          <w:i/>
          <w:color w:val="808080"/>
          <w:szCs w:val="24"/>
          <w:u w:val="single" w:color="808080"/>
        </w:rPr>
        <w:t>Bilješka br. 30c</w:t>
      </w:r>
    </w:p>
    <w:p w14:paraId="25EC4AA6"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kratkoročne obveze prema bankama i drugim financijskim institucijama.</w:t>
      </w:r>
    </w:p>
    <w:p w14:paraId="74F89AF1"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Kratkoročne obveze za predujmove</w:t>
      </w:r>
    </w:p>
    <w:p w14:paraId="005D0B30"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30d</w:t>
      </w:r>
    </w:p>
    <w:p w14:paraId="0C82D8D4"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obveze za primljene predujmove (avanse) u kojima se roba ili usluga treba isporučiti u roku koji je manji od godine dana.</w:t>
      </w:r>
    </w:p>
    <w:p w14:paraId="12C4ECD3"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Kratkoročne obveze po vrijednosnim papirima</w:t>
      </w:r>
    </w:p>
    <w:p w14:paraId="27BE1829" w14:textId="77777777" w:rsidR="00CA4720" w:rsidRPr="00B3040C" w:rsidRDefault="00B3040C">
      <w:pPr>
        <w:spacing w:after="309" w:line="259" w:lineRule="auto"/>
        <w:ind w:left="-5"/>
        <w:jc w:val="left"/>
        <w:rPr>
          <w:rFonts w:ascii="Times New Roman" w:hAnsi="Times New Roman" w:cs="Times New Roman"/>
          <w:szCs w:val="24"/>
        </w:rPr>
      </w:pPr>
      <w:r w:rsidRPr="00B3040C">
        <w:rPr>
          <w:rFonts w:ascii="Times New Roman" w:hAnsi="Times New Roman" w:cs="Times New Roman"/>
          <w:b/>
          <w:i/>
          <w:color w:val="808080"/>
          <w:szCs w:val="24"/>
          <w:u w:val="single" w:color="808080"/>
        </w:rPr>
        <w:t>Bilješka br. 30e</w:t>
      </w:r>
    </w:p>
    <w:p w14:paraId="42B1AC5B"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kratkoročne obveze po vrijednosnim papirima.</w:t>
      </w:r>
    </w:p>
    <w:p w14:paraId="352DFDE2"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Kratkoročne obveze prema zaposlenicima</w:t>
      </w:r>
    </w:p>
    <w:p w14:paraId="40718897"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30f</w:t>
      </w:r>
    </w:p>
    <w:p w14:paraId="5E91D941"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prema zaposlenicima odnose se na obračunate, a neisplaćene neto plaće, naknade i slične obveze.</w:t>
      </w:r>
    </w:p>
    <w:p w14:paraId="1C4868A2"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prema zaposlenicima na dan izvještavanja iznosile su ukupno 5.291 kn.</w:t>
      </w:r>
    </w:p>
    <w:p w14:paraId="20E2D669"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lastRenderedPageBreak/>
        <w:t>Kratkoročne obveze za poreze, doprinose i slična davanja</w:t>
      </w:r>
    </w:p>
    <w:p w14:paraId="39483F87"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30g</w:t>
      </w:r>
    </w:p>
    <w:p w14:paraId="23B9FF87"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za poreze, doprinose i slična davanja odnose se na obračunate, a neplaćene obveze.</w:t>
      </w:r>
    </w:p>
    <w:p w14:paraId="318C9D9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za poreze, doprinose i slična davanja na dan izvještavanja iznosile su ukupno 3.789 kn.</w:t>
      </w:r>
    </w:p>
    <w:p w14:paraId="7A86382A"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Kratkoročne obveze s osnove udjela u rezultatu</w:t>
      </w:r>
    </w:p>
    <w:p w14:paraId="0A2597B3"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30h</w:t>
      </w:r>
    </w:p>
    <w:p w14:paraId="5F396BFE"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s osnove udjela u rezultatu odnose se na obračunate, a neplaćene obveze vezane za obvezu isplate dobiti povezanim društvima.</w:t>
      </w:r>
    </w:p>
    <w:p w14:paraId="38F0D16E"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kratkoročne obveze s osnove udjela u rezultatu.</w:t>
      </w:r>
    </w:p>
    <w:p w14:paraId="099F40DB" w14:textId="77777777" w:rsidR="00CA4720" w:rsidRPr="00B3040C" w:rsidRDefault="00B3040C">
      <w:pPr>
        <w:pStyle w:val="Naslov3"/>
        <w:ind w:left="-5" w:right="903"/>
        <w:rPr>
          <w:rFonts w:ascii="Times New Roman" w:hAnsi="Times New Roman" w:cs="Times New Roman"/>
          <w:szCs w:val="24"/>
        </w:rPr>
      </w:pPr>
      <w:r w:rsidRPr="00B3040C">
        <w:rPr>
          <w:rFonts w:ascii="Times New Roman" w:hAnsi="Times New Roman" w:cs="Times New Roman"/>
          <w:szCs w:val="24"/>
        </w:rPr>
        <w:t>Kratkoročne obveze po osnovi dugotrajne imovine namijenjene prodaji</w:t>
      </w:r>
    </w:p>
    <w:p w14:paraId="3D87C782" w14:textId="77777777" w:rsidR="00CA4720" w:rsidRPr="00B3040C" w:rsidRDefault="00B3040C">
      <w:pPr>
        <w:pStyle w:val="Naslov4"/>
        <w:ind w:left="-5"/>
        <w:rPr>
          <w:rFonts w:ascii="Times New Roman" w:hAnsi="Times New Roman" w:cs="Times New Roman"/>
          <w:sz w:val="24"/>
          <w:szCs w:val="24"/>
        </w:rPr>
      </w:pPr>
      <w:r w:rsidRPr="00B3040C">
        <w:rPr>
          <w:rFonts w:ascii="Times New Roman" w:hAnsi="Times New Roman" w:cs="Times New Roman"/>
          <w:sz w:val="24"/>
          <w:szCs w:val="24"/>
        </w:rPr>
        <w:t>Bilješka br. 30i</w:t>
      </w:r>
    </w:p>
    <w:p w14:paraId="1CFD97AD"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Kratkoročne obveze po osnovi dugotrajne imovine namijenjene prodaji odnose se na obračunate, a neplaćene obveze vezane uz dugotrajnu imovinu namijenjenu prodaji.</w:t>
      </w:r>
    </w:p>
    <w:p w14:paraId="47B08C55"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kratkoročne obveze po osnovi dugotrajne imovine namijenjene prodaji.</w:t>
      </w:r>
    </w:p>
    <w:p w14:paraId="5B047377" w14:textId="77777777" w:rsidR="00CA4720" w:rsidRPr="00B3040C" w:rsidRDefault="00B3040C">
      <w:pPr>
        <w:pStyle w:val="Naslov3"/>
        <w:spacing w:after="315"/>
        <w:ind w:left="-5" w:right="5453"/>
        <w:rPr>
          <w:rFonts w:ascii="Times New Roman" w:hAnsi="Times New Roman" w:cs="Times New Roman"/>
          <w:szCs w:val="24"/>
        </w:rPr>
      </w:pPr>
      <w:r w:rsidRPr="00B3040C">
        <w:rPr>
          <w:rFonts w:ascii="Times New Roman" w:hAnsi="Times New Roman" w:cs="Times New Roman"/>
          <w:szCs w:val="24"/>
        </w:rPr>
        <w:t xml:space="preserve">Ostale kratkoročne obaveze </w:t>
      </w:r>
      <w:r w:rsidRPr="00B3040C">
        <w:rPr>
          <w:rFonts w:ascii="Times New Roman" w:hAnsi="Times New Roman" w:cs="Times New Roman"/>
          <w:i/>
          <w:color w:val="808080"/>
          <w:szCs w:val="24"/>
          <w:u w:val="single" w:color="808080"/>
        </w:rPr>
        <w:t>Bilješka br. 30j</w:t>
      </w:r>
    </w:p>
    <w:p w14:paraId="54CE8D39" w14:textId="77777777" w:rsidR="00CA4720" w:rsidRPr="00B3040C" w:rsidRDefault="00B3040C">
      <w:pPr>
        <w:spacing w:after="836"/>
        <w:ind w:left="-5"/>
        <w:rPr>
          <w:rFonts w:ascii="Times New Roman" w:hAnsi="Times New Roman" w:cs="Times New Roman"/>
          <w:szCs w:val="24"/>
        </w:rPr>
      </w:pPr>
      <w:r w:rsidRPr="00B3040C">
        <w:rPr>
          <w:rFonts w:ascii="Times New Roman" w:hAnsi="Times New Roman" w:cs="Times New Roman"/>
          <w:szCs w:val="24"/>
        </w:rPr>
        <w:t>Društvo na dan izvještavanja nije imalo drugih kratkoročnih obveza.</w:t>
      </w:r>
    </w:p>
    <w:p w14:paraId="130C9A41" w14:textId="77777777" w:rsidR="00CA4720" w:rsidRPr="00B3040C" w:rsidRDefault="00B3040C">
      <w:pPr>
        <w:pStyle w:val="Naslov4"/>
        <w:spacing w:after="0"/>
        <w:ind w:left="-5"/>
        <w:rPr>
          <w:rFonts w:ascii="Times New Roman" w:hAnsi="Times New Roman" w:cs="Times New Roman"/>
          <w:sz w:val="24"/>
          <w:szCs w:val="24"/>
        </w:rPr>
      </w:pPr>
      <w:r w:rsidRPr="00B3040C">
        <w:rPr>
          <w:rFonts w:ascii="Times New Roman" w:hAnsi="Times New Roman" w:cs="Times New Roman"/>
          <w:color w:val="000000"/>
          <w:sz w:val="24"/>
          <w:szCs w:val="24"/>
          <w:u w:val="none" w:color="000000"/>
        </w:rPr>
        <w:t>Odgođeno plaćanje troškova i prihod budućeg razdoblja</w:t>
      </w:r>
    </w:p>
    <w:p w14:paraId="65865B38" w14:textId="77777777" w:rsidR="00CA4720" w:rsidRPr="00B3040C" w:rsidRDefault="00B3040C">
      <w:pPr>
        <w:pStyle w:val="Naslov5"/>
        <w:ind w:left="-5"/>
        <w:rPr>
          <w:rFonts w:ascii="Times New Roman" w:hAnsi="Times New Roman" w:cs="Times New Roman"/>
          <w:sz w:val="24"/>
          <w:szCs w:val="24"/>
        </w:rPr>
      </w:pPr>
      <w:r w:rsidRPr="00B3040C">
        <w:rPr>
          <w:rFonts w:ascii="Times New Roman" w:hAnsi="Times New Roman" w:cs="Times New Roman"/>
          <w:sz w:val="24"/>
          <w:szCs w:val="24"/>
        </w:rPr>
        <w:t>Bilješka br. 31</w:t>
      </w:r>
    </w:p>
    <w:p w14:paraId="6E66689B" w14:textId="77777777" w:rsidR="00CA4720" w:rsidRPr="00B3040C" w:rsidRDefault="00B3040C">
      <w:pPr>
        <w:ind w:left="-5"/>
        <w:rPr>
          <w:rFonts w:ascii="Times New Roman" w:hAnsi="Times New Roman" w:cs="Times New Roman"/>
          <w:szCs w:val="24"/>
        </w:rPr>
      </w:pPr>
      <w:r w:rsidRPr="00B3040C">
        <w:rPr>
          <w:rFonts w:ascii="Times New Roman" w:hAnsi="Times New Roman" w:cs="Times New Roman"/>
          <w:szCs w:val="24"/>
        </w:rPr>
        <w:t>Društvo na dan izvještavanja nije imalo odgođenih plaćanja troškova i/ili prihoda budućeg razdoblja.</w:t>
      </w:r>
    </w:p>
    <w:p w14:paraId="69C7E669" w14:textId="77777777" w:rsidR="00CA4720" w:rsidRPr="00B3040C" w:rsidRDefault="00B3040C">
      <w:pPr>
        <w:pStyle w:val="Naslov1"/>
        <w:ind w:left="-5"/>
        <w:rPr>
          <w:rFonts w:ascii="Times New Roman" w:hAnsi="Times New Roman" w:cs="Times New Roman"/>
          <w:sz w:val="24"/>
          <w:szCs w:val="24"/>
        </w:rPr>
      </w:pPr>
      <w:r w:rsidRPr="00B3040C">
        <w:rPr>
          <w:rFonts w:ascii="Times New Roman" w:hAnsi="Times New Roman" w:cs="Times New Roman"/>
          <w:sz w:val="24"/>
          <w:szCs w:val="24"/>
        </w:rPr>
        <w:t>VII.</w:t>
      </w:r>
      <w:r w:rsidRPr="00B3040C">
        <w:rPr>
          <w:rFonts w:ascii="Times New Roman" w:hAnsi="Times New Roman" w:cs="Times New Roman"/>
          <w:sz w:val="24"/>
          <w:szCs w:val="24"/>
        </w:rPr>
        <w:tab/>
        <w:t>PRIHVAĆANJE I OBJAVA FINANCIJSKIH IZVJEŠTAJA OD STRANE UPRAVE DRUŠTVA</w:t>
      </w:r>
    </w:p>
    <w:p w14:paraId="34DF3DC3" w14:textId="77777777" w:rsidR="00CA4720" w:rsidRPr="00B3040C" w:rsidRDefault="00B3040C">
      <w:pPr>
        <w:pStyle w:val="Naslov2"/>
        <w:spacing w:after="274" w:line="253" w:lineRule="auto"/>
        <w:ind w:left="-5" w:right="903"/>
        <w:rPr>
          <w:rFonts w:ascii="Times New Roman" w:hAnsi="Times New Roman" w:cs="Times New Roman"/>
          <w:szCs w:val="24"/>
        </w:rPr>
      </w:pPr>
      <w:r w:rsidRPr="00B3040C">
        <w:rPr>
          <w:rFonts w:ascii="Times New Roman" w:hAnsi="Times New Roman" w:cs="Times New Roman"/>
          <w:i w:val="0"/>
          <w:szCs w:val="24"/>
        </w:rPr>
        <w:t>Objava financijskih izvještaja</w:t>
      </w:r>
    </w:p>
    <w:p w14:paraId="73511FBA" w14:textId="77777777" w:rsidR="00CA4720" w:rsidRPr="00B3040C" w:rsidRDefault="00B3040C">
      <w:pPr>
        <w:spacing w:after="560"/>
        <w:ind w:left="-5"/>
        <w:rPr>
          <w:rFonts w:ascii="Times New Roman" w:hAnsi="Times New Roman" w:cs="Times New Roman"/>
          <w:szCs w:val="24"/>
        </w:rPr>
      </w:pPr>
      <w:r w:rsidRPr="00B3040C">
        <w:rPr>
          <w:rFonts w:ascii="Times New Roman" w:hAnsi="Times New Roman" w:cs="Times New Roman"/>
          <w:szCs w:val="24"/>
        </w:rPr>
        <w:t>Uprava društva je svojom odlukom i ovjerom financijskih izvještaja prihvatila financijske izvještaje za poslovnu godinu i odobrila njihovu objavu.</w:t>
      </w:r>
    </w:p>
    <w:p w14:paraId="0A3B2420" w14:textId="77777777" w:rsidR="00CA4720" w:rsidRPr="00B3040C" w:rsidRDefault="00B3040C">
      <w:pPr>
        <w:tabs>
          <w:tab w:val="center" w:pos="6711"/>
        </w:tabs>
        <w:spacing w:after="7"/>
        <w:ind w:left="-15" w:firstLine="0"/>
        <w:jc w:val="left"/>
        <w:rPr>
          <w:rFonts w:ascii="Times New Roman" w:hAnsi="Times New Roman" w:cs="Times New Roman"/>
          <w:szCs w:val="24"/>
        </w:rPr>
      </w:pPr>
      <w:r w:rsidRPr="00B3040C">
        <w:rPr>
          <w:rFonts w:ascii="Times New Roman" w:hAnsi="Times New Roman" w:cs="Times New Roman"/>
          <w:szCs w:val="24"/>
        </w:rPr>
        <w:t>Osoba odgovorna za sastavljanje bilješki:</w:t>
      </w:r>
      <w:r w:rsidRPr="00B3040C">
        <w:rPr>
          <w:rFonts w:ascii="Times New Roman" w:hAnsi="Times New Roman" w:cs="Times New Roman"/>
          <w:szCs w:val="24"/>
        </w:rPr>
        <w:tab/>
        <w:t>Direktor:</w:t>
      </w:r>
    </w:p>
    <w:p w14:paraId="19E5955A" w14:textId="77777777" w:rsidR="00CA4720" w:rsidRPr="00B3040C" w:rsidRDefault="00B3040C">
      <w:pPr>
        <w:tabs>
          <w:tab w:val="center" w:pos="7097"/>
        </w:tabs>
        <w:spacing w:after="7"/>
        <w:ind w:left="-15" w:firstLine="0"/>
        <w:jc w:val="left"/>
        <w:rPr>
          <w:rFonts w:ascii="Times New Roman" w:hAnsi="Times New Roman" w:cs="Times New Roman"/>
          <w:szCs w:val="24"/>
        </w:rPr>
      </w:pPr>
      <w:r w:rsidRPr="00B3040C">
        <w:rPr>
          <w:rFonts w:ascii="Times New Roman" w:hAnsi="Times New Roman" w:cs="Times New Roman"/>
          <w:szCs w:val="24"/>
        </w:rPr>
        <w:t>Drenka Popović Kopjar</w:t>
      </w:r>
      <w:r w:rsidRPr="00B3040C">
        <w:rPr>
          <w:rFonts w:ascii="Times New Roman" w:hAnsi="Times New Roman" w:cs="Times New Roman"/>
          <w:szCs w:val="24"/>
        </w:rPr>
        <w:tab/>
        <w:t>Debeljak Hrvoje</w:t>
      </w:r>
    </w:p>
    <w:p w14:paraId="179F5A3D" w14:textId="77777777" w:rsidR="00CA4720" w:rsidRPr="00B3040C" w:rsidRDefault="00B3040C">
      <w:pPr>
        <w:spacing w:after="3" w:line="259" w:lineRule="auto"/>
        <w:ind w:left="-5"/>
        <w:jc w:val="left"/>
        <w:rPr>
          <w:rFonts w:ascii="Times New Roman" w:hAnsi="Times New Roman" w:cs="Times New Roman"/>
          <w:szCs w:val="24"/>
        </w:rPr>
      </w:pPr>
      <w:proofErr w:type="spellStart"/>
      <w:r w:rsidRPr="00B3040C">
        <w:rPr>
          <w:rFonts w:ascii="Times New Roman" w:hAnsi="Times New Roman" w:cs="Times New Roman"/>
          <w:i/>
          <w:color w:val="BFBFBF"/>
          <w:szCs w:val="24"/>
        </w:rPr>
        <w:lastRenderedPageBreak/>
        <w:t>Sepono</w:t>
      </w:r>
      <w:proofErr w:type="spellEnd"/>
      <w:r w:rsidRPr="00B3040C">
        <w:rPr>
          <w:rFonts w:ascii="Times New Roman" w:hAnsi="Times New Roman" w:cs="Times New Roman"/>
          <w:i/>
          <w:color w:val="BFBFBF"/>
          <w:szCs w:val="24"/>
        </w:rPr>
        <w:t xml:space="preserve"> </w:t>
      </w:r>
      <w:proofErr w:type="spellStart"/>
      <w:r w:rsidRPr="00B3040C">
        <w:rPr>
          <w:rFonts w:ascii="Times New Roman" w:hAnsi="Times New Roman" w:cs="Times New Roman"/>
          <w:i/>
          <w:color w:val="BFBFBF"/>
          <w:szCs w:val="24"/>
        </w:rPr>
        <w:t>j.d.o.o</w:t>
      </w:r>
      <w:proofErr w:type="spellEnd"/>
      <w:r w:rsidRPr="00B3040C">
        <w:rPr>
          <w:rFonts w:ascii="Times New Roman" w:hAnsi="Times New Roman" w:cs="Times New Roman"/>
          <w:i/>
          <w:color w:val="BFBFBF"/>
          <w:szCs w:val="24"/>
        </w:rPr>
        <w:t>.</w:t>
      </w:r>
    </w:p>
    <w:p w14:paraId="5755A702" w14:textId="77777777" w:rsidR="00CA4720" w:rsidRPr="00B3040C" w:rsidRDefault="00B3040C">
      <w:pPr>
        <w:spacing w:after="3" w:line="259" w:lineRule="auto"/>
        <w:ind w:left="-5"/>
        <w:jc w:val="left"/>
        <w:rPr>
          <w:rFonts w:ascii="Times New Roman" w:hAnsi="Times New Roman" w:cs="Times New Roman"/>
          <w:szCs w:val="24"/>
        </w:rPr>
      </w:pPr>
      <w:proofErr w:type="spellStart"/>
      <w:r w:rsidRPr="00B3040C">
        <w:rPr>
          <w:rFonts w:ascii="Times New Roman" w:hAnsi="Times New Roman" w:cs="Times New Roman"/>
          <w:i/>
          <w:color w:val="BFBFBF"/>
          <w:szCs w:val="24"/>
        </w:rPr>
        <w:t>Selčinska</w:t>
      </w:r>
      <w:proofErr w:type="spellEnd"/>
      <w:r w:rsidRPr="00B3040C">
        <w:rPr>
          <w:rFonts w:ascii="Times New Roman" w:hAnsi="Times New Roman" w:cs="Times New Roman"/>
          <w:i/>
          <w:color w:val="BFBFBF"/>
          <w:szCs w:val="24"/>
        </w:rPr>
        <w:t xml:space="preserve"> 6, Sesvete</w:t>
      </w:r>
    </w:p>
    <w:sectPr w:rsidR="00CA4720" w:rsidRPr="00B3040C">
      <w:footerReference w:type="even" r:id="rId9"/>
      <w:footerReference w:type="default" r:id="rId10"/>
      <w:footerReference w:type="first" r:id="rId11"/>
      <w:pgSz w:w="11904" w:h="16834"/>
      <w:pgMar w:top="1133" w:right="1131" w:bottom="1267" w:left="1416" w:header="72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1D070" w14:textId="77777777" w:rsidR="003624C9" w:rsidRDefault="003624C9">
      <w:pPr>
        <w:spacing w:after="0" w:line="240" w:lineRule="auto"/>
      </w:pPr>
      <w:r>
        <w:separator/>
      </w:r>
    </w:p>
  </w:endnote>
  <w:endnote w:type="continuationSeparator" w:id="0">
    <w:p w14:paraId="642B2A3E" w14:textId="77777777" w:rsidR="003624C9" w:rsidRDefault="00362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F221D" w14:textId="77777777" w:rsidR="00B3040C" w:rsidRDefault="00B3040C">
    <w:pPr>
      <w:spacing w:after="0" w:line="259" w:lineRule="auto"/>
      <w:ind w:left="0" w:right="3" w:firstLine="0"/>
      <w:jc w:val="right"/>
    </w:pPr>
    <w:r>
      <w:rPr>
        <w:i/>
        <w:color w:val="BFBFBF"/>
        <w:sz w:val="20"/>
      </w:rPr>
      <w:t xml:space="preserve">str. </w:t>
    </w:r>
    <w:r>
      <w:fldChar w:fldCharType="begin"/>
    </w:r>
    <w:r>
      <w:instrText xml:space="preserve"> PAGE   \* MERGEFORMAT </w:instrText>
    </w:r>
    <w:r>
      <w:fldChar w:fldCharType="separate"/>
    </w:r>
    <w:r>
      <w:rPr>
        <w:i/>
        <w:color w:val="BFBFBF"/>
        <w:sz w:val="20"/>
      </w:rPr>
      <w:t>2</w:t>
    </w:r>
    <w:r>
      <w:rPr>
        <w:i/>
        <w:color w:val="BFBFBF"/>
        <w:sz w:val="20"/>
      </w:rPr>
      <w:fldChar w:fldCharType="end"/>
    </w:r>
    <w:r>
      <w:rPr>
        <w:i/>
        <w:color w:val="BFBFBF"/>
        <w:sz w:val="20"/>
      </w:rPr>
      <w:t xml:space="preserve"> / </w:t>
    </w:r>
    <w:fldSimple w:instr=" NUMPAGES   \* MERGEFORMAT ">
      <w:r>
        <w:rPr>
          <w:i/>
          <w:color w:val="BFBFBF"/>
          <w:sz w:val="20"/>
        </w:rPr>
        <w:t>19</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72867" w14:textId="77777777" w:rsidR="00B3040C" w:rsidRDefault="00B3040C">
    <w:pPr>
      <w:spacing w:after="0" w:line="259" w:lineRule="auto"/>
      <w:ind w:left="0" w:right="3" w:firstLine="0"/>
      <w:jc w:val="right"/>
    </w:pPr>
    <w:r>
      <w:rPr>
        <w:i/>
        <w:color w:val="BFBFBF"/>
        <w:sz w:val="20"/>
      </w:rPr>
      <w:t xml:space="preserve">str. </w:t>
    </w:r>
    <w:r>
      <w:fldChar w:fldCharType="begin"/>
    </w:r>
    <w:r>
      <w:instrText xml:space="preserve"> PAGE   \* MERGEFORMAT </w:instrText>
    </w:r>
    <w:r>
      <w:fldChar w:fldCharType="separate"/>
    </w:r>
    <w:r>
      <w:rPr>
        <w:i/>
        <w:color w:val="BFBFBF"/>
        <w:sz w:val="20"/>
      </w:rPr>
      <w:t>2</w:t>
    </w:r>
    <w:r>
      <w:rPr>
        <w:i/>
        <w:color w:val="BFBFBF"/>
        <w:sz w:val="20"/>
      </w:rPr>
      <w:fldChar w:fldCharType="end"/>
    </w:r>
    <w:r>
      <w:rPr>
        <w:i/>
        <w:color w:val="BFBFBF"/>
        <w:sz w:val="20"/>
      </w:rPr>
      <w:t xml:space="preserve"> / </w:t>
    </w:r>
    <w:fldSimple w:instr=" NUMPAGES   \* MERGEFORMAT ">
      <w:r>
        <w:rPr>
          <w:i/>
          <w:color w:val="BFBFBF"/>
          <w:sz w:val="20"/>
        </w:rPr>
        <w:t>19</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EB640" w14:textId="77777777" w:rsidR="00B3040C" w:rsidRDefault="00B3040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DC0DB" w14:textId="77777777" w:rsidR="00B3040C" w:rsidRDefault="00B3040C">
    <w:pPr>
      <w:spacing w:after="0" w:line="259" w:lineRule="auto"/>
      <w:ind w:left="0" w:right="3" w:firstLine="0"/>
      <w:jc w:val="right"/>
    </w:pPr>
    <w:r>
      <w:rPr>
        <w:i/>
        <w:color w:val="BFBFBF"/>
        <w:sz w:val="20"/>
      </w:rPr>
      <w:t xml:space="preserve">str. </w:t>
    </w:r>
    <w:r>
      <w:fldChar w:fldCharType="begin"/>
    </w:r>
    <w:r>
      <w:instrText xml:space="preserve"> PAGE   \* MERGEFORMAT </w:instrText>
    </w:r>
    <w:r>
      <w:fldChar w:fldCharType="separate"/>
    </w:r>
    <w:r>
      <w:rPr>
        <w:i/>
        <w:color w:val="BFBFBF"/>
        <w:sz w:val="20"/>
      </w:rPr>
      <w:t>10</w:t>
    </w:r>
    <w:r>
      <w:rPr>
        <w:i/>
        <w:color w:val="BFBFBF"/>
        <w:sz w:val="20"/>
      </w:rPr>
      <w:fldChar w:fldCharType="end"/>
    </w:r>
    <w:r>
      <w:rPr>
        <w:i/>
        <w:color w:val="BFBFBF"/>
        <w:sz w:val="20"/>
      </w:rPr>
      <w:t xml:space="preserve"> / </w:t>
    </w:r>
    <w:fldSimple w:instr=" NUMPAGES   \* MERGEFORMAT ">
      <w:r>
        <w:rPr>
          <w:i/>
          <w:color w:val="BFBFBF"/>
          <w:sz w:val="20"/>
        </w:rPr>
        <w:t>19</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12FB6" w14:textId="77777777" w:rsidR="00B3040C" w:rsidRDefault="00B3040C">
    <w:pPr>
      <w:spacing w:after="0" w:line="259" w:lineRule="auto"/>
      <w:ind w:left="0" w:right="3" w:firstLine="0"/>
      <w:jc w:val="right"/>
    </w:pPr>
    <w:r>
      <w:rPr>
        <w:i/>
        <w:color w:val="BFBFBF"/>
        <w:sz w:val="20"/>
      </w:rPr>
      <w:t xml:space="preserve">str. </w:t>
    </w:r>
    <w:r>
      <w:fldChar w:fldCharType="begin"/>
    </w:r>
    <w:r>
      <w:instrText xml:space="preserve"> PAGE   \* MERGEFORMAT </w:instrText>
    </w:r>
    <w:r>
      <w:fldChar w:fldCharType="separate"/>
    </w:r>
    <w:r>
      <w:rPr>
        <w:i/>
        <w:color w:val="BFBFBF"/>
        <w:sz w:val="20"/>
      </w:rPr>
      <w:t>10</w:t>
    </w:r>
    <w:r>
      <w:rPr>
        <w:i/>
        <w:color w:val="BFBFBF"/>
        <w:sz w:val="20"/>
      </w:rPr>
      <w:fldChar w:fldCharType="end"/>
    </w:r>
    <w:r>
      <w:rPr>
        <w:i/>
        <w:color w:val="BFBFBF"/>
        <w:sz w:val="20"/>
      </w:rPr>
      <w:t xml:space="preserve"> / </w:t>
    </w:r>
    <w:fldSimple w:instr=" NUMPAGES   \* MERGEFORMAT ">
      <w:r>
        <w:rPr>
          <w:i/>
          <w:color w:val="BFBFBF"/>
          <w:sz w:val="20"/>
        </w:rPr>
        <w:t>19</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BDE4C" w14:textId="77777777" w:rsidR="00B3040C" w:rsidRDefault="00B3040C">
    <w:pPr>
      <w:spacing w:after="0" w:line="259" w:lineRule="auto"/>
      <w:ind w:left="0" w:right="3" w:firstLine="0"/>
      <w:jc w:val="right"/>
    </w:pPr>
    <w:r>
      <w:rPr>
        <w:i/>
        <w:color w:val="BFBFBF"/>
        <w:sz w:val="20"/>
      </w:rPr>
      <w:t xml:space="preserve">str. </w:t>
    </w:r>
    <w:r>
      <w:fldChar w:fldCharType="begin"/>
    </w:r>
    <w:r>
      <w:instrText xml:space="preserve"> PAGE   \* MERGEFORMAT </w:instrText>
    </w:r>
    <w:r>
      <w:fldChar w:fldCharType="separate"/>
    </w:r>
    <w:r>
      <w:rPr>
        <w:i/>
        <w:color w:val="BFBFBF"/>
        <w:sz w:val="20"/>
      </w:rPr>
      <w:t>10</w:t>
    </w:r>
    <w:r>
      <w:rPr>
        <w:i/>
        <w:color w:val="BFBFBF"/>
        <w:sz w:val="20"/>
      </w:rPr>
      <w:fldChar w:fldCharType="end"/>
    </w:r>
    <w:r>
      <w:rPr>
        <w:i/>
        <w:color w:val="BFBFBF"/>
        <w:sz w:val="20"/>
      </w:rPr>
      <w:t xml:space="preserve"> / </w:t>
    </w:r>
    <w:fldSimple w:instr=" NUMPAGES   \* MERGEFORMAT ">
      <w:r>
        <w:rPr>
          <w:i/>
          <w:color w:val="BFBFBF"/>
          <w:sz w:val="20"/>
        </w:rPr>
        <w:t>19</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D0E9A1" w14:textId="77777777" w:rsidR="003624C9" w:rsidRDefault="003624C9">
      <w:pPr>
        <w:spacing w:after="0" w:line="240" w:lineRule="auto"/>
      </w:pPr>
      <w:r>
        <w:separator/>
      </w:r>
    </w:p>
  </w:footnote>
  <w:footnote w:type="continuationSeparator" w:id="0">
    <w:p w14:paraId="57CBE4E8" w14:textId="77777777" w:rsidR="003624C9" w:rsidRDefault="003624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720"/>
    <w:rsid w:val="00094139"/>
    <w:rsid w:val="003624C9"/>
    <w:rsid w:val="007E7023"/>
    <w:rsid w:val="00B3040C"/>
    <w:rsid w:val="00CA47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A80E5"/>
  <w15:docId w15:val="{4ADFE304-C6A2-4CDE-93A7-BDEA6674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4" w:line="253" w:lineRule="auto"/>
      <w:ind w:left="10" w:hanging="10"/>
      <w:jc w:val="both"/>
    </w:pPr>
    <w:rPr>
      <w:rFonts w:ascii="Trebuchet MS" w:eastAsia="Trebuchet MS" w:hAnsi="Trebuchet MS" w:cs="Trebuchet MS"/>
      <w:color w:val="000000"/>
      <w:sz w:val="24"/>
    </w:rPr>
  </w:style>
  <w:style w:type="paragraph" w:styleId="Naslov1">
    <w:name w:val="heading 1"/>
    <w:next w:val="Normal"/>
    <w:link w:val="Naslov1Char"/>
    <w:uiPriority w:val="9"/>
    <w:qFormat/>
    <w:pPr>
      <w:keepNext/>
      <w:keepLines/>
      <w:spacing w:after="236" w:line="252" w:lineRule="auto"/>
      <w:ind w:left="10" w:hanging="10"/>
      <w:outlineLvl w:val="0"/>
    </w:pPr>
    <w:rPr>
      <w:rFonts w:ascii="Trebuchet MS" w:eastAsia="Trebuchet MS" w:hAnsi="Trebuchet MS" w:cs="Trebuchet MS"/>
      <w:b/>
      <w:i/>
      <w:color w:val="000000"/>
      <w:sz w:val="28"/>
    </w:rPr>
  </w:style>
  <w:style w:type="paragraph" w:styleId="Naslov2">
    <w:name w:val="heading 2"/>
    <w:next w:val="Normal"/>
    <w:link w:val="Naslov2Char"/>
    <w:uiPriority w:val="9"/>
    <w:unhideWhenUsed/>
    <w:qFormat/>
    <w:pPr>
      <w:keepNext/>
      <w:keepLines/>
      <w:spacing w:after="265"/>
      <w:ind w:left="10" w:hanging="10"/>
      <w:outlineLvl w:val="1"/>
    </w:pPr>
    <w:rPr>
      <w:rFonts w:ascii="Trebuchet MS" w:eastAsia="Trebuchet MS" w:hAnsi="Trebuchet MS" w:cs="Trebuchet MS"/>
      <w:b/>
      <w:i/>
      <w:color w:val="000000"/>
      <w:sz w:val="24"/>
    </w:rPr>
  </w:style>
  <w:style w:type="paragraph" w:styleId="Naslov3">
    <w:name w:val="heading 3"/>
    <w:next w:val="Normal"/>
    <w:link w:val="Naslov3Char"/>
    <w:uiPriority w:val="9"/>
    <w:unhideWhenUsed/>
    <w:qFormat/>
    <w:pPr>
      <w:keepNext/>
      <w:keepLines/>
      <w:spacing w:after="3" w:line="253" w:lineRule="auto"/>
      <w:ind w:left="10" w:hanging="10"/>
      <w:outlineLvl w:val="2"/>
    </w:pPr>
    <w:rPr>
      <w:rFonts w:ascii="Trebuchet MS" w:eastAsia="Trebuchet MS" w:hAnsi="Trebuchet MS" w:cs="Trebuchet MS"/>
      <w:b/>
      <w:color w:val="000000"/>
      <w:sz w:val="24"/>
    </w:rPr>
  </w:style>
  <w:style w:type="paragraph" w:styleId="Naslov4">
    <w:name w:val="heading 4"/>
    <w:next w:val="Normal"/>
    <w:link w:val="Naslov4Char"/>
    <w:uiPriority w:val="9"/>
    <w:unhideWhenUsed/>
    <w:qFormat/>
    <w:pPr>
      <w:keepNext/>
      <w:keepLines/>
      <w:spacing w:after="309"/>
      <w:ind w:left="10" w:hanging="10"/>
      <w:outlineLvl w:val="3"/>
    </w:pPr>
    <w:rPr>
      <w:rFonts w:ascii="Trebuchet MS" w:eastAsia="Trebuchet MS" w:hAnsi="Trebuchet MS" w:cs="Trebuchet MS"/>
      <w:b/>
      <w:i/>
      <w:color w:val="808080"/>
      <w:sz w:val="20"/>
      <w:u w:val="single" w:color="808080"/>
    </w:rPr>
  </w:style>
  <w:style w:type="paragraph" w:styleId="Naslov5">
    <w:name w:val="heading 5"/>
    <w:next w:val="Normal"/>
    <w:link w:val="Naslov5Char"/>
    <w:uiPriority w:val="9"/>
    <w:unhideWhenUsed/>
    <w:qFormat/>
    <w:pPr>
      <w:keepNext/>
      <w:keepLines/>
      <w:spacing w:after="309"/>
      <w:ind w:left="10" w:hanging="10"/>
      <w:outlineLvl w:val="4"/>
    </w:pPr>
    <w:rPr>
      <w:rFonts w:ascii="Trebuchet MS" w:eastAsia="Trebuchet MS" w:hAnsi="Trebuchet MS" w:cs="Trebuchet MS"/>
      <w:b/>
      <w:i/>
      <w:color w:val="808080"/>
      <w:sz w:val="20"/>
      <w:u w:val="single" w:color="80808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Pr>
      <w:rFonts w:ascii="Trebuchet MS" w:eastAsia="Trebuchet MS" w:hAnsi="Trebuchet MS" w:cs="Trebuchet MS"/>
      <w:b/>
      <w:i/>
      <w:color w:val="000000"/>
      <w:sz w:val="28"/>
    </w:rPr>
  </w:style>
  <w:style w:type="character" w:customStyle="1" w:styleId="Naslov2Char">
    <w:name w:val="Naslov 2 Char"/>
    <w:link w:val="Naslov2"/>
    <w:rPr>
      <w:rFonts w:ascii="Trebuchet MS" w:eastAsia="Trebuchet MS" w:hAnsi="Trebuchet MS" w:cs="Trebuchet MS"/>
      <w:b/>
      <w:i/>
      <w:color w:val="000000"/>
      <w:sz w:val="24"/>
    </w:rPr>
  </w:style>
  <w:style w:type="character" w:customStyle="1" w:styleId="Naslov4Char">
    <w:name w:val="Naslov 4 Char"/>
    <w:link w:val="Naslov4"/>
    <w:rPr>
      <w:rFonts w:ascii="Trebuchet MS" w:eastAsia="Trebuchet MS" w:hAnsi="Trebuchet MS" w:cs="Trebuchet MS"/>
      <w:b/>
      <w:i/>
      <w:color w:val="808080"/>
      <w:sz w:val="20"/>
      <w:u w:val="single" w:color="808080"/>
    </w:rPr>
  </w:style>
  <w:style w:type="character" w:customStyle="1" w:styleId="Naslov5Char">
    <w:name w:val="Naslov 5 Char"/>
    <w:link w:val="Naslov5"/>
    <w:rPr>
      <w:rFonts w:ascii="Trebuchet MS" w:eastAsia="Trebuchet MS" w:hAnsi="Trebuchet MS" w:cs="Trebuchet MS"/>
      <w:b/>
      <w:i/>
      <w:color w:val="808080"/>
      <w:sz w:val="20"/>
      <w:u w:val="single" w:color="808080"/>
    </w:rPr>
  </w:style>
  <w:style w:type="character" w:customStyle="1" w:styleId="Naslov3Char">
    <w:name w:val="Naslov 3 Char"/>
    <w:link w:val="Naslov3"/>
    <w:rPr>
      <w:rFonts w:ascii="Trebuchet MS" w:eastAsia="Trebuchet MS" w:hAnsi="Trebuchet MS" w:cs="Trebuchet M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4724</Words>
  <Characters>26929</Characters>
  <Application>Microsoft Office Word</Application>
  <DocSecurity>0</DocSecurity>
  <Lines>224</Lines>
  <Paragraphs>63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Zoran</dc:creator>
  <cp:keywords/>
  <cp:lastModifiedBy>Branko Smrtić</cp:lastModifiedBy>
  <cp:revision>3</cp:revision>
  <dcterms:created xsi:type="dcterms:W3CDTF">2021-03-14T08:53:00Z</dcterms:created>
  <dcterms:modified xsi:type="dcterms:W3CDTF">2021-03-14T11:09:00Z</dcterms:modified>
</cp:coreProperties>
</file>