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a158f31" w14:paraId="a158f31" w:rsidRDefault="002A6C06" w:rsidP="002A6C06" w:rsidR="002A6C06">
      <w:pPr>
        <w:pStyle w:val="Tijeloteksta"/>
        <w:jc w:val="both"/>
        <w:outlineLvl w:val="0"/>
        <w15:collapsed w:val="false"/>
        <w:rPr>
          <w:rFonts w:cs="Times New Roman" w:hAnsi="Times New Roman" w:ascii="Times New Roman"/>
          <w:sz w:val="24"/>
        </w:rPr>
      </w:pPr>
      <w:bookmarkStart w:name="_GoBack" w:id="0"/>
      <w:bookmarkEnd w:id="0"/>
      <w:r>
        <w:rPr>
          <w:rFonts w:cs="Times New Roman" w:hAnsi="Times New Roman" w:ascii="Times New Roman"/>
          <w:noProof/>
          <w:sz w:val="24"/>
        </w:rPr>
        <w:drawing>
          <wp:inline distR="0" distL="0" distB="0" distT="0">
            <wp:extent cy="769620" cx="617220"/>
            <wp:effectExtent b="0" r="0" t="0" l="0"/>
            <wp:docPr name="Slika 1" id="1"/>
            <wp:cNvGraphicFramePr>
              <a:graphicFrameLocks noChangeAspect="true"/>
            </wp:cNvGraphicFramePr>
            <a:graphic>
              <a:graphicData uri="http://schemas.openxmlformats.org/drawingml/2006/picture">
                <pic:pic>
                  <pic:nvPicPr>
                    <pic:cNvPr name="Picture 2" id="0"/>
                    <pic:cNvPicPr>
                      <a:picLocks noChangeArrowheads="true" noChangeAspect="true"/>
                    </pic:cNvPicPr>
                  </pic:nvPicPr>
                  <pic:blipFill>
                    <a:blip r:embed="rId9" cstate="print">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69620" cx="617220"/>
                    </a:xfrm>
                    <a:prstGeom prst="rect">
                      <a:avLst/>
                    </a:prstGeom>
                    <a:noFill/>
                    <a:ln>
                      <a:noFill/>
                    </a:ln>
                  </pic:spPr>
                </pic:pic>
              </a:graphicData>
            </a:graphic>
          </wp:inline>
        </w:drawing>
      </w:r>
      <w:r>
        <w:rPr>
          <w:rFonts w:cs="Times New Roman" w:hAnsi="Times New Roman" w:ascii="Times New Roman"/>
          <w:sz w:val="24"/>
        </w:rPr>
        <w:t xml:space="preserve">   </w:t>
      </w:r>
    </w:p>
    <w:tbl>
      <w:tblPr>
        <w:tblW w:type="auto" w:w="0"/>
        <w:tblInd w:type="dxa" w:w="288"/>
        <w:tblLook w:val="01E0" w:noVBand="0" w:noHBand="0" w:lastColumn="1" w:firstColumn="1" w:lastRow="1" w:firstRow="1"/>
      </w:tblPr>
      <w:tblGrid>
        <w:gridCol w:w="3060"/>
      </w:tblGrid>
      <w:tr w:rsidTr="002A6C06" w:rsidR="002A6C06">
        <w:tc>
          <w:tcPr>
            <w:tcW w:type="dxa" w:w="3060"/>
            <w:hideMark/>
          </w:tcPr>
          <w:p w:rsidRDefault="002A6C06" w:rsidR="002A6C06">
            <w:pPr>
              <w:pStyle w:val="Naslov2"/>
              <w:jc w:val="left"/>
              <w:rPr>
                <w:b w:val="false"/>
                <w:bCs w:val="false"/>
                <w:sz w:val="24"/>
                <w:lang w:eastAsia="en-US"/>
              </w:rPr>
            </w:pPr>
            <w:r>
              <w:rPr>
                <w:b w:val="false"/>
                <w:bCs w:val="false"/>
                <w:sz w:val="24"/>
                <w:lang w:eastAsia="en-US"/>
              </w:rPr>
              <w:t>Republika Hrvatska</w:t>
            </w:r>
          </w:p>
          <w:p w:rsidRDefault="002A6C06" w:rsidR="002A6C06">
            <w:pPr>
              <w:rPr>
                <w:sz w:val="24"/>
                <w:szCs w:val="24"/>
                <w:lang w:eastAsia="en-US"/>
              </w:rPr>
            </w:pPr>
            <w:r>
              <w:rPr>
                <w:sz w:val="24"/>
                <w:szCs w:val="24"/>
                <w:lang w:eastAsia="en-US"/>
              </w:rPr>
              <w:t>Trgovački sud u Zagrebu</w:t>
            </w:r>
          </w:p>
          <w:p w:rsidRDefault="002A6C06" w:rsidR="002A6C06">
            <w:pPr>
              <w:rPr>
                <w:sz w:val="24"/>
                <w:szCs w:val="24"/>
                <w:lang w:eastAsia="en-US"/>
              </w:rPr>
            </w:pPr>
            <w:r>
              <w:rPr>
                <w:sz w:val="24"/>
                <w:szCs w:val="24"/>
                <w:lang w:eastAsia="en-US"/>
              </w:rPr>
              <w:t>Zagreb, Amruševa 2/II</w:t>
            </w:r>
          </w:p>
        </w:tc>
      </w:tr>
    </w:tbl>
    <w:p w:rsidRDefault="002A6C06" w:rsidP="002A6C06" w:rsidR="002A6C06">
      <w:pPr>
        <w:rPr>
          <w:b/>
          <w:sz w:val="24"/>
          <w:szCs w:val="24"/>
        </w:rPr>
      </w:pPr>
    </w:p>
    <w:p w:rsidRDefault="002A6C06" w:rsidP="002A6C06" w:rsidR="002A6C06">
      <w:pPr>
        <w:rPr>
          <w:sz w:val="24"/>
          <w:szCs w:val="24"/>
        </w:rPr>
      </w:pP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 xml:space="preserve">           </w:t>
      </w:r>
      <w:r>
        <w:rPr>
          <w:sz w:val="24"/>
          <w:szCs w:val="24"/>
        </w:rPr>
        <w:t>16.</w:t>
      </w:r>
      <w:r>
        <w:rPr>
          <w:b/>
          <w:sz w:val="24"/>
          <w:szCs w:val="24"/>
        </w:rPr>
        <w:t xml:space="preserve"> </w:t>
      </w:r>
      <w:r>
        <w:rPr>
          <w:sz w:val="24"/>
          <w:szCs w:val="24"/>
        </w:rPr>
        <w:t>St-5442/16-5</w:t>
      </w:r>
    </w:p>
    <w:p w:rsidRDefault="002A6C06" w:rsidP="002A6C06" w:rsidR="002A6C06">
      <w:pPr>
        <w:jc w:val="center"/>
        <w:rPr>
          <w:b/>
          <w:sz w:val="24"/>
          <w:szCs w:val="24"/>
        </w:rPr>
      </w:pPr>
    </w:p>
    <w:p w:rsidRDefault="002A6C06" w:rsidP="002A6C06" w:rsidR="002A6C06">
      <w:pPr>
        <w:jc w:val="center"/>
        <w:rPr>
          <w:sz w:val="24"/>
          <w:szCs w:val="24"/>
        </w:rPr>
      </w:pPr>
      <w:r>
        <w:rPr>
          <w:sz w:val="24"/>
          <w:szCs w:val="24"/>
        </w:rPr>
        <w:t>R E P U B L I K A   H R V A T S K A</w:t>
      </w:r>
    </w:p>
    <w:p w:rsidRDefault="002A6C06" w:rsidP="002A6C06" w:rsidR="002A6C06">
      <w:pPr>
        <w:ind w:left="2880"/>
        <w:jc w:val="center"/>
        <w:rPr>
          <w:sz w:val="24"/>
          <w:szCs w:val="24"/>
        </w:rPr>
      </w:pPr>
    </w:p>
    <w:p w:rsidRDefault="002A6C06" w:rsidP="002A6C06" w:rsidR="002A6C06">
      <w:pPr>
        <w:ind w:left="2880"/>
        <w:rPr>
          <w:sz w:val="24"/>
          <w:szCs w:val="24"/>
        </w:rPr>
      </w:pPr>
      <w:r>
        <w:rPr>
          <w:sz w:val="24"/>
          <w:szCs w:val="24"/>
        </w:rPr>
        <w:t xml:space="preserve">               R J E Š E NJ E</w:t>
      </w:r>
    </w:p>
    <w:p w:rsidRDefault="002A6C06" w:rsidP="002A6C06" w:rsidR="002A6C06">
      <w:pPr>
        <w:jc w:val="center"/>
        <w:rPr>
          <w:sz w:val="24"/>
          <w:szCs w:val="24"/>
        </w:rPr>
      </w:pPr>
      <w:r>
        <w:rPr>
          <w:sz w:val="24"/>
          <w:szCs w:val="24"/>
        </w:rPr>
        <w:t>i</w:t>
      </w:r>
    </w:p>
    <w:p w:rsidRDefault="002A6C06" w:rsidP="002A6C06" w:rsidR="002A6C06">
      <w:pPr>
        <w:jc w:val="center"/>
        <w:rPr>
          <w:sz w:val="24"/>
          <w:szCs w:val="24"/>
        </w:rPr>
      </w:pPr>
      <w:r>
        <w:rPr>
          <w:sz w:val="24"/>
          <w:szCs w:val="24"/>
        </w:rPr>
        <w:t>Z A K L J U Č A K</w:t>
      </w:r>
    </w:p>
    <w:p w:rsidRDefault="002A6C06" w:rsidP="002A6C06" w:rsidR="002A6C06">
      <w:pPr>
        <w:jc w:val="center"/>
        <w:rPr>
          <w:sz w:val="24"/>
          <w:szCs w:val="24"/>
        </w:rPr>
      </w:pPr>
      <w:r>
        <w:rPr>
          <w:sz w:val="24"/>
          <w:szCs w:val="24"/>
        </w:rPr>
        <w:tab/>
      </w:r>
    </w:p>
    <w:p w:rsidRDefault="002A6C06" w:rsidP="002A6C06" w:rsidR="002A6C06">
      <w:pPr>
        <w:jc w:val="both"/>
        <w:rPr>
          <w:sz w:val="24"/>
          <w:szCs w:val="24"/>
        </w:rPr>
      </w:pPr>
      <w:r>
        <w:rPr>
          <w:sz w:val="24"/>
          <w:szCs w:val="24"/>
        </w:rPr>
        <w:tab/>
        <w:t>Trgovački sud u Zagrebu, po sucu Dini Jellin, u stečajnom predmetu u povodu prijedloga predlagatelja FINANCIJSKA AGENCIJA, RC Zagreb, Podružnica Zagreb, Trg svibanjskih žrtava 1995. 1, OIB: 85821130368, za otvaranje stečajnog postupka nad dužnikom PRANJIĆ-PROMET d.o.o. OIB: 46417939469, Zagreb, Kopačevski Put 4,  dana 19. listopada 2018.,</w:t>
      </w:r>
    </w:p>
    <w:p w:rsidRDefault="002A6C06" w:rsidP="002A6C06" w:rsidR="002A6C06">
      <w:pPr>
        <w:jc w:val="center"/>
        <w:rPr>
          <w:sz w:val="24"/>
          <w:szCs w:val="24"/>
        </w:rPr>
      </w:pPr>
      <w:r>
        <w:rPr>
          <w:sz w:val="24"/>
          <w:szCs w:val="24"/>
        </w:rPr>
        <w:t xml:space="preserve">r i j e š i o    j e </w:t>
      </w:r>
    </w:p>
    <w:p w:rsidRDefault="002A6C06" w:rsidP="002A6C06" w:rsidR="002A6C06">
      <w:pPr>
        <w:overflowPunct/>
        <w:autoSpaceDE/>
        <w:adjustRightInd/>
        <w:ind w:firstLine="708"/>
        <w:jc w:val="both"/>
        <w:rPr>
          <w:b/>
          <w:sz w:val="24"/>
          <w:szCs w:val="24"/>
        </w:rPr>
      </w:pPr>
    </w:p>
    <w:p w:rsidRDefault="002A6C06" w:rsidP="002A6C06" w:rsidR="002A6C06">
      <w:pPr>
        <w:overflowPunct/>
        <w:autoSpaceDE/>
        <w:adjustRightInd/>
        <w:ind w:firstLine="708"/>
        <w:jc w:val="both"/>
        <w:rPr>
          <w:b/>
          <w:sz w:val="24"/>
          <w:szCs w:val="24"/>
        </w:rPr>
      </w:pPr>
      <w:r>
        <w:rPr>
          <w:sz w:val="24"/>
          <w:szCs w:val="24"/>
        </w:rPr>
        <w:t>Pokreće se prethodni postupak radi utvrđivanja pretpostavki za otvaranje stečajnog postupka nad društvom PRANJIĆ-PROMET d.o.o. OIB: 46417939469, Zagreb, Kopačevski Put 4.</w:t>
      </w:r>
    </w:p>
    <w:p w:rsidRDefault="002A6C06" w:rsidP="002A6C06" w:rsidR="002A6C06">
      <w:pPr>
        <w:overflowPunct/>
        <w:autoSpaceDE/>
        <w:adjustRightInd/>
        <w:jc w:val="both"/>
        <w:rPr>
          <w:sz w:val="24"/>
          <w:szCs w:val="24"/>
        </w:rPr>
      </w:pPr>
    </w:p>
    <w:p w:rsidRDefault="002A6C06" w:rsidP="002A6C06" w:rsidR="002A6C06">
      <w:pPr>
        <w:jc w:val="center"/>
        <w:rPr>
          <w:sz w:val="24"/>
          <w:szCs w:val="24"/>
        </w:rPr>
      </w:pPr>
      <w:r>
        <w:rPr>
          <w:sz w:val="24"/>
          <w:szCs w:val="24"/>
        </w:rPr>
        <w:t>z a k lj u č i o  j e</w:t>
      </w:r>
    </w:p>
    <w:p w:rsidRDefault="002A6C06" w:rsidP="002A6C06" w:rsidR="002A6C06">
      <w:pPr>
        <w:jc w:val="center"/>
        <w:rPr>
          <w:b/>
          <w:sz w:val="24"/>
          <w:szCs w:val="24"/>
        </w:rPr>
      </w:pPr>
    </w:p>
    <w:p w:rsidRDefault="002A6C06" w:rsidP="002A6C06" w:rsidR="002A6C06">
      <w:pPr>
        <w:ind w:firstLine="555"/>
        <w:jc w:val="both"/>
        <w:rPr>
          <w:sz w:val="24"/>
          <w:szCs w:val="24"/>
        </w:rPr>
      </w:pPr>
      <w:r>
        <w:rPr>
          <w:sz w:val="24"/>
          <w:szCs w:val="24"/>
        </w:rPr>
        <w:t>I. Naređuje se osobi ovlaštenoj za zastupanje Mati Pranjiću, OIB: 57157782910, Zagreb, Zagorica 11, u roku 8 dana, dostaviti ovom sudu  pisano izvješće o financijsko-gospodarskom stanju dužnika u kojem će, među ostalim, biti naznačeni podaci o imovini dužnika i to: popis nekretnina i pokretnina koje čine imovinu dužnika te gdje se te stvari nalaze, zatim gdje se nalaze i kome pripadaju tuđe stvari na kojima dužnik ima određena imovinska prava, prema kome dužnik ima kakvu novčanu ili koju drugu tražbinu, koja druga prava čine imovinu dužnika, ima li na računima dužnika i kod koga novčana sredstva, ima li dužnik kakvu drugu imovinu.</w:t>
      </w:r>
    </w:p>
    <w:p w:rsidRDefault="002A6C06" w:rsidP="002A6C06" w:rsidR="002A6C06">
      <w:pPr>
        <w:ind w:firstLine="555"/>
        <w:jc w:val="both"/>
        <w:rPr>
          <w:sz w:val="24"/>
          <w:szCs w:val="24"/>
        </w:rPr>
      </w:pPr>
      <w:r>
        <w:rPr>
          <w:sz w:val="24"/>
          <w:szCs w:val="24"/>
        </w:rPr>
        <w:t>II. Ako osoba ovlaštena za zastupanje dužnika u roku iz točke I. ovog zaključka ne dostavi pisano izvješće o financijsko-gospodarskom stanju dužnika, sud će odrediti saslušanje osobe ovlaštene za zastupanje dužnika.</w:t>
      </w:r>
    </w:p>
    <w:p w:rsidRDefault="002A6C06" w:rsidP="002A6C06" w:rsidR="002A6C06">
      <w:pPr>
        <w:ind w:firstLine="555"/>
        <w:jc w:val="both"/>
        <w:rPr>
          <w:sz w:val="24"/>
          <w:szCs w:val="24"/>
        </w:rPr>
      </w:pPr>
      <w:r>
        <w:rPr>
          <w:sz w:val="24"/>
          <w:szCs w:val="24"/>
        </w:rPr>
        <w:t>U slučaju neodazivanja na saslušanje sud može osobi ovlaštenoj za zastupanje dužnika odrediti dovođenje, a može je i kazniti novčanom kaznom u iznosu do 10.000,00 kn.</w:t>
      </w:r>
    </w:p>
    <w:p w:rsidRDefault="002A6C06" w:rsidP="002A6C06" w:rsidR="002A6C06">
      <w:pPr>
        <w:ind w:firstLine="555"/>
        <w:jc w:val="both"/>
        <w:rPr>
          <w:sz w:val="24"/>
          <w:szCs w:val="24"/>
        </w:rPr>
      </w:pPr>
      <w:r>
        <w:rPr>
          <w:sz w:val="24"/>
          <w:szCs w:val="24"/>
        </w:rPr>
        <w:t>III. Ako osoba ovlaštena za zastupanje dužnika u dodijeljenom roku ne dostavi pisano izvješće o financijsko-gospodarskom stanju dužnika ili dostavi netočno ili nepotpuno izvješće odgovara vjerovnicima za štetu koja im je time prouzročena.</w:t>
      </w:r>
    </w:p>
    <w:p w:rsidRDefault="002A6C06" w:rsidP="002A6C06" w:rsidR="002A6C06">
      <w:pPr>
        <w:ind w:firstLine="555"/>
        <w:jc w:val="both"/>
        <w:rPr>
          <w:sz w:val="24"/>
          <w:szCs w:val="24"/>
        </w:rPr>
      </w:pPr>
      <w:r>
        <w:rPr>
          <w:sz w:val="24"/>
          <w:szCs w:val="24"/>
        </w:rPr>
        <w:t>IV. Osobe ovlaštene za zastupanje dužnika odgovaraju kazneno za davanje netočnih ili nepotpunih podataka, obavijesti i izvješća kao za davanje lažnog iskaza u postupku pred sudom.</w:t>
      </w:r>
    </w:p>
    <w:p w:rsidRDefault="002A6C06" w:rsidP="002A6C06" w:rsidR="002A6C06">
      <w:pPr>
        <w:ind w:firstLine="555"/>
        <w:jc w:val="both"/>
        <w:rPr>
          <w:sz w:val="24"/>
          <w:szCs w:val="24"/>
        </w:rPr>
      </w:pPr>
      <w:r>
        <w:rPr>
          <w:sz w:val="24"/>
          <w:szCs w:val="24"/>
        </w:rPr>
        <w:t>V</w:t>
      </w:r>
      <w:r>
        <w:rPr>
          <w:b/>
          <w:sz w:val="24"/>
          <w:szCs w:val="24"/>
        </w:rPr>
        <w:t xml:space="preserve">. </w:t>
      </w:r>
      <w:r>
        <w:rPr>
          <w:sz w:val="24"/>
          <w:szCs w:val="24"/>
        </w:rPr>
        <w:t xml:space="preserve">Zakazuje se ročište radi očitovanja o prijedlogu za otvaranje stečajnog postupka  za dan: </w:t>
      </w:r>
    </w:p>
    <w:p w:rsidRDefault="002A6C06" w:rsidP="002A6C06" w:rsidR="002A6C06">
      <w:pPr>
        <w:ind w:left="1003"/>
        <w:jc w:val="center"/>
        <w:rPr>
          <w:b/>
          <w:sz w:val="24"/>
          <w:szCs w:val="24"/>
        </w:rPr>
      </w:pPr>
      <w:r>
        <w:rPr>
          <w:b/>
          <w:sz w:val="24"/>
          <w:szCs w:val="24"/>
        </w:rPr>
        <w:lastRenderedPageBreak/>
        <w:t>16. studenog 2018. u 11,30 sati u zgradi Trgovačkog suda u Zagrebu, Amruševa 2/II, soba broj broj 58/III – dvorišna zgrada,</w:t>
      </w:r>
    </w:p>
    <w:p w:rsidRDefault="002A6C06" w:rsidP="002A6C06" w:rsidR="002A6C06">
      <w:pPr>
        <w:jc w:val="both"/>
        <w:rPr>
          <w:sz w:val="24"/>
          <w:szCs w:val="24"/>
        </w:rPr>
      </w:pPr>
    </w:p>
    <w:p w:rsidRDefault="002A6C06" w:rsidP="002A6C06" w:rsidR="002A6C06">
      <w:pPr>
        <w:ind w:firstLine="283" w:left="720"/>
        <w:jc w:val="both"/>
        <w:rPr>
          <w:sz w:val="24"/>
          <w:szCs w:val="24"/>
        </w:rPr>
      </w:pPr>
      <w:r>
        <w:rPr>
          <w:sz w:val="24"/>
          <w:szCs w:val="24"/>
        </w:rPr>
        <w:t>na koje ročište se dostavom ovog zaključka pozivaju:</w:t>
      </w:r>
    </w:p>
    <w:p w:rsidRDefault="002A6C06" w:rsidP="002A6C06" w:rsidR="002A6C06">
      <w:pPr>
        <w:ind w:firstLine="283" w:left="720"/>
        <w:jc w:val="both"/>
        <w:rPr>
          <w:sz w:val="24"/>
          <w:szCs w:val="24"/>
        </w:rPr>
      </w:pPr>
      <w:r>
        <w:rPr>
          <w:sz w:val="24"/>
          <w:szCs w:val="24"/>
        </w:rPr>
        <w:t>- predlagatelj,</w:t>
      </w:r>
    </w:p>
    <w:p w:rsidRDefault="002A6C06" w:rsidP="002A6C06" w:rsidR="002A6C06">
      <w:pPr>
        <w:ind w:firstLine="283" w:left="720"/>
        <w:jc w:val="both"/>
        <w:rPr>
          <w:sz w:val="24"/>
          <w:szCs w:val="24"/>
        </w:rPr>
      </w:pPr>
      <w:r>
        <w:rPr>
          <w:sz w:val="24"/>
          <w:szCs w:val="24"/>
        </w:rPr>
        <w:t>- dužnik,</w:t>
      </w:r>
    </w:p>
    <w:p w:rsidRDefault="002A6C06" w:rsidP="002A6C06" w:rsidR="002A6C06">
      <w:pPr>
        <w:ind w:firstLine="283" w:left="720"/>
        <w:jc w:val="both"/>
        <w:rPr>
          <w:sz w:val="24"/>
          <w:szCs w:val="24"/>
        </w:rPr>
      </w:pPr>
      <w:r>
        <w:rPr>
          <w:sz w:val="24"/>
          <w:szCs w:val="24"/>
        </w:rPr>
        <w:t xml:space="preserve">- zastupnik po zakonu dužnika, </w:t>
      </w:r>
    </w:p>
    <w:p w:rsidRDefault="002A6C06" w:rsidP="002A6C06" w:rsidR="002A6C06">
      <w:pPr>
        <w:ind w:left="720"/>
        <w:jc w:val="both"/>
        <w:rPr>
          <w:rStyle w:val="Naglaeno"/>
          <w:b w:val="false"/>
        </w:rPr>
      </w:pPr>
      <w:r>
        <w:rPr>
          <w:sz w:val="24"/>
          <w:szCs w:val="24"/>
        </w:rPr>
        <w:t xml:space="preserve">- pravna osoba ovlaštena za obavljanje poslova platnog prometa za dužnika – Addiko bank d.d., </w:t>
      </w:r>
      <w:r>
        <w:rPr>
          <w:rStyle w:val="Naglaeno"/>
          <w:sz w:val="24"/>
          <w:szCs w:val="24"/>
        </w:rPr>
        <w:t>Raiffeisenbank Austria d.d</w:t>
      </w:r>
      <w:r>
        <w:rPr>
          <w:rStyle w:val="Naglaeno"/>
          <w:b w:val="false"/>
          <w:sz w:val="24"/>
          <w:szCs w:val="24"/>
        </w:rPr>
        <w:t>.</w:t>
      </w:r>
    </w:p>
    <w:p w:rsidRDefault="002A6C06" w:rsidP="002A6C06" w:rsidR="002A6C06">
      <w:pPr>
        <w:ind w:left="720"/>
        <w:jc w:val="both"/>
      </w:pPr>
      <w:r>
        <w:rPr>
          <w:sz w:val="24"/>
          <w:szCs w:val="24"/>
        </w:rPr>
        <w:t xml:space="preserve">  </w:t>
      </w:r>
    </w:p>
    <w:p w:rsidRDefault="002A6C06" w:rsidP="002A6C06" w:rsidR="002A6C06">
      <w:pPr>
        <w:ind w:left="720"/>
        <w:jc w:val="both"/>
        <w:rPr>
          <w:sz w:val="24"/>
          <w:szCs w:val="24"/>
        </w:rPr>
      </w:pPr>
      <w:r>
        <w:rPr>
          <w:sz w:val="24"/>
          <w:szCs w:val="24"/>
        </w:rPr>
        <w:t xml:space="preserve">VI. Pozvane osobe mogu se o prijedlogu i pisano očitovati. </w:t>
      </w:r>
    </w:p>
    <w:p w:rsidRDefault="002A6C06" w:rsidP="002A6C06" w:rsidR="002A6C06">
      <w:pPr>
        <w:ind w:firstLine="709"/>
        <w:jc w:val="both"/>
        <w:rPr>
          <w:sz w:val="24"/>
          <w:szCs w:val="24"/>
        </w:rPr>
      </w:pPr>
    </w:p>
    <w:p w:rsidRDefault="002A6C06" w:rsidP="002A6C06" w:rsidR="002A6C06">
      <w:pPr>
        <w:jc w:val="center"/>
        <w:rPr>
          <w:sz w:val="24"/>
          <w:szCs w:val="24"/>
        </w:rPr>
      </w:pPr>
      <w:r>
        <w:rPr>
          <w:sz w:val="24"/>
          <w:szCs w:val="24"/>
        </w:rPr>
        <w:t>Obrazloženje</w:t>
      </w:r>
    </w:p>
    <w:p w:rsidRDefault="002A6C06" w:rsidP="002A6C06" w:rsidR="002A6C06">
      <w:pPr>
        <w:jc w:val="both"/>
        <w:rPr>
          <w:sz w:val="24"/>
          <w:szCs w:val="24"/>
        </w:rPr>
      </w:pPr>
    </w:p>
    <w:p w:rsidRDefault="002A6C06" w:rsidP="002A6C06" w:rsidR="002A6C06">
      <w:pPr>
        <w:ind w:firstLine="708"/>
        <w:jc w:val="both"/>
        <w:rPr>
          <w:sz w:val="24"/>
          <w:szCs w:val="24"/>
          <w:lang w:val="pt-BR"/>
        </w:rPr>
      </w:pPr>
      <w:r>
        <w:rPr>
          <w:sz w:val="24"/>
          <w:szCs w:val="24"/>
        </w:rPr>
        <w:t>Financijska agencija, Regionalni centar Zagreb, podnijela je ovom sudu 10. kolovoza 2016. prijedlog za otvaranje stečajnog postupka nad dužnikom PRANJIĆ-PROMET d.o.o. OIB: 46417939469, Zagreb, Kopačevski Put 4</w:t>
      </w:r>
      <w:r>
        <w:rPr>
          <w:sz w:val="24"/>
          <w:szCs w:val="24"/>
          <w:lang w:val="pt-BR"/>
        </w:rPr>
        <w:t>.</w:t>
      </w:r>
    </w:p>
    <w:p w:rsidRDefault="002A6C06" w:rsidP="002A6C06" w:rsidR="002A6C06">
      <w:pPr>
        <w:ind w:firstLine="708"/>
        <w:jc w:val="both"/>
        <w:rPr>
          <w:sz w:val="24"/>
          <w:szCs w:val="24"/>
          <w:lang w:val="pt-BR"/>
        </w:rPr>
      </w:pPr>
    </w:p>
    <w:p w:rsidRDefault="002A6C06" w:rsidP="002A6C06" w:rsidR="002A6C06">
      <w:pPr>
        <w:ind w:firstLine="709"/>
        <w:jc w:val="both"/>
        <w:rPr>
          <w:sz w:val="24"/>
          <w:szCs w:val="24"/>
        </w:rPr>
      </w:pPr>
      <w:r>
        <w:rPr>
          <w:sz w:val="24"/>
          <w:szCs w:val="24"/>
        </w:rPr>
        <w:t>Prijedlog je podnesen na temelju odredbe čl. 110. st. 1. Stečajnog zakona („Narodne novine“ broj 71/15. i 104/17., dalje: SZ). Naime, prema odredbi čl. 110. st. 1. SZ Financijska agencija je dužna  podnijeti prijedlog za otvaranje stečajnog postupka ako pravna osoba u Očevidniku redoslijeda osnova za plaćanje ima evidentirane neizvršene osnove za plaćanje u neprekinutom razdoblju od 120 dana.</w:t>
      </w:r>
    </w:p>
    <w:p w:rsidRDefault="002A6C06" w:rsidP="002A6C06" w:rsidR="002A6C06">
      <w:pPr>
        <w:ind w:firstLine="709"/>
        <w:jc w:val="both"/>
        <w:rPr>
          <w:sz w:val="24"/>
          <w:szCs w:val="24"/>
        </w:rPr>
      </w:pPr>
    </w:p>
    <w:p w:rsidRDefault="002A6C06" w:rsidP="002A6C06" w:rsidR="002A6C06">
      <w:pPr>
        <w:ind w:firstLine="709"/>
        <w:jc w:val="both"/>
        <w:rPr>
          <w:sz w:val="24"/>
          <w:szCs w:val="24"/>
        </w:rPr>
      </w:pPr>
      <w:r>
        <w:rPr>
          <w:sz w:val="24"/>
          <w:szCs w:val="24"/>
        </w:rPr>
        <w:t>Financijska agencija, kao predlagatelj, u prijedlogu za otvaranje stečajnog postupka navela je da dužnik na dan 7. srpnja 2016. u Očevidniku redoslijeda osnova za plaćanje ima evidentirane neizvršene osnove za plaćanje u neprekinutom razdoblju od 120 dana, u ukupnom iznosu od 9.240.714,11 kn, kao i da dužnik ima 1 zaposlenog. Također, uvidom u prijedlog za otvaranje stečajnog postupka utvrđeno je da dužnik nema zaplijenjena novčana sredstva.</w:t>
      </w:r>
    </w:p>
    <w:p w:rsidRDefault="002A6C06" w:rsidP="002A6C06" w:rsidR="002A6C06">
      <w:pPr>
        <w:ind w:firstLine="709"/>
        <w:jc w:val="both"/>
        <w:rPr>
          <w:sz w:val="24"/>
          <w:szCs w:val="24"/>
        </w:rPr>
      </w:pPr>
    </w:p>
    <w:p w:rsidRDefault="002A6C06" w:rsidP="002A6C06" w:rsidR="002A6C06">
      <w:pPr>
        <w:ind w:firstLine="709"/>
        <w:jc w:val="both"/>
        <w:rPr>
          <w:sz w:val="24"/>
          <w:szCs w:val="24"/>
          <w:lang w:val="en-GB"/>
        </w:rPr>
      </w:pPr>
      <w:r>
        <w:rPr>
          <w:sz w:val="24"/>
          <w:szCs w:val="24"/>
          <w:lang w:val="en-GB"/>
        </w:rPr>
        <w:t xml:space="preserve">S obzirom na to da predlagatelj vodi Očevidnik redoslijeda osnova za plaćanje, sud je prihvatio  predlagateljeve tvrdnje o neprekinutom razdoblju evidentiranih neizvršenih osnova za plaćanje koji su zavedeni u Očevidniku  redoslijeda osnova za plaćanje. </w:t>
      </w:r>
    </w:p>
    <w:p w:rsidRDefault="002A6C06" w:rsidP="002A6C06" w:rsidR="002A6C06">
      <w:pPr>
        <w:ind w:firstLine="709"/>
        <w:jc w:val="both"/>
        <w:rPr>
          <w:sz w:val="24"/>
          <w:szCs w:val="24"/>
          <w:lang w:val="en-GB"/>
        </w:rPr>
      </w:pPr>
    </w:p>
    <w:p w:rsidRDefault="002A6C06" w:rsidP="002A6C06" w:rsidR="002A6C06">
      <w:pPr>
        <w:ind w:firstLine="708"/>
        <w:jc w:val="both"/>
        <w:rPr>
          <w:sz w:val="24"/>
          <w:szCs w:val="24"/>
        </w:rPr>
      </w:pPr>
      <w:r>
        <w:rPr>
          <w:sz w:val="24"/>
          <w:szCs w:val="24"/>
          <w:lang w:val="en-GB"/>
        </w:rPr>
        <w:t>Sukladno odredbi čl. 11 st. 3 SZ sud</w:t>
      </w:r>
      <w:r>
        <w:rPr>
          <w:sz w:val="24"/>
          <w:szCs w:val="24"/>
        </w:rPr>
        <w:t xml:space="preserve"> po službenoj dužnosti utvrđuje sve činjenice koje su važne za predstečajni i stečajni postupak te radi toga može izvoditi sve potrebne dokaze. </w:t>
      </w:r>
    </w:p>
    <w:p w:rsidRDefault="002A6C06" w:rsidP="002A6C06" w:rsidR="002A6C06">
      <w:pPr>
        <w:ind w:firstLine="708"/>
        <w:jc w:val="both"/>
        <w:rPr>
          <w:sz w:val="24"/>
          <w:szCs w:val="24"/>
        </w:rPr>
      </w:pPr>
    </w:p>
    <w:p w:rsidRDefault="002A6C06" w:rsidP="002A6C06" w:rsidR="002A6C06">
      <w:pPr>
        <w:ind w:firstLine="708"/>
        <w:jc w:val="both"/>
        <w:rPr>
          <w:sz w:val="24"/>
          <w:szCs w:val="24"/>
        </w:rPr>
      </w:pPr>
      <w:r>
        <w:rPr>
          <w:sz w:val="24"/>
          <w:szCs w:val="24"/>
        </w:rPr>
        <w:t>Stoga je sud uvidom u Zajednički informacijski sustav zemljišnih knjiga i katastra od 3. listopada 2018. (list 7. spisa) utvrdio da dužnik vlasnik nekretnine upisane u zk.ul.5382 k.o. Vrapče novo.</w:t>
      </w:r>
    </w:p>
    <w:p w:rsidRDefault="002A6C06" w:rsidP="002A6C06" w:rsidR="002A6C06">
      <w:pPr>
        <w:ind w:firstLine="708"/>
        <w:jc w:val="both"/>
        <w:rPr>
          <w:sz w:val="24"/>
          <w:szCs w:val="24"/>
        </w:rPr>
      </w:pPr>
    </w:p>
    <w:p w:rsidRDefault="002A6C06" w:rsidP="002A6C06" w:rsidR="002A6C06">
      <w:pPr>
        <w:ind w:firstLine="708"/>
        <w:jc w:val="both"/>
        <w:rPr>
          <w:sz w:val="24"/>
          <w:szCs w:val="24"/>
        </w:rPr>
      </w:pPr>
      <w:r>
        <w:rPr>
          <w:sz w:val="24"/>
          <w:szCs w:val="24"/>
        </w:rPr>
        <w:t>Prema odredbi čl. 115. st. 1. SZ sud na temelju prijedloga za otvaranje stečajnoga postupka donosi rješenje o pokretanju prethodnoga postupka radi utvrđivanja pretpostavki za otvaranje stečajnoga postupka (prethodni postupak).</w:t>
      </w:r>
    </w:p>
    <w:p w:rsidRDefault="002A6C06" w:rsidP="002A6C06" w:rsidR="002A6C06">
      <w:pPr>
        <w:ind w:firstLine="708"/>
        <w:jc w:val="both"/>
        <w:rPr>
          <w:sz w:val="24"/>
          <w:szCs w:val="24"/>
        </w:rPr>
      </w:pPr>
    </w:p>
    <w:p w:rsidRDefault="002A6C06" w:rsidP="002A6C06" w:rsidR="002A6C06">
      <w:pPr>
        <w:ind w:firstLine="709"/>
        <w:jc w:val="both"/>
        <w:rPr>
          <w:sz w:val="24"/>
          <w:szCs w:val="24"/>
        </w:rPr>
      </w:pPr>
      <w:r>
        <w:rPr>
          <w:sz w:val="24"/>
          <w:szCs w:val="24"/>
        </w:rPr>
        <w:t>S obzirom na to da iz predlagateljevih navoda proizlazi kako dužnik ima evidentirane neizvršene osnove za plaćanje u neprekinutom razdoblju od 120 dana, sud je na temelju odredbe čl. 110. st. 1. i 115. st. 1. SZ riješio kao u izreci ovog rješenja.</w:t>
      </w:r>
    </w:p>
    <w:p w:rsidRDefault="002A6C06" w:rsidP="002A6C06" w:rsidR="002A6C06">
      <w:pPr>
        <w:jc w:val="both"/>
        <w:rPr>
          <w:sz w:val="24"/>
          <w:szCs w:val="24"/>
        </w:rPr>
      </w:pPr>
    </w:p>
    <w:p w:rsidRDefault="002A6C06" w:rsidP="002A6C06" w:rsidR="002A6C06">
      <w:pPr>
        <w:ind w:firstLine="709"/>
        <w:jc w:val="both"/>
        <w:rPr>
          <w:sz w:val="24"/>
          <w:szCs w:val="24"/>
        </w:rPr>
      </w:pPr>
      <w:r>
        <w:rPr>
          <w:sz w:val="24"/>
          <w:szCs w:val="24"/>
        </w:rPr>
        <w:lastRenderedPageBreak/>
        <w:t>Nadalje, prema odredbi čl. 117. st. 1. SZ osobe ovlaštene za zastupanje dužnika po zakonu dužne su nakon podnošenja prijedloga za otvaranje stečajnog postupka stečajnim tijelima na njihov zahtjev, bez odgode, pružiti sve potrebne podatke i obavijesti, a prema odredbi stavka 2. tog članka sud može zaključkom narediti stečajnom dužniku, odnosno osobi ovlaštenoj za zastupanje dužnika po zakonu da u određenom trenutku preda izvješće o financijsko-gospodarskom stanju.</w:t>
      </w:r>
    </w:p>
    <w:p w:rsidRDefault="002A6C06" w:rsidP="002A6C06" w:rsidR="002A6C06">
      <w:pPr>
        <w:ind w:firstLine="709"/>
        <w:jc w:val="both"/>
        <w:rPr>
          <w:sz w:val="24"/>
          <w:szCs w:val="24"/>
        </w:rPr>
      </w:pPr>
    </w:p>
    <w:p w:rsidRDefault="002A6C06" w:rsidP="002A6C06" w:rsidR="002A6C06">
      <w:pPr>
        <w:ind w:firstLine="720"/>
        <w:jc w:val="both"/>
        <w:rPr>
          <w:sz w:val="24"/>
          <w:szCs w:val="24"/>
        </w:rPr>
      </w:pPr>
      <w:r>
        <w:rPr>
          <w:sz w:val="24"/>
          <w:szCs w:val="24"/>
        </w:rPr>
        <w:t>Imajući u vidu činjenicu da sud, na temelju navoda iz prijedloga za otvaranje stečajnog postupka, odnosno iz drugih javno dostupnih podataka, nije mogao utvrditi imovinu dužnika, naređeno je, po osnovi čl. 117. st. 1. i. 2. SZ, osobi ovlaštenoj za zastupanje dužnika dostaviti izvješće o financijsko-gospodarskom stanju dužnika, u kojem će biti navedena cjelokupna imovina dužnika (točka. I. zaključka).</w:t>
      </w:r>
    </w:p>
    <w:p w:rsidRDefault="002A6C06" w:rsidP="002A6C06" w:rsidR="002A6C06">
      <w:pPr>
        <w:ind w:firstLine="720"/>
        <w:jc w:val="both"/>
        <w:rPr>
          <w:sz w:val="24"/>
          <w:szCs w:val="24"/>
        </w:rPr>
      </w:pPr>
    </w:p>
    <w:p w:rsidRDefault="002A6C06" w:rsidP="002A6C06" w:rsidR="002A6C06">
      <w:pPr>
        <w:ind w:firstLine="720"/>
        <w:jc w:val="both"/>
        <w:rPr>
          <w:sz w:val="24"/>
          <w:szCs w:val="24"/>
        </w:rPr>
      </w:pPr>
      <w:r>
        <w:rPr>
          <w:sz w:val="24"/>
          <w:szCs w:val="24"/>
        </w:rPr>
        <w:t>Odluka iz točke II. izreke zaključka donesena je na temelju odredbi čl. 117. st. 1., 2. i  6. SZ u vezi s čl. 177., 178. i 180. SZ, točka III. izreke zaključka utemeljena je na odredbi čl. 117. st. 3. SZ, a odluka iz točke IV. izreke zaključka donesena je na temelju odredbe čl. 117. st. 4. SZ.</w:t>
      </w:r>
    </w:p>
    <w:p w:rsidRDefault="002A6C06" w:rsidP="002A6C06" w:rsidR="002A6C06">
      <w:pPr>
        <w:ind w:firstLine="720"/>
        <w:jc w:val="both"/>
        <w:rPr>
          <w:sz w:val="24"/>
          <w:szCs w:val="24"/>
        </w:rPr>
      </w:pPr>
      <w:r>
        <w:rPr>
          <w:sz w:val="24"/>
          <w:szCs w:val="24"/>
        </w:rPr>
        <w:t xml:space="preserve"> </w:t>
      </w:r>
    </w:p>
    <w:p w:rsidRDefault="002A6C06" w:rsidP="002A6C06" w:rsidR="002A6C06">
      <w:pPr>
        <w:ind w:firstLine="709"/>
        <w:jc w:val="both"/>
        <w:rPr>
          <w:sz w:val="24"/>
          <w:szCs w:val="24"/>
        </w:rPr>
      </w:pPr>
      <w:r>
        <w:rPr>
          <w:sz w:val="24"/>
          <w:szCs w:val="24"/>
        </w:rPr>
        <w:t xml:space="preserve"> Prema odredbi čl. 123. st. 1. SZ u rješenju o pokretanju prethodnog postupka sud će odmah zakazati ročište (radi očitovanja o prijedlogu za otvaranje stečajnog postupka) na koje će pozvati osobe ovlaštene za zastupanje dužnika po zakonu, odnosno dužnika pojedinca, podnositelja prijedloga, pravne osobe koje za dužnika obavljaju poslove platnog prometa, privremenog stečajnog upravitelja, a prema potrebi i druge osobe.</w:t>
      </w:r>
    </w:p>
    <w:p w:rsidRDefault="002A6C06" w:rsidP="002A6C06" w:rsidR="002A6C06">
      <w:pPr>
        <w:ind w:firstLine="709"/>
        <w:jc w:val="both"/>
        <w:rPr>
          <w:sz w:val="24"/>
          <w:szCs w:val="24"/>
        </w:rPr>
      </w:pPr>
    </w:p>
    <w:p w:rsidRDefault="002A6C06" w:rsidP="002A6C06" w:rsidR="002A6C06">
      <w:pPr>
        <w:ind w:firstLine="709"/>
        <w:jc w:val="both"/>
        <w:rPr>
          <w:sz w:val="24"/>
          <w:szCs w:val="24"/>
        </w:rPr>
      </w:pPr>
      <w:r>
        <w:rPr>
          <w:sz w:val="24"/>
          <w:szCs w:val="24"/>
        </w:rPr>
        <w:t>Slijedom navedenog, sud je temelju čl. 123. st. 1. SZ zakazao ročište radi očitovanja  o prijedlogu za otvaranje stečajnog postupka (točka V. zaključka). Osobe koje su pozvane na navedeno ročište o prijedlogu se mogu očitovati i pisano (čl. 123. st. 2. SZ).</w:t>
      </w:r>
    </w:p>
    <w:p w:rsidRDefault="002A6C06" w:rsidP="002A6C06" w:rsidR="002A6C06">
      <w:pPr>
        <w:jc w:val="both"/>
        <w:rPr>
          <w:sz w:val="24"/>
          <w:szCs w:val="24"/>
        </w:rPr>
      </w:pPr>
    </w:p>
    <w:p w:rsidRDefault="002A6C06" w:rsidP="002A6C06" w:rsidR="002A6C06">
      <w:pPr>
        <w:ind w:firstLine="720"/>
        <w:jc w:val="center"/>
        <w:rPr>
          <w:sz w:val="24"/>
          <w:szCs w:val="24"/>
        </w:rPr>
      </w:pPr>
      <w:r>
        <w:rPr>
          <w:sz w:val="24"/>
          <w:szCs w:val="24"/>
        </w:rPr>
        <w:t>U Zagrebu 19. listopada 2018.</w:t>
      </w:r>
    </w:p>
    <w:p w:rsidRDefault="002A6C06" w:rsidP="002A6C06" w:rsidR="002A6C06">
      <w:pPr>
        <w:ind w:firstLine="720"/>
        <w:jc w:val="center"/>
        <w:rPr>
          <w:sz w:val="24"/>
          <w:szCs w:val="24"/>
        </w:rPr>
      </w:pPr>
    </w:p>
    <w:p w:rsidRDefault="002A6C06" w:rsidP="002A6C06" w:rsidR="002A6C06">
      <w:pPr>
        <w:tabs>
          <w:tab w:pos="5100" w:val="left"/>
        </w:tabs>
        <w:ind w:firstLine="720"/>
        <w:jc w:val="right"/>
        <w:rPr>
          <w:sz w:val="24"/>
          <w:szCs w:val="24"/>
        </w:rPr>
      </w:pPr>
      <w:r>
        <w:rPr>
          <w:sz w:val="24"/>
          <w:szCs w:val="24"/>
        </w:rPr>
        <w:tab/>
        <w:t>Sudac:</w:t>
      </w:r>
    </w:p>
    <w:p w:rsidRDefault="002A6C06" w:rsidP="002A6C06" w:rsidR="002A6C06">
      <w:pPr>
        <w:ind w:left="5040"/>
        <w:jc w:val="right"/>
        <w:rPr>
          <w:sz w:val="24"/>
          <w:szCs w:val="24"/>
        </w:rPr>
      </w:pPr>
      <w:r>
        <w:rPr>
          <w:sz w:val="24"/>
          <w:szCs w:val="24"/>
        </w:rPr>
        <w:t xml:space="preserve"> Dina Jellin,v.r. </w:t>
      </w:r>
    </w:p>
    <w:p w:rsidRDefault="002A6C06" w:rsidP="002A6C06" w:rsidR="002A6C06">
      <w:pPr>
        <w:jc w:val="right"/>
        <w:rPr>
          <w:sz w:val="24"/>
          <w:szCs w:val="24"/>
        </w:rPr>
      </w:pPr>
    </w:p>
    <w:p w:rsidRDefault="002A6C06" w:rsidP="002A6C06" w:rsidR="002A6C06">
      <w:pPr>
        <w:jc w:val="both"/>
        <w:rPr>
          <w:sz w:val="24"/>
          <w:szCs w:val="24"/>
        </w:rPr>
      </w:pPr>
      <w:r>
        <w:rPr>
          <w:sz w:val="24"/>
          <w:szCs w:val="24"/>
        </w:rPr>
        <w:t>Uputa o pravnom lijeku:</w:t>
      </w:r>
    </w:p>
    <w:p w:rsidRDefault="002A6C06" w:rsidP="002A6C06" w:rsidR="002A6C06">
      <w:pPr>
        <w:jc w:val="both"/>
        <w:rPr>
          <w:sz w:val="24"/>
          <w:szCs w:val="24"/>
        </w:rPr>
      </w:pPr>
      <w:r>
        <w:rPr>
          <w:sz w:val="24"/>
          <w:szCs w:val="24"/>
        </w:rPr>
        <w:t>Protiv ovog rješenja nije dopuštena žalba (čl. 115. st. 1. SZ)</w:t>
      </w:r>
    </w:p>
    <w:p w:rsidRDefault="002A6C06" w:rsidP="002A6C06" w:rsidR="002A6C06">
      <w:pPr>
        <w:jc w:val="both"/>
        <w:rPr>
          <w:sz w:val="24"/>
          <w:szCs w:val="24"/>
        </w:rPr>
      </w:pPr>
      <w:r>
        <w:rPr>
          <w:sz w:val="24"/>
          <w:szCs w:val="24"/>
        </w:rPr>
        <w:t>Protiv zaključka žalba nije dopuštena (čl. 19. st. 7. SZ)</w:t>
      </w:r>
    </w:p>
    <w:p w:rsidRDefault="002A6C06" w:rsidP="002A6C06" w:rsidR="002A6C06">
      <w:pPr>
        <w:jc w:val="both"/>
        <w:rPr>
          <w:sz w:val="24"/>
          <w:szCs w:val="24"/>
        </w:rPr>
      </w:pPr>
    </w:p>
    <w:p w:rsidRDefault="002A6C06" w:rsidP="002A6C06" w:rsidR="002A6C06">
      <w:pPr>
        <w:jc w:val="right"/>
      </w:pPr>
    </w:p>
    <w:p w:rsidRDefault="002A6C06" w:rsidP="002A6C06" w:rsidR="002A6C06">
      <w:pPr>
        <w:jc w:val="both"/>
      </w:pPr>
      <w:r>
        <w:t>Za točnost otpravka-ovlašteni službenik</w:t>
      </w:r>
    </w:p>
    <w:p w:rsidRDefault="002A6C06" w:rsidP="002A6C06" w:rsidR="002A6C06">
      <w:pPr>
        <w:jc w:val="both"/>
      </w:pPr>
      <w:r>
        <w:t xml:space="preserve">Ljubica Radošević </w:t>
      </w:r>
    </w:p>
    <w:p w:rsidRDefault="002A6C06" w:rsidP="002A6C06" w:rsidR="002A6C06">
      <w:pPr>
        <w:rPr>
          <w:sz w:val="24"/>
          <w:szCs w:val="24"/>
        </w:rPr>
      </w:pPr>
    </w:p>
    <w:p w:rsidRDefault="00E974C7" w:rsidP="002A6C06" w:rsidR="00E974C7" w:rsidRPr="002A6C06"/>
    <w:sectPr w:rsidSect="001036B3" w:rsidR="00E974C7" w:rsidRPr="002A6C06">
      <w:headerReference w:type="default" r:id="rId10"/>
      <w:pgSz w:h="16838" w:w="11906"/>
      <w:pgMar w:gutter="0" w:footer="708" w:header="708" w:left="1417" w:bottom="1417" w:right="1417" w:top="1417"/>
      <w:cols w:space="708"/>
      <w:titlePg/>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1036B3" w:rsidP="001036B3" w:rsidR="001036B3">
      <w:r>
        <w:separator/>
      </w:r>
    </w:p>
  </w:endnote>
  <w:endnote w:id="0" w:type="continuationSeparator">
    <w:p w:rsidRDefault="001036B3" w:rsidP="001036B3" w:rsidR="001036B3">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Calibri Light">
    <w:panose1 w:val="020F0302020204030204"/>
    <w:charset w:val="EE"/>
    <w:family w:val="swiss"/>
    <w:pitch w:val="variable"/>
    <w:sig w:csb1="00000000" w:csb0="0000019F" w:usb3="00000000" w:usb2="00000000" w:usb1="4000207B" w:usb0="A00002EF"/>
  </w:font>
  <w:font w:name="Arial">
    <w:panose1 w:val="020B0604020202020204"/>
    <w:charset w:val="EE"/>
    <w:family w:val="swiss"/>
    <w:pitch w:val="variable"/>
    <w:sig w:csb1="00000000" w:csb0="000001FF" w:usb3="00000000" w:usb2="00000009" w:usb1="C0007843" w:usb0="E0002AFF"/>
  </w:font>
  <w:font w:name="Tahoma">
    <w:panose1 w:val="020B0604030504040204"/>
    <w:charset w:val="EE"/>
    <w:family w:val="swiss"/>
    <w:pitch w:val="variable"/>
    <w:sig w:csb1="00000000" w:csb0="000101FF" w:usb3="00000000" w:usb2="00000029" w:usb1="C000605B" w:usb0="E1002EFF"/>
  </w:font>
  <w:font w:name="raiffeisen_ro_boldbold">
    <w:altName w:val="Times New Roman"/>
    <w:panose1 w:val="00000000000000000000"/>
    <w:charset w:val="00"/>
    <w:family w:val="roman"/>
    <w:notTrueType/>
    <w:pitch w:val="default"/>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1036B3" w:rsidP="001036B3" w:rsidR="001036B3">
      <w:r>
        <w:separator/>
      </w:r>
    </w:p>
  </w:footnote>
  <w:footnote w:id="0" w:type="continuationSeparator">
    <w:p w:rsidRDefault="001036B3" w:rsidP="001036B3" w:rsidR="001036B3">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2A6C06" w:rsidP="00A94101" w:rsidR="00A94101" w:rsidRPr="0064266C">
    <w:pPr>
      <w:pStyle w:val="Zaglavlje"/>
      <w:jc w:val="right"/>
    </w:pPr>
    <w:sdt>
      <w:sdtPr>
        <w:id w:val="-809632938"/>
        <w:docPartObj>
          <w:docPartGallery w:val="Page Numbers (Top of Page)"/>
          <w:docPartUnique/>
        </w:docPartObj>
      </w:sdtPr>
      <w:sdtEndPr>
        <w:rPr>
          <w:sz w:val="24"/>
          <w:szCs w:val="24"/>
        </w:rPr>
      </w:sdtEndPr>
      <w:sdtContent>
        <w:r w:rsidR="00A94101">
          <w:t xml:space="preserve">                                             </w:t>
        </w:r>
        <w:r w:rsidR="00A94101" w:rsidRPr="00394534">
          <w:rPr>
            <w:sz w:val="24"/>
            <w:szCs w:val="24"/>
          </w:rPr>
          <w:fldChar w:fldCharType="begin"/>
        </w:r>
        <w:r w:rsidR="00A94101" w:rsidRPr="00394534">
          <w:rPr>
            <w:sz w:val="24"/>
            <w:szCs w:val="24"/>
          </w:rPr>
          <w:instrText>PAGE   \* MERGEFORMAT</w:instrText>
        </w:r>
        <w:r w:rsidR="00A94101" w:rsidRPr="00394534">
          <w:rPr>
            <w:sz w:val="24"/>
            <w:szCs w:val="24"/>
          </w:rPr>
          <w:fldChar w:fldCharType="separate"/>
        </w:r>
        <w:r>
          <w:rPr>
            <w:noProof/>
            <w:sz w:val="24"/>
            <w:szCs w:val="24"/>
          </w:rPr>
          <w:t>3</w:t>
        </w:r>
        <w:r w:rsidR="00A94101" w:rsidRPr="00394534">
          <w:rPr>
            <w:sz w:val="24"/>
            <w:szCs w:val="24"/>
          </w:rPr>
          <w:fldChar w:fldCharType="end"/>
        </w:r>
      </w:sdtContent>
    </w:sdt>
    <w:r w:rsidR="00A94101">
      <w:rPr>
        <w:sz w:val="24"/>
        <w:szCs w:val="24"/>
      </w:rPr>
      <w:tab/>
      <w:t xml:space="preserve">                                                   </w:t>
    </w:r>
    <w:r w:rsidR="00E04A22" w:rsidRPr="00A94101">
      <w:rPr>
        <w:sz w:val="24"/>
        <w:szCs w:val="24"/>
      </w:rPr>
      <w:t>16.</w:t>
    </w:r>
    <w:r w:rsidR="00E04A22" w:rsidRPr="00A94101">
      <w:rPr>
        <w:b/>
        <w:sz w:val="24"/>
        <w:szCs w:val="24"/>
      </w:rPr>
      <w:t xml:space="preserve"> </w:t>
    </w:r>
    <w:r w:rsidR="00E04A22" w:rsidRPr="00A94101">
      <w:rPr>
        <w:sz w:val="24"/>
        <w:szCs w:val="24"/>
      </w:rPr>
      <w:t>St-</w:t>
    </w:r>
    <w:r w:rsidR="00E04A22">
      <w:rPr>
        <w:sz w:val="24"/>
        <w:szCs w:val="24"/>
      </w:rPr>
      <w:t>5442/16-5</w:t>
    </w:r>
  </w:p>
  <w:p w:rsidRDefault="001036B3" w:rsidP="001036B3" w:rsidR="001036B3">
    <w:pPr>
      <w:pStyle w:val="Zaglavlje"/>
      <w:jc w:val="right"/>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FC645F8"/>
    <w:multiLevelType w:val="hybridMultilevel"/>
    <w:tmpl w:val="0F16042E"/>
    <w:lvl w:tplc="A8FAF838" w:ilvl="0">
      <w:start w:val="1"/>
      <w:numFmt w:val="upperRoman"/>
      <w:lvlText w:val="%1."/>
      <w:lvlJc w:val="right"/>
      <w:pPr>
        <w:tabs>
          <w:tab w:pos="540" w:val="num"/>
        </w:tabs>
        <w:ind w:hanging="180" w:left="540"/>
      </w:pPr>
      <w:rPr>
        <w:rFonts w:hint="default"/>
        <w:b w:val="false"/>
        <w:bCs/>
      </w:rPr>
    </w:lvl>
    <w:lvl w:tentative="true" w:tplc="041A0019" w:ilvl="1">
      <w:start w:val="1"/>
      <w:numFmt w:val="lowerLetter"/>
      <w:lvlText w:val="%2."/>
      <w:lvlJc w:val="left"/>
      <w:pPr>
        <w:tabs>
          <w:tab w:pos="1440" w:val="num"/>
        </w:tabs>
        <w:ind w:hanging="360" w:left="1440"/>
      </w:pPr>
    </w:lvl>
    <w:lvl w:tentative="true" w:tplc="041A001B" w:ilvl="2">
      <w:start w:val="1"/>
      <w:numFmt w:val="lowerRoman"/>
      <w:lvlText w:val="%3."/>
      <w:lvlJc w:val="right"/>
      <w:pPr>
        <w:tabs>
          <w:tab w:pos="2160" w:val="num"/>
        </w:tabs>
        <w:ind w:hanging="180" w:left="2160"/>
      </w:pPr>
    </w:lvl>
    <w:lvl w:tentative="true" w:tplc="041A000F" w:ilvl="3">
      <w:start w:val="1"/>
      <w:numFmt w:val="decimal"/>
      <w:lvlText w:val="%4."/>
      <w:lvlJc w:val="left"/>
      <w:pPr>
        <w:tabs>
          <w:tab w:pos="2880" w:val="num"/>
        </w:tabs>
        <w:ind w:hanging="360" w:left="2880"/>
      </w:pPr>
    </w:lvl>
    <w:lvl w:tentative="true" w:tplc="041A0019" w:ilvl="4">
      <w:start w:val="1"/>
      <w:numFmt w:val="lowerLetter"/>
      <w:lvlText w:val="%5."/>
      <w:lvlJc w:val="left"/>
      <w:pPr>
        <w:tabs>
          <w:tab w:pos="3600" w:val="num"/>
        </w:tabs>
        <w:ind w:hanging="360" w:left="3600"/>
      </w:pPr>
    </w:lvl>
    <w:lvl w:tentative="true" w:tplc="041A001B" w:ilvl="5">
      <w:start w:val="1"/>
      <w:numFmt w:val="lowerRoman"/>
      <w:lvlText w:val="%6."/>
      <w:lvlJc w:val="right"/>
      <w:pPr>
        <w:tabs>
          <w:tab w:pos="4320" w:val="num"/>
        </w:tabs>
        <w:ind w:hanging="180" w:left="4320"/>
      </w:pPr>
    </w:lvl>
    <w:lvl w:tentative="true" w:tplc="041A000F" w:ilvl="6">
      <w:start w:val="1"/>
      <w:numFmt w:val="decimal"/>
      <w:lvlText w:val="%7."/>
      <w:lvlJc w:val="left"/>
      <w:pPr>
        <w:tabs>
          <w:tab w:pos="5040" w:val="num"/>
        </w:tabs>
        <w:ind w:hanging="360" w:left="5040"/>
      </w:pPr>
    </w:lvl>
    <w:lvl w:tentative="true" w:tplc="041A0019" w:ilvl="7">
      <w:start w:val="1"/>
      <w:numFmt w:val="lowerLetter"/>
      <w:lvlText w:val="%8."/>
      <w:lvlJc w:val="left"/>
      <w:pPr>
        <w:tabs>
          <w:tab w:pos="5760" w:val="num"/>
        </w:tabs>
        <w:ind w:hanging="360" w:left="5760"/>
      </w:pPr>
    </w:lvl>
    <w:lvl w:tentative="true" w:tplc="041A001B" w:ilvl="8">
      <w:start w:val="1"/>
      <w:numFmt w:val="lowerRoman"/>
      <w:lvlText w:val="%9."/>
      <w:lvlJc w:val="right"/>
      <w:pPr>
        <w:tabs>
          <w:tab w:pos="6480" w:val="num"/>
        </w:tabs>
        <w:ind w:hanging="180" w:left="6480"/>
      </w:pPr>
    </w:lvl>
  </w:abstractNum>
  <w:abstractNum w:abstractNumId="1">
    <w:nsid w:val="11C43C3B"/>
    <w:multiLevelType w:val="hybridMultilevel"/>
    <w:tmpl w:val="7124F28A"/>
    <w:lvl w:tplc="2E44510A" w:ilvl="0">
      <w:start w:val="2"/>
      <w:numFmt w:val="bullet"/>
      <w:lvlText w:val="-"/>
      <w:lvlJc w:val="left"/>
      <w:pPr>
        <w:tabs>
          <w:tab w:pos="720" w:val="num"/>
        </w:tabs>
        <w:ind w:hanging="360" w:left="720"/>
      </w:pPr>
      <w:rPr>
        <w:rFonts w:cs="Times New Roman" w:eastAsia="Times New Roman" w:hAnsi="Times New Roman" w:ascii="Times New Roman" w:hint="default"/>
      </w:rPr>
    </w:lvl>
    <w:lvl w:tentative="true" w:tplc="041A0003" w:ilvl="1">
      <w:start w:val="1"/>
      <w:numFmt w:val="bullet"/>
      <w:lvlText w:val="o"/>
      <w:lvlJc w:val="left"/>
      <w:pPr>
        <w:tabs>
          <w:tab w:pos="1440" w:val="num"/>
        </w:tabs>
        <w:ind w:hanging="360" w:left="1440"/>
      </w:pPr>
      <w:rPr>
        <w:rFonts w:cs="Courier New" w:hAnsi="Courier New" w:ascii="Courier New"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2">
    <w:nsid w:val="18F64BA9"/>
    <w:multiLevelType w:val="hybridMultilevel"/>
    <w:tmpl w:val="294EFFE6"/>
    <w:lvl w:tplc="24D45730" w:ilvl="0">
      <w:start w:val="1"/>
      <w:numFmt w:val="upperRoman"/>
      <w:lvlText w:val="%1."/>
      <w:lvlJc w:val="left"/>
      <w:pPr>
        <w:ind w:hanging="720" w:left="1080"/>
      </w:pPr>
      <w:rPr>
        <w:rFonts w:hint="default"/>
        <w:b w:val="false"/>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3">
    <w:nsid w:val="66E06C53"/>
    <w:multiLevelType w:val="hybridMultilevel"/>
    <w:tmpl w:val="21DC4DF0"/>
    <w:lvl w:tplc="A922147C" w:ilvl="0">
      <w:start w:val="1"/>
      <w:numFmt w:val="decimal"/>
      <w:lvlText w:val="%1."/>
      <w:lvlJc w:val="left"/>
      <w:pPr>
        <w:tabs>
          <w:tab w:pos="360" w:val="num"/>
        </w:tabs>
        <w:ind w:hanging="360" w:left="360"/>
      </w:pPr>
    </w:lvl>
    <w:lvl w:tplc="041A0019" w:ilvl="1">
      <w:start w:val="1"/>
      <w:numFmt w:val="lowerLetter"/>
      <w:lvlText w:val="%2."/>
      <w:lvlJc w:val="left"/>
      <w:pPr>
        <w:tabs>
          <w:tab w:pos="2083" w:val="num"/>
        </w:tabs>
        <w:ind w:hanging="360" w:left="2083"/>
      </w:pPr>
    </w:lvl>
    <w:lvl w:tplc="041A001B" w:ilvl="2">
      <w:start w:val="1"/>
      <w:numFmt w:val="lowerRoman"/>
      <w:lvlText w:val="%3."/>
      <w:lvlJc w:val="right"/>
      <w:pPr>
        <w:tabs>
          <w:tab w:pos="2803" w:val="num"/>
        </w:tabs>
        <w:ind w:hanging="180" w:left="2803"/>
      </w:pPr>
    </w:lvl>
    <w:lvl w:tplc="041A000F" w:ilvl="3">
      <w:start w:val="1"/>
      <w:numFmt w:val="decimal"/>
      <w:lvlText w:val="%4."/>
      <w:lvlJc w:val="left"/>
      <w:pPr>
        <w:tabs>
          <w:tab w:pos="3523" w:val="num"/>
        </w:tabs>
        <w:ind w:hanging="360" w:left="3523"/>
      </w:pPr>
    </w:lvl>
    <w:lvl w:tplc="041A0019" w:ilvl="4">
      <w:start w:val="1"/>
      <w:numFmt w:val="lowerLetter"/>
      <w:lvlText w:val="%5."/>
      <w:lvlJc w:val="left"/>
      <w:pPr>
        <w:tabs>
          <w:tab w:pos="4243" w:val="num"/>
        </w:tabs>
        <w:ind w:hanging="360" w:left="4243"/>
      </w:pPr>
    </w:lvl>
    <w:lvl w:tplc="041A001B" w:ilvl="5">
      <w:start w:val="1"/>
      <w:numFmt w:val="lowerRoman"/>
      <w:lvlText w:val="%6."/>
      <w:lvlJc w:val="right"/>
      <w:pPr>
        <w:tabs>
          <w:tab w:pos="4963" w:val="num"/>
        </w:tabs>
        <w:ind w:hanging="180" w:left="4963"/>
      </w:pPr>
    </w:lvl>
    <w:lvl w:tplc="041A000F" w:ilvl="6">
      <w:start w:val="1"/>
      <w:numFmt w:val="decimal"/>
      <w:lvlText w:val="%7."/>
      <w:lvlJc w:val="left"/>
      <w:pPr>
        <w:tabs>
          <w:tab w:pos="5683" w:val="num"/>
        </w:tabs>
        <w:ind w:hanging="360" w:left="5683"/>
      </w:pPr>
    </w:lvl>
    <w:lvl w:tplc="041A0019" w:ilvl="7">
      <w:start w:val="1"/>
      <w:numFmt w:val="lowerLetter"/>
      <w:lvlText w:val="%8."/>
      <w:lvlJc w:val="left"/>
      <w:pPr>
        <w:tabs>
          <w:tab w:pos="6403" w:val="num"/>
        </w:tabs>
        <w:ind w:hanging="360" w:left="6403"/>
      </w:pPr>
    </w:lvl>
    <w:lvl w:tplc="041A001B" w:ilvl="8">
      <w:start w:val="1"/>
      <w:numFmt w:val="lowerRoman"/>
      <w:lvlText w:val="%9."/>
      <w:lvlJc w:val="right"/>
      <w:pPr>
        <w:tabs>
          <w:tab w:pos="7123" w:val="num"/>
        </w:tabs>
        <w:ind w:hanging="180" w:left="7123"/>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 w:numId="4">
    <w:abstractNumId w:val="2"/>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0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BC428D"/>
    <w:rsid w:val="00063DAB"/>
    <w:rsid w:val="001036B3"/>
    <w:rsid w:val="001723B5"/>
    <w:rsid w:val="0019103D"/>
    <w:rsid w:val="001F6E72"/>
    <w:rsid w:val="00230296"/>
    <w:rsid w:val="002532D8"/>
    <w:rsid w:val="002A6C06"/>
    <w:rsid w:val="002D3E94"/>
    <w:rsid w:val="002D4BB8"/>
    <w:rsid w:val="00304752"/>
    <w:rsid w:val="00307C7E"/>
    <w:rsid w:val="003D18B5"/>
    <w:rsid w:val="003D33CC"/>
    <w:rsid w:val="003D5023"/>
    <w:rsid w:val="00441F8E"/>
    <w:rsid w:val="00483301"/>
    <w:rsid w:val="004B1693"/>
    <w:rsid w:val="004E262F"/>
    <w:rsid w:val="00500098"/>
    <w:rsid w:val="005227EB"/>
    <w:rsid w:val="00535DA2"/>
    <w:rsid w:val="0058714C"/>
    <w:rsid w:val="005A3139"/>
    <w:rsid w:val="005A33DA"/>
    <w:rsid w:val="005C7018"/>
    <w:rsid w:val="005D119D"/>
    <w:rsid w:val="00687D4A"/>
    <w:rsid w:val="00697436"/>
    <w:rsid w:val="006A464D"/>
    <w:rsid w:val="006B13A5"/>
    <w:rsid w:val="006E1DE8"/>
    <w:rsid w:val="006F291E"/>
    <w:rsid w:val="00707A58"/>
    <w:rsid w:val="00721819"/>
    <w:rsid w:val="00766B2C"/>
    <w:rsid w:val="0078714D"/>
    <w:rsid w:val="007873AE"/>
    <w:rsid w:val="007C5077"/>
    <w:rsid w:val="007E61DD"/>
    <w:rsid w:val="00875CDE"/>
    <w:rsid w:val="008A6C73"/>
    <w:rsid w:val="008B1D06"/>
    <w:rsid w:val="008E7B8C"/>
    <w:rsid w:val="00927C33"/>
    <w:rsid w:val="00983EAC"/>
    <w:rsid w:val="009A6726"/>
    <w:rsid w:val="009E1811"/>
    <w:rsid w:val="009F7F79"/>
    <w:rsid w:val="00A22538"/>
    <w:rsid w:val="00A7501C"/>
    <w:rsid w:val="00A94101"/>
    <w:rsid w:val="00AC7565"/>
    <w:rsid w:val="00AF2AE0"/>
    <w:rsid w:val="00B162B2"/>
    <w:rsid w:val="00B30C50"/>
    <w:rsid w:val="00BA7399"/>
    <w:rsid w:val="00BB2F36"/>
    <w:rsid w:val="00BB4ADC"/>
    <w:rsid w:val="00BC3058"/>
    <w:rsid w:val="00BC428D"/>
    <w:rsid w:val="00C302F2"/>
    <w:rsid w:val="00C76C82"/>
    <w:rsid w:val="00CC5D1A"/>
    <w:rsid w:val="00CE643C"/>
    <w:rsid w:val="00D950F7"/>
    <w:rsid w:val="00DA6340"/>
    <w:rsid w:val="00DD3806"/>
    <w:rsid w:val="00E04A22"/>
    <w:rsid w:val="00E278BF"/>
    <w:rsid w:val="00E974C7"/>
    <w:rsid w:val="00EC40FD"/>
    <w:rsid w:val="00F2002A"/>
    <w:rsid w:val="00F209D2"/>
    <w:rsid w:val="00F47A39"/>
    <w:rsid w:val="00F53E75"/>
    <w:rsid w:val="00F554C9"/>
    <w:rsid w:val="00F92BB7"/>
    <w:rsid w:val="00F94CE8"/>
    <w:rsid w:val="00FC4308"/>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imes New Roman" w:ascii="Times New Roman"/>
        <w:sz w:val="24"/>
        <w:szCs w:val="22"/>
        <w:lang w:bidi="ar-SA" w:eastAsia="en-US" w:val="hr-HR"/>
      </w:rPr>
    </w:rPrDefault>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0" w:name="heading 2"/>
    <w:lsdException w:qFormat="true" w:uiPriority="9" w:name="heading 3"/>
    <w:lsdException w:qFormat="true" w:uiPriority="9"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qFormat="true" w:unhideWhenUsed="false" w:semiHidden="false" w:uiPriority="10" w:name="Title"/>
    <w:lsdException w:uiPriority="1" w:name="Default Paragraph Font"/>
    <w:lsdException w:uiPriority="0" w:name="Body Text"/>
    <w:lsdException w:qFormat="true" w:unhideWhenUsed="false" w:semiHidden="false" w:uiPriority="11" w:name="Subtitle"/>
    <w:lsdException w:qFormat="true" w:unhideWhenUsed="false" w:semiHidden="false" w:uiPriority="22" w:name="Strong"/>
    <w:lsdException w:qFormat="true" w:unhideWhenUsed="false" w:semiHidden="false" w:uiPriority="20" w:name="Emphasis"/>
    <w:lsdException w:unhideWhenUsed="false" w:semiHidden="false" w:uiPriority="3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uiPriority="34"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BC428D"/>
    <w:pPr>
      <w:overflowPunct w:val="false"/>
      <w:autoSpaceDE w:val="false"/>
      <w:autoSpaceDN w:val="false"/>
      <w:adjustRightInd w:val="false"/>
    </w:pPr>
    <w:rPr>
      <w:rFonts w:cs="Times New Roman" w:eastAsia="Times New Roman"/>
      <w:sz w:val="20"/>
      <w:szCs w:val="20"/>
      <w:lang w:eastAsia="hr-HR"/>
    </w:rPr>
  </w:style>
  <w:style w:styleId="Naslov1" w:type="paragraph">
    <w:name w:val="heading 1"/>
    <w:basedOn w:val="Normal"/>
    <w:next w:val="Normal"/>
    <w:link w:val="Naslov1Char"/>
    <w:uiPriority w:val="9"/>
    <w:qFormat/>
    <w:rsid w:val="006E1DE8"/>
    <w:pPr>
      <w:keepNext/>
      <w:keepLines/>
      <w:spacing w:before="240"/>
      <w:outlineLvl w:val="0"/>
    </w:pPr>
    <w:rPr>
      <w:rFonts w:cstheme="majorBidi" w:eastAsiaTheme="majorEastAsia" w:hAnsiTheme="majorHAnsi" w:asciiTheme="majorHAnsi"/>
      <w:color w:themeShade="BF" w:themeColor="accent1" w:val="2E74B5"/>
      <w:sz w:val="32"/>
      <w:szCs w:val="32"/>
    </w:rPr>
  </w:style>
  <w:style w:styleId="Naslov2" w:type="paragraph">
    <w:name w:val="heading 2"/>
    <w:basedOn w:val="Normal"/>
    <w:next w:val="Normal"/>
    <w:link w:val="Naslov2Char"/>
    <w:semiHidden/>
    <w:unhideWhenUsed/>
    <w:qFormat/>
    <w:rsid w:val="00BC428D"/>
    <w:pPr>
      <w:keepNext/>
      <w:tabs>
        <w:tab w:pos="2520" w:val="center"/>
        <w:tab w:pos="6840" w:val="left"/>
      </w:tabs>
      <w:overflowPunct/>
      <w:autoSpaceDE/>
      <w:autoSpaceDN/>
      <w:adjustRightInd/>
      <w:jc w:val="center"/>
      <w:outlineLvl w:val="1"/>
    </w:pPr>
    <w:rPr>
      <w:b/>
      <w:bCs/>
      <w:sz w:val="28"/>
      <w:szCs w:val="24"/>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2Char" w:type="character">
    <w:name w:val="Naslov 2 Char"/>
    <w:basedOn w:val="Zadanifontodlomka"/>
    <w:link w:val="Naslov2"/>
    <w:semiHidden/>
    <w:rsid w:val="00BC428D"/>
    <w:rPr>
      <w:rFonts w:cs="Times New Roman" w:eastAsia="Times New Roman"/>
      <w:b/>
      <w:bCs/>
      <w:sz w:val="28"/>
      <w:szCs w:val="24"/>
      <w:lang w:eastAsia="hr-HR"/>
    </w:rPr>
  </w:style>
  <w:style w:styleId="Tijeloteksta" w:type="paragraph">
    <w:name w:val="Body Text"/>
    <w:basedOn w:val="Normal"/>
    <w:link w:val="TijelotekstaChar"/>
    <w:unhideWhenUsed/>
    <w:rsid w:val="00BC428D"/>
    <w:pPr>
      <w:overflowPunct/>
      <w:autoSpaceDE/>
      <w:autoSpaceDN/>
      <w:adjustRightInd/>
    </w:pPr>
    <w:rPr>
      <w:rFonts w:cs="Arial" w:hAnsi="Arial" w:ascii="Arial"/>
      <w:sz w:val="22"/>
      <w:szCs w:val="24"/>
    </w:rPr>
  </w:style>
  <w:style w:customStyle="true" w:styleId="TijelotekstaChar" w:type="character">
    <w:name w:val="Tijelo teksta Char"/>
    <w:basedOn w:val="Zadanifontodlomka"/>
    <w:link w:val="Tijeloteksta"/>
    <w:rsid w:val="00BC428D"/>
    <w:rPr>
      <w:rFonts w:cs="Arial" w:eastAsia="Times New Roman" w:hAnsi="Arial" w:ascii="Arial"/>
      <w:sz w:val="22"/>
      <w:szCs w:val="24"/>
      <w:lang w:eastAsia="hr-HR"/>
    </w:rPr>
  </w:style>
  <w:style w:styleId="Bezproreda" w:type="paragraph">
    <w:name w:val="No Spacing"/>
    <w:uiPriority w:val="1"/>
    <w:qFormat/>
    <w:rsid w:val="00BC428D"/>
    <w:rPr>
      <w:rFonts w:cs="Times New Roman" w:eastAsia="Times New Roman"/>
      <w:szCs w:val="24"/>
    </w:rPr>
  </w:style>
  <w:style w:styleId="Odlomakpopisa" w:type="paragraph">
    <w:name w:val="List Paragraph"/>
    <w:basedOn w:val="Normal"/>
    <w:uiPriority w:val="34"/>
    <w:qFormat/>
    <w:rsid w:val="00BC428D"/>
    <w:pPr>
      <w:ind w:left="720"/>
      <w:contextualSpacing/>
    </w:pPr>
  </w:style>
  <w:style w:customStyle="true" w:styleId="Naslov1Char" w:type="character">
    <w:name w:val="Naslov 1 Char"/>
    <w:basedOn w:val="Zadanifontodlomka"/>
    <w:link w:val="Naslov1"/>
    <w:uiPriority w:val="9"/>
    <w:rsid w:val="006E1DE8"/>
    <w:rPr>
      <w:rFonts w:cstheme="majorBidi" w:eastAsiaTheme="majorEastAsia" w:hAnsiTheme="majorHAnsi" w:asciiTheme="majorHAnsi"/>
      <w:color w:themeShade="BF" w:themeColor="accent1" w:val="2E74B5"/>
      <w:sz w:val="32"/>
      <w:szCs w:val="32"/>
      <w:lang w:eastAsia="hr-HR"/>
    </w:rPr>
  </w:style>
  <w:style w:styleId="Tekstbalonia" w:type="paragraph">
    <w:name w:val="Balloon Text"/>
    <w:basedOn w:val="Normal"/>
    <w:link w:val="TekstbaloniaChar"/>
    <w:uiPriority w:val="99"/>
    <w:semiHidden/>
    <w:unhideWhenUsed/>
    <w:rsid w:val="001036B3"/>
    <w:rPr>
      <w:rFonts w:cs="Tahoma" w:hAnsi="Tahoma" w:ascii="Tahoma"/>
      <w:sz w:val="16"/>
      <w:szCs w:val="16"/>
    </w:rPr>
  </w:style>
  <w:style w:customStyle="true" w:styleId="TekstbaloniaChar" w:type="character">
    <w:name w:val="Tekst balončića Char"/>
    <w:basedOn w:val="Zadanifontodlomka"/>
    <w:link w:val="Tekstbalonia"/>
    <w:uiPriority w:val="99"/>
    <w:semiHidden/>
    <w:rsid w:val="001036B3"/>
    <w:rPr>
      <w:rFonts w:cs="Tahoma" w:eastAsia="Times New Roman" w:hAnsi="Tahoma" w:ascii="Tahoma"/>
      <w:sz w:val="16"/>
      <w:szCs w:val="16"/>
      <w:lang w:eastAsia="hr-HR"/>
    </w:rPr>
  </w:style>
  <w:style w:styleId="Zaglavlje" w:type="paragraph">
    <w:name w:val="header"/>
    <w:basedOn w:val="Normal"/>
    <w:link w:val="ZaglavljeChar"/>
    <w:uiPriority w:val="99"/>
    <w:unhideWhenUsed/>
    <w:rsid w:val="001036B3"/>
    <w:pPr>
      <w:tabs>
        <w:tab w:pos="4536" w:val="center"/>
        <w:tab w:pos="9072" w:val="right"/>
      </w:tabs>
    </w:pPr>
  </w:style>
  <w:style w:customStyle="true" w:styleId="ZaglavljeChar" w:type="character">
    <w:name w:val="Zaglavlje Char"/>
    <w:basedOn w:val="Zadanifontodlomka"/>
    <w:link w:val="Zaglavlje"/>
    <w:uiPriority w:val="99"/>
    <w:rsid w:val="001036B3"/>
    <w:rPr>
      <w:rFonts w:cs="Times New Roman" w:eastAsia="Times New Roman"/>
      <w:sz w:val="20"/>
      <w:szCs w:val="20"/>
      <w:lang w:eastAsia="hr-HR"/>
    </w:rPr>
  </w:style>
  <w:style w:styleId="Podnoje" w:type="paragraph">
    <w:name w:val="footer"/>
    <w:basedOn w:val="Normal"/>
    <w:link w:val="PodnojeChar"/>
    <w:uiPriority w:val="99"/>
    <w:unhideWhenUsed/>
    <w:rsid w:val="001036B3"/>
    <w:pPr>
      <w:tabs>
        <w:tab w:pos="4536" w:val="center"/>
        <w:tab w:pos="9072" w:val="right"/>
      </w:tabs>
    </w:pPr>
  </w:style>
  <w:style w:customStyle="true" w:styleId="PodnojeChar" w:type="character">
    <w:name w:val="Podnožje Char"/>
    <w:basedOn w:val="Zadanifontodlomka"/>
    <w:link w:val="Podnoje"/>
    <w:uiPriority w:val="99"/>
    <w:rsid w:val="001036B3"/>
    <w:rPr>
      <w:rFonts w:cs="Times New Roman" w:eastAsia="Times New Roman"/>
      <w:sz w:val="20"/>
      <w:szCs w:val="20"/>
      <w:lang w:eastAsia="hr-HR"/>
    </w:rPr>
  </w:style>
  <w:style w:styleId="Naglaeno" w:type="character">
    <w:name w:val="Strong"/>
    <w:basedOn w:val="Zadanifontodlomka"/>
    <w:uiPriority w:val="22"/>
    <w:qFormat/>
    <w:rsid w:val="001723B5"/>
    <w:rPr>
      <w:rFonts w:hAnsi="raiffeisen_ro_boldbold" w:ascii="raiffeisen_ro_boldbold" w:hint="default"/>
      <w:b/>
      <w:bCs/>
    </w:rPr>
  </w:style>
  <w:style w:styleId="Tekstrezerviranogmjesta" w:type="character">
    <w:name w:val="Placeholder Text"/>
    <w:basedOn w:val="Zadanifontodlomka"/>
    <w:uiPriority w:val="99"/>
    <w:semiHidden/>
    <w:rsid w:val="00875CDE"/>
    <w:rPr>
      <w:color w:val="808080"/>
      <w:bdr w:space="0" w:sz="0" w:color="auto" w:val="none"/>
      <w:shd w:fill="auto" w:color="auto" w:val="clear"/>
    </w:rPr>
  </w:style>
  <w:style w:customStyle="true" w:styleId="eSPISCCParagraphDefaultFont" w:type="character">
    <w:name w:val="eSPIS_CC_Paragraph Default Font"/>
    <w:basedOn w:val="Zadanifontodlomka"/>
    <w:rsid w:val="00875CDE"/>
    <w:rPr>
      <w:rFonts w:cs="Times New Roman" w:hAnsi="Times New Roman" w:ascii="Times New Roman"/>
      <w:sz w:val="24"/>
      <w:bdr w:space="0" w:sz="0" w:color="auto" w:val="none"/>
      <w:shd w:fill="auto" w:color="auto" w:val="clear"/>
      <w:lang w:val="hr-HR"/>
    </w:rPr>
  </w:style>
  <w:style w:customStyle="true" w:styleId="PozadinaSvijetloZuta" w:type="character">
    <w:name w:val="Pozadina_SvijetloZuta"/>
    <w:basedOn w:val="Zadanifontodlomka"/>
    <w:rsid w:val="00875CDE"/>
    <w:rPr>
      <w:rFonts w:cs="Times New Roman" w:hAnsi="Times New Roman" w:ascii="Times New Roman"/>
      <w:sz w:val="24"/>
      <w:bdr w:space="0" w:sz="0" w:color="auto" w:val="none"/>
      <w:shd w:fill="FFFFCC" w:color="auto" w:val="clear"/>
      <w:lang w:val="hr-HR"/>
    </w:rPr>
  </w:style>
  <w:style w:customStyle="true" w:styleId="PozadinaSvijetloCrvena" w:type="character">
    <w:name w:val="Pozadina_SvijetloCrvena"/>
    <w:basedOn w:val="eSPISCCParagraphDefaultFont"/>
    <w:rsid w:val="00875CDE"/>
    <w:rPr>
      <w:rFonts w:cs="Times New Roman" w:hAnsi="Times New Roman" w:ascii="Times New Roman"/>
      <w:sz w:val="24"/>
      <w:bdr w:space="0" w:sz="0" w:color="auto" w:val="none"/>
      <w:shd w:fill="FFCCCC" w:color="auto" w:val="clear"/>
      <w:lang w:val="hr-HR"/>
    </w:rPr>
  </w:style>
  <w:style w:customStyle="true" w:styleId="PozadinaSvijetloZelena" w:type="character">
    <w:name w:val="Pozadina_SvijetloZelena"/>
    <w:basedOn w:val="eSPISCCParagraphDefaultFont"/>
    <w:rsid w:val="00875CDE"/>
    <w:rPr>
      <w:rFonts w:cs="Times New Roman" w:hAnsi="Times New Roman" w:ascii="Times New Roman"/>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heme="minorBidi" w:eastAsiaTheme="minorHAnsi" w:hAnsi="Times New Roman"/>
        <w:sz w:val="24"/>
        <w:szCs w:val="22"/>
        <w:lang w:bidi="ar-SA" w:eastAsia="en-US" w:val="hr-HR"/>
      </w:rPr>
    </w:rPrDefault>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0"/>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Body Text" w:uiPriority="0"/>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3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BC428D"/>
    <w:pPr>
      <w:overflowPunct w:val="0"/>
      <w:autoSpaceDE w:val="0"/>
      <w:autoSpaceDN w:val="0"/>
      <w:adjustRightInd w:val="0"/>
    </w:pPr>
    <w:rPr>
      <w:rFonts w:cs="Times New Roman" w:eastAsia="Times New Roman"/>
      <w:sz w:val="20"/>
      <w:szCs w:val="20"/>
      <w:lang w:eastAsia="hr-HR"/>
    </w:rPr>
  </w:style>
  <w:style w:styleId="Naslov1" w:type="paragraph">
    <w:name w:val="heading 1"/>
    <w:basedOn w:val="Normal"/>
    <w:next w:val="Normal"/>
    <w:link w:val="Naslov1Char"/>
    <w:uiPriority w:val="9"/>
    <w:qFormat/>
    <w:rsid w:val="006E1DE8"/>
    <w:pPr>
      <w:keepNext/>
      <w:keepLines/>
      <w:spacing w:before="240"/>
      <w:outlineLvl w:val="0"/>
    </w:pPr>
    <w:rPr>
      <w:rFonts w:asciiTheme="majorHAnsi" w:cstheme="majorBidi" w:eastAsiaTheme="majorEastAsia" w:hAnsiTheme="majorHAnsi"/>
      <w:color w:themeColor="accent1" w:themeShade="BF" w:val="2E74B5"/>
      <w:sz w:val="32"/>
      <w:szCs w:val="32"/>
    </w:rPr>
  </w:style>
  <w:style w:styleId="Naslov2" w:type="paragraph">
    <w:name w:val="heading 2"/>
    <w:basedOn w:val="Normal"/>
    <w:next w:val="Normal"/>
    <w:link w:val="Naslov2Char"/>
    <w:semiHidden/>
    <w:unhideWhenUsed/>
    <w:qFormat/>
    <w:rsid w:val="00BC428D"/>
    <w:pPr>
      <w:keepNext/>
      <w:tabs>
        <w:tab w:pos="2520" w:val="center"/>
        <w:tab w:pos="6840" w:val="left"/>
      </w:tabs>
      <w:overflowPunct/>
      <w:autoSpaceDE/>
      <w:autoSpaceDN/>
      <w:adjustRightInd/>
      <w:jc w:val="center"/>
      <w:outlineLvl w:val="1"/>
    </w:pPr>
    <w:rPr>
      <w:b/>
      <w:bCs/>
      <w:sz w:val="28"/>
      <w:szCs w:val="24"/>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2Char" w:type="character">
    <w:name w:val="Naslov 2 Char"/>
    <w:basedOn w:val="Zadanifontodlomka"/>
    <w:link w:val="Naslov2"/>
    <w:semiHidden/>
    <w:rsid w:val="00BC428D"/>
    <w:rPr>
      <w:rFonts w:cs="Times New Roman" w:eastAsia="Times New Roman"/>
      <w:b/>
      <w:bCs/>
      <w:sz w:val="28"/>
      <w:szCs w:val="24"/>
      <w:lang w:eastAsia="hr-HR"/>
    </w:rPr>
  </w:style>
  <w:style w:styleId="Tijeloteksta" w:type="paragraph">
    <w:name w:val="Body Text"/>
    <w:basedOn w:val="Normal"/>
    <w:link w:val="TijelotekstaChar"/>
    <w:unhideWhenUsed/>
    <w:rsid w:val="00BC428D"/>
    <w:pPr>
      <w:overflowPunct/>
      <w:autoSpaceDE/>
      <w:autoSpaceDN/>
      <w:adjustRightInd/>
    </w:pPr>
    <w:rPr>
      <w:rFonts w:ascii="Arial" w:cs="Arial" w:hAnsi="Arial"/>
      <w:sz w:val="22"/>
      <w:szCs w:val="24"/>
    </w:rPr>
  </w:style>
  <w:style w:customStyle="1" w:styleId="TijelotekstaChar" w:type="character">
    <w:name w:val="Tijelo teksta Char"/>
    <w:basedOn w:val="Zadanifontodlomka"/>
    <w:link w:val="Tijeloteksta"/>
    <w:rsid w:val="00BC428D"/>
    <w:rPr>
      <w:rFonts w:ascii="Arial" w:cs="Arial" w:eastAsia="Times New Roman" w:hAnsi="Arial"/>
      <w:sz w:val="22"/>
      <w:szCs w:val="24"/>
      <w:lang w:eastAsia="hr-HR"/>
    </w:rPr>
  </w:style>
  <w:style w:styleId="Bezproreda" w:type="paragraph">
    <w:name w:val="No Spacing"/>
    <w:uiPriority w:val="1"/>
    <w:qFormat/>
    <w:rsid w:val="00BC428D"/>
    <w:rPr>
      <w:rFonts w:cs="Times New Roman" w:eastAsia="Times New Roman"/>
      <w:szCs w:val="24"/>
    </w:rPr>
  </w:style>
  <w:style w:styleId="Odlomakpopisa" w:type="paragraph">
    <w:name w:val="List Paragraph"/>
    <w:basedOn w:val="Normal"/>
    <w:uiPriority w:val="34"/>
    <w:qFormat/>
    <w:rsid w:val="00BC428D"/>
    <w:pPr>
      <w:ind w:left="720"/>
      <w:contextualSpacing/>
    </w:pPr>
  </w:style>
  <w:style w:customStyle="1" w:styleId="Naslov1Char" w:type="character">
    <w:name w:val="Naslov 1 Char"/>
    <w:basedOn w:val="Zadanifontodlomka"/>
    <w:link w:val="Naslov1"/>
    <w:uiPriority w:val="9"/>
    <w:rsid w:val="006E1DE8"/>
    <w:rPr>
      <w:rFonts w:asciiTheme="majorHAnsi" w:cstheme="majorBidi" w:eastAsiaTheme="majorEastAsia" w:hAnsiTheme="majorHAnsi"/>
      <w:color w:themeColor="accent1" w:themeShade="BF" w:val="2E74B5"/>
      <w:sz w:val="32"/>
      <w:szCs w:val="32"/>
      <w:lang w:eastAsia="hr-HR"/>
    </w:rPr>
  </w:style>
  <w:style w:styleId="Tekstbalonia" w:type="paragraph">
    <w:name w:val="Balloon Text"/>
    <w:basedOn w:val="Normal"/>
    <w:link w:val="TekstbaloniaChar"/>
    <w:uiPriority w:val="99"/>
    <w:semiHidden/>
    <w:unhideWhenUsed/>
    <w:rsid w:val="001036B3"/>
    <w:rPr>
      <w:rFonts w:ascii="Tahoma" w:cs="Tahoma" w:hAnsi="Tahoma"/>
      <w:sz w:val="16"/>
      <w:szCs w:val="16"/>
    </w:rPr>
  </w:style>
  <w:style w:customStyle="1" w:styleId="TekstbaloniaChar" w:type="character">
    <w:name w:val="Tekst balončića Char"/>
    <w:basedOn w:val="Zadanifontodlomka"/>
    <w:link w:val="Tekstbalonia"/>
    <w:uiPriority w:val="99"/>
    <w:semiHidden/>
    <w:rsid w:val="001036B3"/>
    <w:rPr>
      <w:rFonts w:ascii="Tahoma" w:cs="Tahoma" w:eastAsia="Times New Roman" w:hAnsi="Tahoma"/>
      <w:sz w:val="16"/>
      <w:szCs w:val="16"/>
      <w:lang w:eastAsia="hr-HR"/>
    </w:rPr>
  </w:style>
  <w:style w:styleId="Zaglavlje" w:type="paragraph">
    <w:name w:val="header"/>
    <w:basedOn w:val="Normal"/>
    <w:link w:val="ZaglavljeChar"/>
    <w:uiPriority w:val="99"/>
    <w:unhideWhenUsed/>
    <w:rsid w:val="001036B3"/>
    <w:pPr>
      <w:tabs>
        <w:tab w:pos="4536" w:val="center"/>
        <w:tab w:pos="9072" w:val="right"/>
      </w:tabs>
    </w:pPr>
  </w:style>
  <w:style w:customStyle="1" w:styleId="ZaglavljeChar" w:type="character">
    <w:name w:val="Zaglavlje Char"/>
    <w:basedOn w:val="Zadanifontodlomka"/>
    <w:link w:val="Zaglavlje"/>
    <w:uiPriority w:val="99"/>
    <w:rsid w:val="001036B3"/>
    <w:rPr>
      <w:rFonts w:cs="Times New Roman" w:eastAsia="Times New Roman"/>
      <w:sz w:val="20"/>
      <w:szCs w:val="20"/>
      <w:lang w:eastAsia="hr-HR"/>
    </w:rPr>
  </w:style>
  <w:style w:styleId="Podnoje" w:type="paragraph">
    <w:name w:val="footer"/>
    <w:basedOn w:val="Normal"/>
    <w:link w:val="PodnojeChar"/>
    <w:uiPriority w:val="99"/>
    <w:unhideWhenUsed/>
    <w:rsid w:val="001036B3"/>
    <w:pPr>
      <w:tabs>
        <w:tab w:pos="4536" w:val="center"/>
        <w:tab w:pos="9072" w:val="right"/>
      </w:tabs>
    </w:pPr>
  </w:style>
  <w:style w:customStyle="1" w:styleId="PodnojeChar" w:type="character">
    <w:name w:val="Podnožje Char"/>
    <w:basedOn w:val="Zadanifontodlomka"/>
    <w:link w:val="Podnoje"/>
    <w:uiPriority w:val="99"/>
    <w:rsid w:val="001036B3"/>
    <w:rPr>
      <w:rFonts w:cs="Times New Roman" w:eastAsia="Times New Roman"/>
      <w:sz w:val="20"/>
      <w:szCs w:val="20"/>
      <w:lang w:eastAsia="hr-HR"/>
    </w:rPr>
  </w:style>
  <w:style w:styleId="Naglaeno" w:type="character">
    <w:name w:val="Strong"/>
    <w:basedOn w:val="Zadanifontodlomka"/>
    <w:uiPriority w:val="22"/>
    <w:qFormat/>
    <w:rsid w:val="001723B5"/>
    <w:rPr>
      <w:rFonts w:ascii="raiffeisen_ro_boldbold" w:hAnsi="raiffeisen_ro_boldbold" w:hint="default"/>
      <w:b/>
      <w:bCs/>
    </w:rPr>
  </w:style>
  <w:style w:styleId="Tekstrezerviranogmjesta" w:type="character">
    <w:name w:val="Placeholder Text"/>
    <w:basedOn w:val="Zadanifontodlomka"/>
    <w:uiPriority w:val="99"/>
    <w:semiHidden/>
    <w:rsid w:val="00875CDE"/>
    <w:rPr>
      <w:color w:val="808080"/>
      <w:bdr w:color="auto" w:space="0" w:sz="0" w:val="none"/>
      <w:shd w:color="auto" w:fill="auto" w:val="clear"/>
    </w:rPr>
  </w:style>
  <w:style w:customStyle="1" w:styleId="eSPISCCParagraphDefaultFont" w:type="character">
    <w:name w:val="eSPIS_CC_Paragraph Default Font"/>
    <w:basedOn w:val="Zadanifontodlomka"/>
    <w:rsid w:val="00875CDE"/>
    <w:rPr>
      <w:rFonts w:ascii="Times New Roman" w:cs="Times New Roman" w:hAnsi="Times New Roman"/>
      <w:sz w:val="24"/>
      <w:bdr w:color="auto" w:space="0" w:sz="0" w:val="none"/>
      <w:shd w:color="auto" w:fill="auto" w:val="clear"/>
      <w:lang w:val="hr-HR"/>
    </w:rPr>
  </w:style>
  <w:style w:customStyle="1" w:styleId="PozadinaSvijetloZuta" w:type="character">
    <w:name w:val="Pozadina_SvijetloZuta"/>
    <w:basedOn w:val="Zadanifontodlomka"/>
    <w:rsid w:val="00875CDE"/>
    <w:rPr>
      <w:rFonts w:ascii="Times New Roman" w:cs="Times New Roman" w:hAnsi="Times New Roman"/>
      <w:sz w:val="24"/>
      <w:bdr w:color="auto" w:space="0" w:sz="0" w:val="none"/>
      <w:shd w:color="auto" w:fill="FFFFCC" w:val="clear"/>
      <w:lang w:val="hr-HR"/>
    </w:rPr>
  </w:style>
  <w:style w:customStyle="1" w:styleId="PozadinaSvijetloCrvena" w:type="character">
    <w:name w:val="Pozadina_SvijetloCrvena"/>
    <w:basedOn w:val="eSPISCCParagraphDefaultFont"/>
    <w:rsid w:val="00875CDE"/>
    <w:rPr>
      <w:rFonts w:ascii="Times New Roman" w:cs="Times New Roman" w:hAnsi="Times New Roman"/>
      <w:sz w:val="24"/>
      <w:bdr w:color="auto" w:space="0" w:sz="0" w:val="none"/>
      <w:shd w:color="auto" w:fill="FFCCCC" w:val="clear"/>
      <w:lang w:val="hr-HR"/>
    </w:rPr>
  </w:style>
  <w:style w:customStyle="1" w:styleId="PozadinaSvijetloZelena" w:type="character">
    <w:name w:val="Pozadina_SvijetloZelena"/>
    <w:basedOn w:val="eSPISCCParagraphDefaultFont"/>
    <w:rsid w:val="00875CDE"/>
    <w:rPr>
      <w:rFonts w:ascii="Times New Roman" w:cs="Times New Roman" w:hAnsi="Times New Roman"/>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81345425">
      <w:bodyDiv w:val="true"/>
      <w:marLeft w:val="0"/>
      <w:marRight w:val="0"/>
      <w:marTop w:val="0"/>
      <w:marBottom w:val="0"/>
      <w:divBdr>
        <w:top w:space="0" w:sz="0" w:color="auto" w:val="none"/>
        <w:left w:space="0" w:sz="0" w:color="auto" w:val="none"/>
        <w:bottom w:space="0" w:sz="0" w:color="auto" w:val="none"/>
        <w:right w:space="0" w:sz="0" w:color="auto" w:val="none"/>
      </w:divBdr>
    </w:div>
    <w:div w:id="992030910">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typeface="游ゴシック Light" script="Jpan"/>
        <a:font typeface="맑은 고딕" script="Hang"/>
        <a:font typeface="等线 Light"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panose="020F0502020204030204" typeface="Calibri"/>
        <a:ea typeface=""/>
        <a:cs typeface=""/>
        <a:font typeface="游明朝" script="Jpan"/>
        <a:font typeface="맑은 고딕" script="Hang"/>
        <a:font typeface="等线"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false" ang="5400000"/>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scaled="false" ang="5400000"/>
        </a:gradFill>
      </a:fillStyleLst>
      <a:lnStyleLst>
        <a:ln algn="ctr" cmpd="sng" cap="flat" w="6350">
          <a:solidFill>
            <a:schemeClr val="phClr"/>
          </a:solidFill>
          <a:prstDash val="solid"/>
          <a:miter lim="800000"/>
        </a:ln>
        <a:ln algn="ctr" cmpd="sng" cap="flat" w="12700">
          <a:solidFill>
            <a:schemeClr val="phClr"/>
          </a:solidFill>
          <a:prstDash val="solid"/>
          <a:miter lim="800000"/>
        </a:ln>
        <a:ln algn="ctr" cmpd="sng" cap="flat" w="19050">
          <a:solidFill>
            <a:schemeClr val="phClr"/>
          </a:solidFill>
          <a:prstDash val="solid"/>
          <a:miter lim="800000"/>
        </a:ln>
      </a:lnStyleLst>
      <a:effectStyleLst>
        <a:effectStyle>
          <a:effectLst/>
        </a:effectStyle>
        <a:effectStyle>
          <a:effectLst/>
        </a:effectStyle>
        <a:effectStyle>
          <a:effectLst>
            <a:outerShdw rotWithShape="false" algn="ctr" dir="5400000" dist="19050" blurRad="5715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scaled="false" ang="540000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19. listopada 2018.</izvorni_sadrzaj>
    <derivirana_varijabla naziv="DomainObject.DatumDonosenjaOdluke_1">19. listopada 2018.</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St-5442/2016-5</izvorni_sadrzaj>
    <derivirana_varijabla naziv="DomainObject.Oznaka_1">St-5442/2016-5</derivirana_varijabla>
  </DomainObject.Oznaka>
  <DomainObject.DonositeljOdluke.Ime>
    <izvorni_sadrzaj>Dina</izvorni_sadrzaj>
    <derivirana_varijabla naziv="DomainObject.DonositeljOdluke.Ime_1">Dina</derivirana_varijabla>
  </DomainObject.DonositeljOdluke.Ime>
  <DomainObject.DonositeljOdluke.Prezime>
    <izvorni_sadrzaj>Jellin</izvorni_sadrzaj>
    <derivirana_varijabla naziv="DomainObject.DonositeljOdluke.Prezime_1">Jellin</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5442</izvorni_sadrzaj>
    <derivirana_varijabla naziv="DomainObject.Predmet.Broj_1">5442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kolovoza 2016.</izvorni_sadrzaj>
    <derivirana_varijabla naziv="DomainObject.Predmet.DatumOsnivanja_1">11. kolovoza 2016.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St-5442/2016</izvorni_sadrzaj>
    <derivirana_varijabla naziv="DomainObject.Predmet.OznakaBroj_1">St-5442/2016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PRANJIĆ-PROMET d.o.o. zastupanog po punomoćniku Mate Pranjić</izvorni_sadrzaj>
    <derivirana_varijabla naziv="DomainObject.Predmet.ProtustrankaFormated_1">  PRANJIĆ-PROMET d.o.o. zastupanog po punomoćniku Mate Pranjić</derivirana_varijabla>
  </DomainObject.Predmet.ProtustrankaFormated>
  <DomainObject.Predmet.ProtustrankaFormatedOIB>
    <izvorni_sadrzaj>  PRANJIĆ-PROMET d.o.o., OIB 46417939469 zastupanog po punomoćniku Mate Pranjić</izvorni_sadrzaj>
    <derivirana_varijabla naziv="DomainObject.Predmet.ProtustrankaFormatedOIB_1">  PRANJIĆ-PROMET d.o.o., OIB 46417939469 zastupanog po punomoćniku Mate Pranjić</derivirana_varijabla>
  </DomainObject.Predmet.ProtustrankaFormatedOIB>
  <DomainObject.Predmet.ProtustrankaFormatedWithAdress>
    <izvorni_sadrzaj> PRANJIĆ-PROMET d.o.o., Kopačevski Put 4, 10000 Zagreb zastupanog po punomoćniku Mate Pranjić</izvorni_sadrzaj>
    <derivirana_varijabla naziv="DomainObject.Predmet.ProtustrankaFormatedWithAdress_1"> PRANJIĆ-PROMET d.o.o., Kopačevski Put 4, 10000 Zagreb zastupanog po punomoćniku Mate Pranjić</derivirana_varijabla>
  </DomainObject.Predmet.ProtustrankaFormatedWithAdress>
  <DomainObject.Predmet.ProtustrankaFormatedWithAdressOIB>
    <izvorni_sadrzaj> PRANJIĆ-PROMET d.o.o., OIB 46417939469, Kopačevski Put 4, 10000 Zagreb zastupanog po punomoćniku Mate Pranjić</izvorni_sadrzaj>
    <derivirana_varijabla naziv="DomainObject.Predmet.ProtustrankaFormatedWithAdressOIB_1"> PRANJIĆ-PROMET d.o.o., OIB 46417939469, Kopačevski Put 4, 10000 Zagreb zastupanog po punomoćniku Mate Pranjić</derivirana_varijabla>
  </DomainObject.Predmet.ProtustrankaFormatedWithAdressOIB>
  <DomainObject.Predmet.ProtustrankaWithAdress>
    <izvorni_sadrzaj>PRANJIĆ-PROMET d.o.o. Kopačevski Put 4, 10000 Zagreb</izvorni_sadrzaj>
    <derivirana_varijabla naziv="DomainObject.Predmet.ProtustrankaWithAdress_1">PRANJIĆ-PROMET d.o.o. Kopačevski Put 4, 10000 Zagreb</derivirana_varijabla>
  </DomainObject.Predmet.ProtustrankaWithAdress>
  <DomainObject.Predmet.ProtustrankaWithAdressOIB>
    <izvorni_sadrzaj>PRANJIĆ-PROMET d.o.o., OIB 46417939469, Kopačevski Put 4, 10000 Zagreb</izvorni_sadrzaj>
    <derivirana_varijabla naziv="DomainObject.Predmet.ProtustrankaWithAdressOIB_1">PRANJIĆ-PROMET d.o.o., OIB 46417939469, Kopačevski Put 4, 10000 Zagreb</derivirana_varijabla>
  </DomainObject.Predmet.ProtustrankaWithAdressOIB>
  <DomainObject.Predmet.ProtustrankaNazivFormated>
    <izvorni_sadrzaj>PRANJIĆ-PROMET d.o.o.</izvorni_sadrzaj>
    <derivirana_varijabla naziv="DomainObject.Predmet.ProtustrankaNazivFormated_1">PRANJIĆ-PROMET d.o.o.</derivirana_varijabla>
  </DomainObject.Predmet.ProtustrankaNazivFormated>
  <DomainObject.Predmet.ProtustrankaNazivFormatedOIB>
    <izvorni_sadrzaj>PRANJIĆ-PROMET d.o.o., OIB 46417939469</izvorni_sadrzaj>
    <derivirana_varijabla naziv="DomainObject.Predmet.ProtustrankaNazivFormatedOIB_1">PRANJIĆ-PROMET d.o.o., OIB 46417939469</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16. - D. Jellin</izvorni_sadrzaj>
    <derivirana_varijabla naziv="DomainObject.Predmet.Referada.Naziv_1">16. - D. Jellin</derivirana_varijabla>
  </DomainObject.Predmet.Referada.Naziv>
  <DomainObject.Predmet.Referada.Oznaka>
    <izvorni_sadrzaj>16.</izvorni_sadrzaj>
    <derivirana_varijabla naziv="DomainObject.Predmet.Referada.Oznaka_1">16.</derivirana_varijabla>
  </DomainObject.Predmet.Referada.Oznaka>
  <DomainObject.Predmet.Referada.Prostorija.Naziv>
    <izvorni_sadrzaj>Soba DZ III 58</izvorni_sadrzaj>
    <derivirana_varijabla naziv="DomainObject.Predmet.Referada.Prostorija.Naziv_1">Soba DZ III 58</derivirana_varijabla>
  </DomainObject.Predmet.Referada.Prostorija.Naziv>
  <DomainObject.Predmet.Referada.Prostorija.Oznaka>
    <izvorni_sadrzaj>DZ III 58</izvorni_sadrzaj>
    <derivirana_varijabla naziv="DomainObject.Predmet.Referada.Prostorija.Oznaka_1">DZ III 58</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Dina Jellin</izvorni_sadrzaj>
    <derivirana_varijabla naziv="DomainObject.Predmet.Referada.Sudac_1">Dina Jellin</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 Regionalni centar Zagreb</izvorni_sadrzaj>
    <derivirana_varijabla naziv="DomainObject.Predmet.StrankaFormated_1">  FINA Regionalni centar Zagreb</derivirana_varijabla>
  </DomainObject.Predmet.StrankaFormated>
  <DomainObject.Predmet.StrankaFormatedOIB>
    <izvorni_sadrzaj>  FINA Regionalni centar Zagreb, OIB 85821130368</izvorni_sadrzaj>
    <derivirana_varijabla naziv="DomainObject.Predmet.StrankaFormatedOIB_1">  FINA Regionalni centar Zagreb, OIB 85821130368</derivirana_varijabla>
  </DomainObject.Predmet.StrankaFormatedOIB>
  <DomainObject.Predmet.StrankaFormatedWithAdress>
    <izvorni_sadrzaj> FINA Regionalni centar Zagreb, Trg svibanjskih žrtava 1995. br. 1, 10000 Zagreb</izvorni_sadrzaj>
    <derivirana_varijabla naziv="DomainObject.Predmet.StrankaFormatedWithAdress_1"> FINA Regionalni centar Zagreb, Trg svibanjskih žrtava 1995. br. 1, 10000 Zagreb</derivirana_varijabla>
  </DomainObject.Predmet.StrankaFormatedWithAdress>
  <DomainObject.Predmet.StrankaFormatedWithAdressOIB>
    <izvorni_sadrzaj> FINA Regionalni centar Zagreb, OIB 85821130368, Trg svibanjskih žrtava 1995. br. 1, 10000 Zagreb</izvorni_sadrzaj>
    <derivirana_varijabla naziv="DomainObject.Predmet.StrankaFormatedWithAdressOIB_1"> FINA Regionalni centar Zagreb, OIB 85821130368, Trg svibanjskih žrtava 1995. br. 1, 10000 Zagreb</derivirana_varijabla>
  </DomainObject.Predmet.StrankaFormatedWithAdressOIB>
  <DomainObject.Predmet.StrankaWithAdress>
    <izvorni_sadrzaj>FINA Regionalni centar Zagreb Trg svibanjskih žrtava 1995. br. 1,10000 Zagreb</izvorni_sadrzaj>
    <derivirana_varijabla naziv="DomainObject.Predmet.StrankaWithAdress_1">FINA Regionalni centar Zagreb Trg svibanjskih žrtava 1995. br. 1,10000 Zagreb</derivirana_varijabla>
  </DomainObject.Predmet.StrankaWithAdress>
  <DomainObject.Predmet.StrankaWithAdressOIB>
    <izvorni_sadrzaj>FINA Regionalni centar Zagreb, OIB 85821130368, Trg svibanjskih žrtava 1995. br. 1,10000 Zagreb</izvorni_sadrzaj>
    <derivirana_varijabla naziv="DomainObject.Predmet.StrankaWithAdressOIB_1">FINA Regionalni centar Zagreb, OIB 85821130368, Trg svibanjskih žrtava 1995. br. 1,10000 Zagreb</derivirana_varijabla>
  </DomainObject.Predmet.StrankaWithAdressOIB>
  <DomainObject.Predmet.StrankaNazivFormated>
    <izvorni_sadrzaj>FINA Regionalni centar Zagreb</izvorni_sadrzaj>
    <derivirana_varijabla naziv="DomainObject.Predmet.StrankaNazivFormated_1">FINA Regionalni centar Zagreb</derivirana_varijabla>
  </DomainObject.Predmet.StrankaNazivFormated>
  <DomainObject.Predmet.StrankaNazivFormatedOIB>
    <izvorni_sadrzaj>FINA Regionalni centar Zagreb, OIB 85821130368</izvorni_sadrzaj>
    <derivirana_varijabla naziv="DomainObject.Predmet.StrankaNazivFormatedOIB_1">FINA Regionalni centar Zagreb,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10002</izvorni_sadrzaj>
    <derivirana_varijabla naziv="DomainObject.Predmet.Sud.Adresa.PostBroj_1">10002</derivirana_varijabla>
  </DomainObject.Predmet.Sud.Adresa.PostBroj>
  <DomainObject.Predmet.Sud.Adresa.UlicaIKBR>
    <izvorni_sadrzaj>Amruševa 2/II desno (p.p. 432)</izvorni_sadrzaj>
    <derivirana_varijabla naziv="DomainObject.Predmet.Sud.Adresa.UlicaIKBR_1">Amruševa 2/II desno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16. - D. Jellin</izvorni_sadrzaj>
    <derivirana_varijabla naziv="DomainObject.Predmet.TrenutnaLokacijaSpisa.Naziv_1">16. - D. Jellin</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Stečajni postupak do otvaranja stečaja</izvorni_sadrzaj>
    <derivirana_varijabla naziv="DomainObject.Predmet.VrstaSpora.Naziv_1">Stečajni postupak do otvaranja stečaja</derivirana_varijabla>
  </DomainObject.Predmet.VrstaSpora.Naziv>
  <DomainObject.Predmet.Zapisnicar>
    <izvorni_sadrzaj>Ljubica Radošević</izvorni_sadrzaj>
    <derivirana_varijabla naziv="DomainObject.Predmet.Zapisnicar_1">Ljubica Radošević</derivirana_varijabla>
  </DomainObject.Predmet.Zapisnicar>
  <DomainObject.Predmet.StrankaListFormated>
    <izvorni_sadrzaj>
      <item>FINA Regionalni centar Zagreb</item>
    </izvorni_sadrzaj>
    <derivirana_varijabla naziv="DomainObject.Predmet.StrankaListFormated_1">
      <item>FINA Regionalni centar Zagreb</item>
    </derivirana_varijabla>
  </DomainObject.Predmet.StrankaListFormated>
  <DomainObject.Predmet.StrankaListFormatedOIB>
    <izvorni_sadrzaj>
      <item>FINA Regionalni centar Zagreb, OIB 85821130368</item>
    </izvorni_sadrzaj>
    <derivirana_varijabla naziv="DomainObject.Predmet.StrankaListFormatedOIB_1">
      <item>FINA Regionalni centar Zagreb, OIB 85821130368</item>
    </derivirana_varijabla>
  </DomainObject.Predmet.StrankaListFormatedOIB>
  <DomainObject.Predmet.StrankaListFormatedWithAdress>
    <izvorni_sadrzaj>
      <item>FINA Regionalni centar Zagreb, Trg svibanjskih žrtava 1995. br. 1, 10000 Zagreb</item>
    </izvorni_sadrzaj>
    <derivirana_varijabla naziv="DomainObject.Predmet.StrankaListFormatedWithAdress_1">
      <item>FINA Regionalni centar Zagreb, Trg svibanjskih žrtava 1995. br. 1, 10000 Zagreb</item>
    </derivirana_varijabla>
  </DomainObject.Predmet.StrankaListFormatedWithAdress>
  <DomainObject.Predmet.StrankaListFormatedWithAdressOIB>
    <izvorni_sadrzaj>
      <item>FINA Regionalni centar Zagreb, OIB 85821130368, Trg svibanjskih žrtava 1995. br. 1, 10000 Zagreb</item>
    </izvorni_sadrzaj>
    <derivirana_varijabla naziv="DomainObject.Predmet.StrankaListFormatedWithAdressOIB_1">
      <item>FINA Regionalni centar Zagreb, OIB 85821130368, Trg svibanjskih žrtava 1995. br. 1, 10000 Zagreb</item>
    </derivirana_varijabla>
  </DomainObject.Predmet.StrankaListFormatedWithAdressOIB>
  <DomainObject.Predmet.StrankaListNazivFormated>
    <izvorni_sadrzaj>
      <item>FINA Regionalni centar Zagreb</item>
    </izvorni_sadrzaj>
    <derivirana_varijabla naziv="DomainObject.Predmet.StrankaListNazivFormated_1">
      <item>FINA Regionalni centar Zagreb</item>
    </derivirana_varijabla>
  </DomainObject.Predmet.StrankaListNazivFormated>
  <DomainObject.Predmet.StrankaListNazivFormatedOIB>
    <izvorni_sadrzaj>
      <item>FINA Regionalni centar Zagreb, OIB 85821130368</item>
    </izvorni_sadrzaj>
    <derivirana_varijabla naziv="DomainObject.Predmet.StrankaListNazivFormatedOIB_1">
      <item>FINA Regionalni centar Zagreb, OIB 85821130368</item>
    </derivirana_varijabla>
  </DomainObject.Predmet.StrankaListNazivFormatedOIB>
  <DomainObject.Predmet.ProtuStrankaListFormated>
    <izvorni_sadrzaj>
      <item>PRANJIĆ-PROMET d.o.o. zastupanog po punomoćniku Mate Pranjić</item>
    </izvorni_sadrzaj>
    <derivirana_varijabla naziv="DomainObject.Predmet.ProtuStrankaListFormated_1">
      <item>PRANJIĆ-PROMET d.o.o. zastupanog po punomoćniku Mate Pranjić</item>
    </derivirana_varijabla>
  </DomainObject.Predmet.ProtuStrankaListFormated>
  <DomainObject.Predmet.ProtuStrankaListFormatedOIB>
    <izvorni_sadrzaj>
      <item>PRANJIĆ-PROMET d.o.o., OIB 46417939469 zastupanog po punomoćniku Mate Pranjić</item>
    </izvorni_sadrzaj>
    <derivirana_varijabla naziv="DomainObject.Predmet.ProtuStrankaListFormatedOIB_1">
      <item>PRANJIĆ-PROMET d.o.o., OIB 46417939469 zastupanog po punomoćniku Mate Pranjić</item>
    </derivirana_varijabla>
  </DomainObject.Predmet.ProtuStrankaListFormatedOIB>
  <DomainObject.Predmet.ProtuStrankaListFormatedWithAdress>
    <izvorni_sadrzaj>
      <item>PRANJIĆ-PROMET d.o.o., Kopačevski Put 4, 10000 Zagreb zastupanog po punomoćniku Mate Pranjić</item>
    </izvorni_sadrzaj>
    <derivirana_varijabla naziv="DomainObject.Predmet.ProtuStrankaListFormatedWithAdress_1">
      <item>PRANJIĆ-PROMET d.o.o., Kopačevski Put 4, 10000 Zagreb zastupanog po punomoćniku Mate Pranjić</item>
    </derivirana_varijabla>
  </DomainObject.Predmet.ProtuStrankaListFormatedWithAdress>
  <DomainObject.Predmet.ProtuStrankaListFormatedWithAdressOIB>
    <izvorni_sadrzaj>
      <item>PRANJIĆ-PROMET d.o.o., OIB 46417939469, Kopačevski Put 4, 10000 Zagreb zastupanog po punomoćniku Mate Pranjić</item>
    </izvorni_sadrzaj>
    <derivirana_varijabla naziv="DomainObject.Predmet.ProtuStrankaListFormatedWithAdressOIB_1">
      <item>PRANJIĆ-PROMET d.o.o., OIB 46417939469, Kopačevski Put 4, 10000 Zagreb zastupanog po punomoćniku Mate Pranjić</item>
    </derivirana_varijabla>
  </DomainObject.Predmet.ProtuStrankaListFormatedWithAdressOIB>
  <DomainObject.Predmet.ProtuStrankaListNazivFormated>
    <izvorni_sadrzaj>
      <item>PRANJIĆ-PROMET d.o.o.</item>
    </izvorni_sadrzaj>
    <derivirana_varijabla naziv="DomainObject.Predmet.ProtuStrankaListNazivFormated_1">
      <item>PRANJIĆ-PROMET d.o.o.</item>
    </derivirana_varijabla>
  </DomainObject.Predmet.ProtuStrankaListNazivFormated>
  <DomainObject.Predmet.ProtuStrankaListNazivFormatedOIB>
    <izvorni_sadrzaj>
      <item>PRANJIĆ-PROMET d.o.o., OIB 46417939469</item>
    </izvorni_sadrzaj>
    <derivirana_varijabla naziv="DomainObject.Predmet.ProtuStrankaListNazivFormatedOIB_1">
      <item>PRANJIĆ-PROMET d.o.o., OIB 46417939469</item>
    </derivirana_varijabla>
  </DomainObject.Predmet.ProtuStrankaListNazivFormatedOIB>
  <DomainObject.Predmet.OstaliListFormated>
    <izvorni_sadrzaj>
      <item>Mate Pranjić punomoćnik sudionika u postupku PRANJIĆ-PROMET d.o.o.</item>
    </izvorni_sadrzaj>
    <derivirana_varijabla naziv="DomainObject.Predmet.OstaliListFormated_1">
      <item>Mate Pranjić punomoćnik sudionika u postupku PRANJIĆ-PROMET d.o.o.</item>
    </derivirana_varijabla>
  </DomainObject.Predmet.OstaliListFormated>
  <DomainObject.Predmet.OstaliListFormatedOIB>
    <izvorni_sadrzaj>
      <item>Mate Pranjić, OIB 57157782910 punomoćnik sudionika u postupku PRANJIĆ-PROMET d.o.o.</item>
    </izvorni_sadrzaj>
    <derivirana_varijabla naziv="DomainObject.Predmet.OstaliListFormatedOIB_1">
      <item>Mate Pranjić, OIB 57157782910 punomoćnik sudionika u postupku PRANJIĆ-PROMET d.o.o.</item>
    </derivirana_varijabla>
  </DomainObject.Predmet.OstaliListFormatedOIB>
  <DomainObject.Predmet.OstaliListFormatedWithAdress>
    <izvorni_sadrzaj>
      <item>Mate Pranjić, Zagorica 11, 10000 Zagreb punomoćnik sudionika u postupku PRANJIĆ-PROMET d.o.o.</item>
    </izvorni_sadrzaj>
    <derivirana_varijabla naziv="DomainObject.Predmet.OstaliListFormatedWithAdress_1">
      <item>Mate Pranjić, Zagorica 11, 10000 Zagreb punomoćnik sudionika u postupku PRANJIĆ-PROMET d.o.o.</item>
    </derivirana_varijabla>
  </DomainObject.Predmet.OstaliListFormatedWithAdress>
  <DomainObject.Predmet.OstaliListFormatedWithAdressOIB>
    <izvorni_sadrzaj>
      <item>Mate Pranjić, OIB 57157782910, Zagorica 11, 10000 Zagreb punomoćnik sudionika u postupku PRANJIĆ-PROMET d.o.o.</item>
    </izvorni_sadrzaj>
    <derivirana_varijabla naziv="DomainObject.Predmet.OstaliListFormatedWithAdressOIB_1">
      <item>Mate Pranjić, OIB 57157782910, Zagorica 11, 10000 Zagreb punomoćnik sudionika u postupku PRANJIĆ-PROMET d.o.o.</item>
    </derivirana_varijabla>
  </DomainObject.Predmet.OstaliListFormatedWithAdressOIB>
  <DomainObject.Predmet.OstaliListNazivFormated>
    <izvorni_sadrzaj>
      <item>Mate Pranjić</item>
    </izvorni_sadrzaj>
    <derivirana_varijabla naziv="DomainObject.Predmet.OstaliListNazivFormated_1">
      <item>Mate Pranjić</item>
    </derivirana_varijabla>
  </DomainObject.Predmet.OstaliListNazivFormated>
  <DomainObject.Predmet.OstaliListNazivFormatedOIB>
    <izvorni_sadrzaj>
      <item>Mate Pranjić, OIB 57157782910</item>
    </izvorni_sadrzaj>
    <derivirana_varijabla naziv="DomainObject.Predmet.OstaliListNazivFormatedOIB_1">
      <item>Mate Pranjić, OIB 57157782910</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19. listopada 2018.</izvorni_sadrzaj>
    <derivirana_varijabla naziv="DomainObject.Datum_1">19. listopada 2018.</derivirana_varijabla>
  </DomainObject.Datum>
  <DomainObject.PoslovniBrojDokumenta>
    <izvorni_sadrzaj>St-5442/2016-5</izvorni_sadrzaj>
    <derivirana_varijabla naziv="DomainObject.PoslovniBrojDokumenta_1">St-5442/2016-5</derivirana_varijabla>
  </DomainObject.PoslovniBrojDokumenta>
  <DomainObject.Predmet.StrankaIDrugi>
    <izvorni_sadrzaj>FINA Regionalni centar Zagreb</izvorni_sadrzaj>
    <derivirana_varijabla naziv="DomainObject.Predmet.StrankaIDrugi_1">FINA Regionalni centar Zagreb</derivirana_varijabla>
  </DomainObject.Predmet.StrankaIDrugi>
  <DomainObject.Predmet.ProtustrankaIDrugi>
    <izvorni_sadrzaj>PRANJIĆ-PROMET d.o.o.</izvorni_sadrzaj>
    <derivirana_varijabla naziv="DomainObject.Predmet.ProtustrankaIDrugi_1">PRANJIĆ-PROMET d.o.o.</derivirana_varijabla>
  </DomainObject.Predmet.ProtustrankaIDrugi>
  <DomainObject.Predmet.StrankaIDrugiAdressOIB>
    <izvorni_sadrzaj>FINA Regionalni centar Zagreb, OIB 85821130368, Trg svibanjskih žrtava 1995. br. 1, 10000 Zagreb</izvorni_sadrzaj>
    <derivirana_varijabla naziv="DomainObject.Predmet.StrankaIDrugiAdressOIB_1">FINA Regionalni centar Zagreb, OIB 85821130368, Trg svibanjskih žrtava 1995. br. 1, 10000 Zagreb</derivirana_varijabla>
  </DomainObject.Predmet.StrankaIDrugiAdressOIB>
  <DomainObject.Predmet.ProtustrankaIDrugiAdressOIB>
    <izvorni_sadrzaj>PRANJIĆ-PROMET d.o.o., OIB 46417939469, Kopačevski Put 4, 10000 Zagreb</izvorni_sadrzaj>
    <derivirana_varijabla naziv="DomainObject.Predmet.ProtustrankaIDrugiAdressOIB_1">PRANJIĆ-PROMET d.o.o., OIB 46417939469, Kopačevski Put 4,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FINA Regionalni centar Zagreb</item>
      <item>PRANJIĆ-PROMET d.o.o.</item>
      <item>Mate Pranjić</item>
    </izvorni_sadrzaj>
    <derivirana_varijabla naziv="DomainObject.Predmet.SudioniciListNaziv_1">
      <item>FINA Regionalni centar Zagreb</item>
      <item>PRANJIĆ-PROMET d.o.o.</item>
      <item>Mate Pranjić</item>
    </derivirana_varijabla>
  </DomainObject.Predmet.SudioniciListNaziv>
  <DomainObject.Predmet.SudioniciListAdressOIB>
    <izvorni_sadrzaj>
      <item>FINA Regionalni centar Zagreb, OIB 85821130368, Trg svibanjskih žrtava 1995. br. 1,10000 Zagreb</item>
      <item>PRANJIĆ-PROMET d.o.o., OIB 46417939469, Kopačevski Put 4,10000 Zagreb</item>
      <item>Mate Pranjić, OIB 57157782910, Zagorica 11,10000 Zagreb</item>
    </izvorni_sadrzaj>
    <derivirana_varijabla naziv="DomainObject.Predmet.SudioniciListAdressOIB_1">
      <item>FINA Regionalni centar Zagreb, OIB 85821130368, Trg svibanjskih žrtava 1995. br. 1,10000 Zagreb</item>
      <item>PRANJIĆ-PROMET d.o.o., OIB 46417939469, Kopačevski Put 4,10000 Zagreb</item>
      <item>Mate Pranjić, OIB 57157782910, Zagorica 11,10000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46417939469</item>
      <item>, OIB 57157782910</item>
    </izvorni_sadrzaj>
    <derivirana_varijabla naziv="DomainObject.Predmet.SudioniciListNazivOIB_1">
      <item>, OIB 85821130368</item>
      <item>, OIB 46417939469</item>
      <item>, OIB 57157782910</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19. listopada 2018.</izvorni_sadrzaj>
    <derivirana_varijabla naziv="DomainObject.PredzadnjaOdlukaIzPredmeta.DatumDonosenjaOdluke_1">19. listopada 2018.</derivirana_varijabla>
  </DomainObject.PredzadnjaOdlukaIzPredmeta.DatumDonosenjaOdluke>
  <DomainObject.PredzadnjaOdlukaIzPredmeta.Oznaka>
    <izvorni_sadrzaj>St-5442/2016-7</izvorni_sadrzaj>
    <derivirana_varijabla naziv="DomainObject.PredzadnjaOdlukaIzPredmeta.Oznaka_1">St-5442/2016-7</derivirana_varijabla>
  </DomainObject.PredzadnjaOdlukaIzPredmeta.Oznak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3</properties:Pages>
  <properties:Words>1072</properties:Words>
  <properties:Characters>5843</properties:Characters>
  <properties:Lines>138</properties:Lines>
  <properties:Paragraphs>47</properties:Paragraphs>
  <properties:TotalTime>42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6938</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2018-10-18T09:26:00Z</dcterms:created>
  <dc:creator>Dina Jellin</dc:creator>
  <cp:lastModifiedBy>Ljubica Radošević</cp:lastModifiedBy>
  <cp:lastPrinted>2018-10-19T07:54:00Z</cp:lastPrinted>
  <dcterms:modified xmlns:xsi="http://www.w3.org/2001/XMLSchema-instance" xsi:type="dcterms:W3CDTF">2018-10-19T08:45:00Z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St-5442/2016-5 / Odluka - Rješenje - određeno ročište radi izjašnjenja o prijedlogu za otvaranje stečajnog postupka (1._St-4568-16._rj_i_zaključak-po_čl._110._st._1._SZ_(2)._sz_(2))</vt:lpwstr>
  </prop:property>
  <prop:property name="CC_coloring" pid="4" fmtid="{D5CDD505-2E9C-101B-9397-08002B2CF9AE}">
    <vt:bool>false</vt:bool>
  </prop:property>
  <prop:property name="BrojStranica" pid="5" fmtid="{D5CDD505-2E9C-101B-9397-08002B2CF9AE}">
    <vt:i4>3</vt:i4>
  </prop:property>
</prop:Properties>
</file>