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c764d0" w14:paraId="cc764d0" w:rsidRDefault="00BF7FC3" w:rsidP="00BF7FC3" w:rsidR="00BF7FC3">
      <w:pPr>
        <w15:collapsed w:val="false"/>
      </w:pPr>
      <w:bookmarkStart w:name="_GoBack" w:id="0"/>
      <w:bookmarkEnd w:id="0"/>
      <w:r>
        <w:rPr>
          <w:noProof/>
        </w:rPr>
        <w:t xml:space="preserve">              </w:t>
      </w:r>
      <w:r>
        <w:rPr>
          <w:noProof/>
        </w:rPr>
        <w:drawing>
          <wp:inline distR="0" distL="0" distB="0" distT="0">
            <wp:extent cy="723265" cx="579755"/>
            <wp:effectExtent b="635" r="0" t="0" l="0"/>
            <wp:docPr descr="cid:image001.jpg@01C5F68A.E0453980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id:image001.jpg@01C5F68A.E0453980" name="Picture 1" id="0"/>
                    <pic:cNvPicPr>
                      <a:picLocks noChangeArrowheads="true" noChangeAspect="true"/>
                    </pic:cNvPicPr>
                  </pic:nvPicPr>
                  <pic:blipFill>
                    <a:blip r:link="rId10"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265" cx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type="auto" w:w="0"/>
        <w:tblInd w:type="dxa" w:w="-4"/>
        <w:tblLook w:val="0000" w:noVBand="0" w:noHBand="0" w:lastColumn="0" w:firstColumn="0" w:lastRow="0" w:firstRow="0"/>
      </w:tblPr>
      <w:tblGrid>
        <w:gridCol w:w="3783"/>
      </w:tblGrid>
      <w:tr w:rsidTr="00253A2E" w:rsidR="00253A2E" w:rsidRPr="002A7ADF">
        <w:trPr>
          <w:trHeight w:val="913"/>
        </w:trPr>
        <w:tc>
          <w:tcPr>
            <w:tcW w:type="dxa" w:w="3783"/>
          </w:tcPr>
          <w:p w:rsidRDefault="00253A2E" w:rsidP="00253A2E" w:rsidR="00253A2E" w:rsidRPr="002A7ADF">
            <w:pPr>
              <w:ind w:left="112"/>
              <w:rPr>
                <w:rFonts w:hAnsi="Times New Roman" w:ascii="Times New Roman"/>
                <w:szCs w:val="24"/>
              </w:rPr>
            </w:pPr>
            <w:r w:rsidRPr="002A7ADF">
              <w:rPr>
                <w:rFonts w:hAnsi="Times New Roman" w:ascii="Times New Roman"/>
                <w:szCs w:val="24"/>
              </w:rPr>
              <w:t xml:space="preserve">          Republika Hrvatska</w:t>
            </w:r>
          </w:p>
          <w:p w:rsidRDefault="00253A2E" w:rsidP="00253A2E" w:rsidR="00253A2E" w:rsidRPr="002A7ADF">
            <w:pPr>
              <w:ind w:left="112"/>
              <w:rPr>
                <w:rFonts w:hAnsi="Times New Roman" w:ascii="Times New Roman"/>
                <w:szCs w:val="24"/>
              </w:rPr>
            </w:pPr>
            <w:r w:rsidRPr="002A7ADF">
              <w:rPr>
                <w:rFonts w:hAnsi="Times New Roman" w:ascii="Times New Roman"/>
                <w:szCs w:val="24"/>
              </w:rPr>
              <w:t>TRGOVAČKI SUD U ZAGREBU</w:t>
            </w:r>
          </w:p>
          <w:p w:rsidRDefault="00253A2E" w:rsidP="00253A2E" w:rsidR="00253A2E" w:rsidRPr="002A7ADF">
            <w:pPr>
              <w:ind w:left="112"/>
              <w:rPr>
                <w:rFonts w:hAnsi="Times New Roman" w:ascii="Times New Roman"/>
                <w:szCs w:val="24"/>
              </w:rPr>
            </w:pPr>
            <w:r w:rsidRPr="002A7ADF">
              <w:rPr>
                <w:rFonts w:hAnsi="Times New Roman" w:ascii="Times New Roman"/>
                <w:szCs w:val="24"/>
              </w:rPr>
              <w:t xml:space="preserve">         Zagreb, Amruševa 2/II</w:t>
            </w:r>
          </w:p>
        </w:tc>
      </w:tr>
    </w:tbl>
    <w:p w:rsidRDefault="00FF649E" w:rsidP="0086140E" w:rsidR="0086140E" w:rsidRPr="002A7ADF">
      <w:pPr>
        <w:jc w:val="right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4.  St-</w:t>
      </w:r>
      <w:r w:rsidR="00B10017">
        <w:rPr>
          <w:rFonts w:hAnsi="Times New Roman" w:ascii="Times New Roman"/>
          <w:szCs w:val="24"/>
        </w:rPr>
        <w:t>5494</w:t>
      </w:r>
      <w:r w:rsidR="00E72152">
        <w:rPr>
          <w:rFonts w:hAnsi="Times New Roman" w:ascii="Times New Roman"/>
          <w:szCs w:val="24"/>
        </w:rPr>
        <w:t>/15</w:t>
      </w:r>
    </w:p>
    <w:p w:rsidRDefault="00E72152" w:rsidP="0086140E" w:rsidR="0086140E" w:rsidRPr="002A7ADF">
      <w:pPr>
        <w:jc w:val="center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U  I M E  </w:t>
      </w:r>
      <w:r w:rsidR="0086140E" w:rsidRPr="002A7ADF">
        <w:rPr>
          <w:rFonts w:hAnsi="Times New Roman" w:ascii="Times New Roman"/>
          <w:szCs w:val="24"/>
        </w:rPr>
        <w:t xml:space="preserve">R E P U B L I K </w:t>
      </w:r>
      <w:r>
        <w:rPr>
          <w:rFonts w:hAnsi="Times New Roman" w:ascii="Times New Roman"/>
          <w:szCs w:val="24"/>
        </w:rPr>
        <w:t>E</w:t>
      </w:r>
      <w:r w:rsidR="00067F4B" w:rsidRPr="002A7ADF">
        <w:rPr>
          <w:rFonts w:hAnsi="Times New Roman" w:ascii="Times New Roman"/>
          <w:szCs w:val="24"/>
        </w:rPr>
        <w:t xml:space="preserve">   H R V A T S K </w:t>
      </w:r>
      <w:r>
        <w:rPr>
          <w:rFonts w:hAnsi="Times New Roman" w:ascii="Times New Roman"/>
          <w:szCs w:val="24"/>
        </w:rPr>
        <w:t>E</w:t>
      </w:r>
    </w:p>
    <w:p w:rsidRDefault="0086140E" w:rsidP="0086140E" w:rsidR="0086140E" w:rsidRPr="002A7ADF">
      <w:pPr>
        <w:jc w:val="center"/>
        <w:rPr>
          <w:rFonts w:hAnsi="Times New Roman" w:ascii="Times New Roman"/>
          <w:szCs w:val="24"/>
        </w:rPr>
      </w:pPr>
      <w:r w:rsidRPr="002A7ADF">
        <w:rPr>
          <w:rFonts w:hAnsi="Times New Roman" w:ascii="Times New Roman"/>
          <w:szCs w:val="24"/>
        </w:rPr>
        <w:t>R J E Š E NJ E</w:t>
      </w:r>
    </w:p>
    <w:p w:rsidRDefault="0086140E" w:rsidP="0086140E" w:rsidR="0086140E" w:rsidRPr="002A7ADF">
      <w:pPr>
        <w:jc w:val="center"/>
        <w:rPr>
          <w:rFonts w:hAnsi="Times New Roman" w:ascii="Times New Roman"/>
          <w:szCs w:val="24"/>
        </w:rPr>
      </w:pPr>
    </w:p>
    <w:p w:rsidRDefault="0086140E" w:rsidP="00FF649E" w:rsidR="00FF649E">
      <w:pPr>
        <w:jc w:val="both"/>
        <w:rPr>
          <w:rFonts w:hAnsi="Times New Roman" w:ascii="Times New Roman"/>
          <w:szCs w:val="24"/>
        </w:rPr>
      </w:pPr>
      <w:r w:rsidRPr="002A7ADF">
        <w:rPr>
          <w:rFonts w:hAnsi="Times New Roman" w:ascii="Times New Roman"/>
          <w:szCs w:val="24"/>
        </w:rPr>
        <w:tab/>
        <w:t>TRGOVAČKI SUD U ZAGREBU</w:t>
      </w:r>
      <w:r w:rsidR="00FF649E">
        <w:rPr>
          <w:rFonts w:hAnsi="Times New Roman" w:ascii="Times New Roman"/>
          <w:szCs w:val="24"/>
        </w:rPr>
        <w:t>,</w:t>
      </w:r>
      <w:r w:rsidRPr="002A7ADF">
        <w:rPr>
          <w:rFonts w:hAnsi="Times New Roman" w:ascii="Times New Roman"/>
          <w:szCs w:val="24"/>
        </w:rPr>
        <w:t xml:space="preserve"> po sucu toga suda Jasenki Rundek</w:t>
      </w:r>
      <w:r w:rsidR="00FF649E">
        <w:rPr>
          <w:rFonts w:hAnsi="Times New Roman" w:ascii="Times New Roman"/>
          <w:szCs w:val="24"/>
        </w:rPr>
        <w:t xml:space="preserve">, u pravnoj stvari </w:t>
      </w:r>
      <w:r w:rsidR="00FF649E" w:rsidRPr="00840E3D">
        <w:rPr>
          <w:rFonts w:hAnsi="Times New Roman" w:ascii="Times New Roman"/>
          <w:szCs w:val="24"/>
        </w:rPr>
        <w:t>podnositelja zahtjeva Financijske agencije,</w:t>
      </w:r>
      <w:r w:rsidR="00FF649E">
        <w:rPr>
          <w:rFonts w:hAnsi="Times New Roman" w:ascii="Times New Roman"/>
          <w:szCs w:val="24"/>
        </w:rPr>
        <w:t xml:space="preserve"> </w:t>
      </w:r>
      <w:r w:rsidR="00FF649E" w:rsidRPr="00840E3D">
        <w:rPr>
          <w:rFonts w:hAnsi="Times New Roman" w:ascii="Times New Roman"/>
          <w:szCs w:val="24"/>
        </w:rPr>
        <w:t xml:space="preserve"> </w:t>
      </w:r>
      <w:r w:rsidR="00E72152">
        <w:rPr>
          <w:rFonts w:hAnsi="Times New Roman" w:ascii="Times New Roman"/>
          <w:szCs w:val="24"/>
        </w:rPr>
        <w:t>Podružnica Zagreb, Zagreb, Trg svibanjskih žrtava 1995. 1</w:t>
      </w:r>
      <w:r w:rsidR="00FF649E" w:rsidRPr="00840E3D">
        <w:rPr>
          <w:rFonts w:hAnsi="Times New Roman" w:ascii="Times New Roman"/>
          <w:szCs w:val="24"/>
        </w:rPr>
        <w:t xml:space="preserve"> za pokretanjem  skraćenog stečajnog postupka nad dužnikom </w:t>
      </w:r>
      <w:r w:rsidR="0041448D" w:rsidRPr="0041448D">
        <w:rPr>
          <w:rFonts w:hAnsi="Times New Roman" w:ascii="Times New Roman"/>
          <w:szCs w:val="24"/>
        </w:rPr>
        <w:t>BIJELA KUĆA d.o.o. za turizam i usluge, putnička agencija</w:t>
      </w:r>
      <w:r w:rsidR="0041448D">
        <w:rPr>
          <w:rFonts w:hAnsi="Times New Roman" w:ascii="Times New Roman"/>
          <w:szCs w:val="24"/>
        </w:rPr>
        <w:t xml:space="preserve">, Zagreb (Grad Zagreb), </w:t>
      </w:r>
      <w:r w:rsidR="0041448D" w:rsidRPr="0041448D">
        <w:rPr>
          <w:rFonts w:hAnsi="Times New Roman" w:ascii="Times New Roman"/>
          <w:szCs w:val="24"/>
        </w:rPr>
        <w:t>Ivana Lučića 2/A</w:t>
      </w:r>
      <w:r w:rsidR="0041448D">
        <w:rPr>
          <w:rFonts w:hAnsi="Times New Roman" w:ascii="Times New Roman"/>
          <w:szCs w:val="24"/>
        </w:rPr>
        <w:t xml:space="preserve">, OIB: </w:t>
      </w:r>
      <w:r w:rsidR="0041448D" w:rsidRPr="0041448D">
        <w:rPr>
          <w:rFonts w:hAnsi="Times New Roman" w:ascii="Times New Roman"/>
          <w:szCs w:val="24"/>
        </w:rPr>
        <w:t>88442925438</w:t>
      </w:r>
      <w:r w:rsidR="00E72152">
        <w:rPr>
          <w:rFonts w:hAnsi="Times New Roman" w:ascii="Times New Roman"/>
          <w:szCs w:val="24"/>
        </w:rPr>
        <w:t>,</w:t>
      </w:r>
      <w:r w:rsidR="00FF649E" w:rsidRPr="00840E3D">
        <w:rPr>
          <w:rFonts w:hAnsi="Times New Roman" w:ascii="Times New Roman"/>
          <w:szCs w:val="24"/>
        </w:rPr>
        <w:t xml:space="preserve"> dana</w:t>
      </w:r>
      <w:r w:rsidR="00E72152">
        <w:rPr>
          <w:rFonts w:hAnsi="Times New Roman" w:ascii="Times New Roman"/>
          <w:szCs w:val="24"/>
        </w:rPr>
        <w:t xml:space="preserve"> </w:t>
      </w:r>
      <w:r w:rsidR="0041448D">
        <w:rPr>
          <w:rFonts w:hAnsi="Times New Roman" w:ascii="Times New Roman"/>
          <w:szCs w:val="24"/>
        </w:rPr>
        <w:t>30. prosinca</w:t>
      </w:r>
      <w:r w:rsidR="00E72152">
        <w:rPr>
          <w:rFonts w:hAnsi="Times New Roman" w:ascii="Times New Roman"/>
          <w:szCs w:val="24"/>
        </w:rPr>
        <w:t xml:space="preserve"> </w:t>
      </w:r>
      <w:r w:rsidR="00FF649E" w:rsidRPr="00D44D4F">
        <w:rPr>
          <w:rFonts w:hAnsi="Times New Roman" w:ascii="Times New Roman"/>
          <w:szCs w:val="24"/>
        </w:rPr>
        <w:t>2015.</w:t>
      </w:r>
      <w:r w:rsidR="00FF649E" w:rsidRPr="00840E3D">
        <w:rPr>
          <w:rFonts w:hAnsi="Times New Roman" w:ascii="Times New Roman"/>
          <w:szCs w:val="24"/>
        </w:rPr>
        <w:t xml:space="preserve"> </w:t>
      </w:r>
    </w:p>
    <w:p w:rsidRDefault="00FF649E" w:rsidP="00FF649E" w:rsidR="00FF649E" w:rsidRPr="00840E3D">
      <w:pPr>
        <w:jc w:val="both"/>
        <w:rPr>
          <w:rFonts w:hAnsi="Times New Roman" w:ascii="Times New Roman"/>
          <w:szCs w:val="24"/>
        </w:rPr>
      </w:pPr>
    </w:p>
    <w:p w:rsidRDefault="00FF649E" w:rsidP="00FF649E" w:rsidR="00FF649E" w:rsidRPr="00840E3D">
      <w:pPr>
        <w:jc w:val="center"/>
        <w:rPr>
          <w:rFonts w:hAnsi="Times New Roman" w:ascii="Times New Roman"/>
          <w:szCs w:val="24"/>
        </w:rPr>
      </w:pPr>
      <w:r w:rsidRPr="00840E3D">
        <w:rPr>
          <w:rFonts w:hAnsi="Times New Roman" w:ascii="Times New Roman"/>
          <w:szCs w:val="24"/>
        </w:rPr>
        <w:t>r i j e š i o    je</w:t>
      </w:r>
    </w:p>
    <w:p w:rsidRDefault="00FF649E" w:rsidP="00FF649E" w:rsidR="00FF649E" w:rsidRPr="00840E3D">
      <w:pPr>
        <w:jc w:val="center"/>
        <w:rPr>
          <w:rFonts w:hAnsi="Times New Roman" w:ascii="Times New Roman"/>
          <w:szCs w:val="24"/>
        </w:rPr>
      </w:pPr>
    </w:p>
    <w:p w:rsidRDefault="00E72152" w:rsidP="0041448D" w:rsidR="00E72152">
      <w:pPr>
        <w:ind w:firstLine="708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Obustavlja se </w:t>
      </w:r>
      <w:r w:rsidR="00FF649E" w:rsidRPr="00532B71">
        <w:rPr>
          <w:rFonts w:hAnsi="Times New Roman" w:ascii="Times New Roman"/>
          <w:szCs w:val="24"/>
        </w:rPr>
        <w:t xml:space="preserve">skraćeni stečajni postupak nad dužnikom </w:t>
      </w:r>
      <w:r w:rsidR="0041448D" w:rsidRPr="0041448D">
        <w:rPr>
          <w:rFonts w:hAnsi="Times New Roman" w:ascii="Times New Roman"/>
          <w:szCs w:val="24"/>
        </w:rPr>
        <w:t>BIJELA KUĆA d.o.o. za turizam i usluge, putnička agencija</w:t>
      </w:r>
      <w:r w:rsidR="0041448D">
        <w:rPr>
          <w:rFonts w:hAnsi="Times New Roman" w:ascii="Times New Roman"/>
          <w:szCs w:val="24"/>
        </w:rPr>
        <w:t xml:space="preserve">, Zagreb (Grad Zagreb), </w:t>
      </w:r>
      <w:r w:rsidR="0041448D" w:rsidRPr="0041448D">
        <w:rPr>
          <w:rFonts w:hAnsi="Times New Roman" w:ascii="Times New Roman"/>
          <w:szCs w:val="24"/>
        </w:rPr>
        <w:t>Ivana Lučića 2/A</w:t>
      </w:r>
      <w:r w:rsidR="0041448D">
        <w:rPr>
          <w:rFonts w:hAnsi="Times New Roman" w:ascii="Times New Roman"/>
          <w:szCs w:val="24"/>
        </w:rPr>
        <w:t xml:space="preserve">, OIB: </w:t>
      </w:r>
      <w:r w:rsidR="0041448D" w:rsidRPr="0041448D">
        <w:rPr>
          <w:rFonts w:hAnsi="Times New Roman" w:ascii="Times New Roman"/>
          <w:szCs w:val="24"/>
        </w:rPr>
        <w:t>88442925438</w:t>
      </w:r>
      <w:r w:rsidR="0041448D">
        <w:rPr>
          <w:rFonts w:hAnsi="Times New Roman" w:ascii="Times New Roman"/>
          <w:szCs w:val="24"/>
        </w:rPr>
        <w:t>.</w:t>
      </w:r>
    </w:p>
    <w:p w:rsidRDefault="00FF649E" w:rsidP="00FF649E" w:rsidR="00FF649E" w:rsidRPr="00840E3D">
      <w:pPr>
        <w:ind w:firstLine="360"/>
        <w:jc w:val="both"/>
        <w:rPr>
          <w:rFonts w:hAnsi="Times New Roman" w:ascii="Times New Roman"/>
          <w:szCs w:val="24"/>
        </w:rPr>
      </w:pPr>
    </w:p>
    <w:p w:rsidRDefault="00FF649E" w:rsidP="00FF649E" w:rsidR="00FF649E" w:rsidRPr="00840E3D">
      <w:pPr>
        <w:ind w:left="360"/>
        <w:jc w:val="center"/>
        <w:rPr>
          <w:rFonts w:hAnsi="Times New Roman" w:ascii="Times New Roman"/>
          <w:szCs w:val="24"/>
        </w:rPr>
      </w:pPr>
      <w:r w:rsidRPr="00840E3D">
        <w:rPr>
          <w:rFonts w:hAnsi="Times New Roman" w:ascii="Times New Roman"/>
          <w:szCs w:val="24"/>
        </w:rPr>
        <w:t>Obrazloženje</w:t>
      </w:r>
    </w:p>
    <w:p w:rsidRDefault="00FF649E" w:rsidP="00FF649E" w:rsidR="00FF649E" w:rsidRPr="00840E3D">
      <w:pPr>
        <w:jc w:val="both"/>
        <w:rPr>
          <w:rFonts w:hAnsi="Times New Roman" w:ascii="Times New Roman"/>
          <w:szCs w:val="24"/>
        </w:rPr>
      </w:pPr>
    </w:p>
    <w:p w:rsidRDefault="00FF649E" w:rsidP="00FF649E" w:rsidR="00FF649E">
      <w:pPr>
        <w:jc w:val="both"/>
        <w:rPr>
          <w:rFonts w:hAnsi="Times New Roman" w:ascii="Times New Roman"/>
        </w:rPr>
      </w:pPr>
      <w:r>
        <w:rPr>
          <w:rFonts w:hAnsi="Times New Roman" w:ascii="Times New Roman"/>
          <w:szCs w:val="24"/>
        </w:rPr>
        <w:tab/>
      </w:r>
      <w:r w:rsidRPr="0042162E">
        <w:rPr>
          <w:rFonts w:hAnsi="Times New Roman" w:ascii="Times New Roman"/>
          <w:szCs w:val="24"/>
        </w:rPr>
        <w:t xml:space="preserve">Zahtjev za provedbu skraćenog stečajnog postupka </w:t>
      </w:r>
      <w:r>
        <w:rPr>
          <w:rFonts w:hAnsi="Times New Roman" w:ascii="Times New Roman"/>
          <w:szCs w:val="24"/>
        </w:rPr>
        <w:t xml:space="preserve">nad gore navedenom pravnom osobom </w:t>
      </w:r>
      <w:r w:rsidRPr="0042162E">
        <w:rPr>
          <w:rFonts w:hAnsi="Times New Roman" w:ascii="Times New Roman"/>
          <w:szCs w:val="24"/>
        </w:rPr>
        <w:t xml:space="preserve">podnijela je </w:t>
      </w:r>
      <w:r w:rsidR="00E72152">
        <w:rPr>
          <w:rFonts w:hAnsi="Times New Roman" w:ascii="Times New Roman"/>
          <w:szCs w:val="24"/>
        </w:rPr>
        <w:t>ovome sudu Financijska agencija, Podružnica Zagreb</w:t>
      </w:r>
      <w:r>
        <w:rPr>
          <w:rFonts w:hAnsi="Times New Roman" w:ascii="Times New Roman"/>
          <w:szCs w:val="24"/>
        </w:rPr>
        <w:t xml:space="preserve"> (dalje: FINA)</w:t>
      </w:r>
      <w:r w:rsidRPr="0042162E">
        <w:rPr>
          <w:rFonts w:hAnsi="Times New Roman" w:ascii="Times New Roman"/>
          <w:szCs w:val="24"/>
        </w:rPr>
        <w:t xml:space="preserve">, temeljem odredbe čl. 429. </w:t>
      </w:r>
      <w:r w:rsidRPr="0042162E">
        <w:rPr>
          <w:rFonts w:hAnsi="Times New Roman" w:ascii="Times New Roman"/>
        </w:rPr>
        <w:t>Stečajnog zakona (NN 71/15, dalje SZ)</w:t>
      </w:r>
      <w:r>
        <w:rPr>
          <w:rFonts w:hAnsi="Times New Roman" w:ascii="Times New Roman"/>
        </w:rPr>
        <w:t>, navodeći da su kod dužnika ispunjeni uvjeti iz čl. 428. SZ-a: da dužnik nema zaposlenih, da nisu ispunjeni uvjeti za pokretanje drugog postupka radi brisanja istog iz sudskog registra te da u Očevidniku redoslijeda osnova za plaćanje (dalje: ORP) dužnik ima evidentirane neizvršene osnove za plaćanje u neprekidnom razdoblju od 120 dana.</w:t>
      </w:r>
    </w:p>
    <w:p w:rsidRDefault="0041448D" w:rsidP="00FF649E" w:rsidR="0041448D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ab/>
        <w:t xml:space="preserve">Podneskom od 28. prosinca 2015. predlagatelj je izvijestio sud da je dužnik podnio prijedlog za otvaranje predstečajne nagodbe 7. kolovoza 2015. koji je u tijeku. </w:t>
      </w:r>
    </w:p>
    <w:p w:rsidRDefault="0041448D" w:rsidP="00FF649E" w:rsidR="00FF649E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ab/>
        <w:t>Prema članku 39. stavak 3. Zakona o financijskom poslovanju i predstečajnoj nagodbi nije dopušteno pokrenuti stečajni postupak do okončanja predstečajne nagodbe.</w:t>
      </w:r>
      <w:r w:rsidR="00FF649E">
        <w:rPr>
          <w:rFonts w:hAnsi="Times New Roman" w:ascii="Times New Roman"/>
        </w:rPr>
        <w:tab/>
      </w:r>
    </w:p>
    <w:p w:rsidRDefault="00FF649E" w:rsidP="00FF649E" w:rsidR="00B85224" w:rsidRPr="002A7ADF">
      <w:pPr>
        <w:ind w:firstLine="720"/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Temeljem gore navedenog proizlazi da </w:t>
      </w:r>
      <w:r w:rsidR="00E72152">
        <w:rPr>
          <w:rFonts w:hAnsi="Times New Roman" w:ascii="Times New Roman"/>
        </w:rPr>
        <w:t xml:space="preserve">nisu ispunjeni uvjeti za provedbu skraćenog stečajnog postupka sukladno </w:t>
      </w:r>
      <w:r>
        <w:rPr>
          <w:rFonts w:hAnsi="Times New Roman" w:ascii="Times New Roman"/>
        </w:rPr>
        <w:t>čl. 428. SZ-a, te je stoga odlučeno kao u izreci ovog rješenja</w:t>
      </w:r>
      <w:r w:rsidR="00E72152">
        <w:rPr>
          <w:rFonts w:hAnsi="Times New Roman" w:ascii="Times New Roman"/>
        </w:rPr>
        <w:t>.</w:t>
      </w:r>
    </w:p>
    <w:p w:rsidRDefault="0027631B" w:rsidP="0027631B" w:rsidR="0027631B" w:rsidRPr="002A7ADF">
      <w:pPr>
        <w:jc w:val="both"/>
        <w:rPr>
          <w:rFonts w:hAnsi="Times New Roman" w:ascii="Times New Roman"/>
          <w:szCs w:val="24"/>
        </w:rPr>
      </w:pPr>
    </w:p>
    <w:p w:rsidRDefault="0027631B" w:rsidP="0027631B" w:rsidR="0086140E" w:rsidRPr="002A7ADF">
      <w:pPr>
        <w:jc w:val="center"/>
        <w:rPr>
          <w:rFonts w:hAnsi="Times New Roman" w:ascii="Times New Roman"/>
          <w:szCs w:val="24"/>
        </w:rPr>
      </w:pPr>
      <w:r w:rsidRPr="002A7ADF">
        <w:rPr>
          <w:rFonts w:hAnsi="Times New Roman" w:ascii="Times New Roman"/>
          <w:szCs w:val="24"/>
        </w:rPr>
        <w:t xml:space="preserve">U Zagrebu </w:t>
      </w:r>
      <w:r w:rsidR="0041448D">
        <w:rPr>
          <w:rFonts w:hAnsi="Times New Roman" w:ascii="Times New Roman"/>
          <w:szCs w:val="24"/>
        </w:rPr>
        <w:t>30. prosinca</w:t>
      </w:r>
      <w:r w:rsidR="00535D64" w:rsidRPr="002A7ADF">
        <w:rPr>
          <w:rFonts w:hAnsi="Times New Roman" w:ascii="Times New Roman"/>
          <w:szCs w:val="24"/>
        </w:rPr>
        <w:t xml:space="preserve"> </w:t>
      </w:r>
      <w:r w:rsidR="0086140E" w:rsidRPr="002A7ADF">
        <w:rPr>
          <w:rFonts w:hAnsi="Times New Roman" w:ascii="Times New Roman"/>
          <w:szCs w:val="24"/>
        </w:rPr>
        <w:t>2015.</w:t>
      </w:r>
    </w:p>
    <w:p w:rsidRDefault="0086140E" w:rsidP="0086140E" w:rsidR="0086140E" w:rsidRPr="002A7ADF">
      <w:pPr>
        <w:ind w:left="2124"/>
        <w:rPr>
          <w:rFonts w:hAnsi="Times New Roman" w:ascii="Times New Roman"/>
          <w:szCs w:val="24"/>
        </w:rPr>
      </w:pPr>
    </w:p>
    <w:tbl>
      <w:tblPr>
        <w:tblW w:type="dxa" w:w="4253"/>
        <w:tblInd w:type="dxa" w:w="4219"/>
        <w:tblLook w:val="0000" w:noVBand="0" w:noHBand="0" w:lastColumn="0" w:firstColumn="0" w:lastRow="0" w:firstRow="0"/>
      </w:tblPr>
      <w:tblGrid>
        <w:gridCol w:w="4253"/>
      </w:tblGrid>
      <w:tr w:rsidTr="000E29AD" w:rsidR="000E29AD" w:rsidRPr="002A7ADF">
        <w:trPr>
          <w:trHeight w:val="591"/>
        </w:trPr>
        <w:tc>
          <w:tcPr>
            <w:tcW w:type="dxa" w:w="4253"/>
          </w:tcPr>
          <w:p w:rsidRDefault="000E29AD" w:rsidP="000E29AD" w:rsidR="000E29AD" w:rsidRPr="002A7ADF">
            <w:pPr>
              <w:jc w:val="center"/>
              <w:rPr>
                <w:rFonts w:hAnsi="Times New Roman" w:ascii="Times New Roman"/>
                <w:szCs w:val="24"/>
              </w:rPr>
            </w:pPr>
            <w:r w:rsidRPr="002A7ADF">
              <w:rPr>
                <w:rFonts w:hAnsi="Times New Roman" w:ascii="Times New Roman"/>
                <w:szCs w:val="24"/>
              </w:rPr>
              <w:t>S U D A C:</w:t>
            </w:r>
          </w:p>
          <w:p w:rsidRDefault="000E29AD" w:rsidP="007F2327" w:rsidR="007F2327" w:rsidRPr="002A7ADF">
            <w:pPr>
              <w:jc w:val="center"/>
              <w:rPr>
                <w:rFonts w:hAnsi="Times New Roman" w:ascii="Times New Roman"/>
                <w:szCs w:val="24"/>
              </w:rPr>
            </w:pPr>
            <w:r w:rsidRPr="002A7ADF">
              <w:rPr>
                <w:rFonts w:hAnsi="Times New Roman" w:ascii="Times New Roman"/>
                <w:szCs w:val="24"/>
              </w:rPr>
              <w:t>JASENKA RUNDEK</w:t>
            </w:r>
          </w:p>
          <w:p w:rsidRDefault="000E29AD" w:rsidP="0027631B" w:rsidR="000E29AD" w:rsidRPr="002A7ADF">
            <w:pPr>
              <w:jc w:val="center"/>
              <w:rPr>
                <w:rFonts w:hAnsi="Times New Roman" w:ascii="Times New Roman"/>
                <w:szCs w:val="24"/>
              </w:rPr>
            </w:pPr>
          </w:p>
        </w:tc>
      </w:tr>
    </w:tbl>
    <w:p w:rsidRDefault="00FF649E" w:rsidP="00E72152" w:rsidR="00FF649E" w:rsidRPr="00C617A4">
      <w:pPr>
        <w:rPr>
          <w:rFonts w:hAnsi="Times New Roman" w:ascii="Times New Roman"/>
          <w:szCs w:val="24"/>
        </w:rPr>
      </w:pPr>
      <w:r w:rsidRPr="00C617A4">
        <w:rPr>
          <w:rFonts w:hAnsi="Times New Roman" w:ascii="Times New Roman"/>
          <w:szCs w:val="24"/>
        </w:rPr>
        <w:t>Uputa o pravnom lijeku:</w:t>
      </w:r>
    </w:p>
    <w:p w:rsidRDefault="00FF649E" w:rsidP="00FF649E" w:rsidR="00FF649E" w:rsidRPr="00C617A4">
      <w:pPr>
        <w:jc w:val="both"/>
        <w:rPr>
          <w:rFonts w:hAnsi="Times New Roman" w:ascii="Times New Roman"/>
          <w:szCs w:val="24"/>
        </w:rPr>
      </w:pPr>
      <w:r w:rsidRPr="00C617A4">
        <w:rPr>
          <w:rFonts w:hAnsi="Times New Roman" w:ascii="Times New Roman"/>
          <w:szCs w:val="24"/>
        </w:rPr>
        <w:t xml:space="preserve">Protiv ovog rješenja dopuštena je  žalba Visokom trgovačkom sudu RH, a koja se podnosi u roku od 8 dana ovome sudu u 3 primjerka.  </w:t>
      </w:r>
    </w:p>
    <w:p w:rsidRDefault="00FF649E" w:rsidP="00FF649E" w:rsidR="00FF649E">
      <w:pPr>
        <w:jc w:val="both"/>
        <w:rPr>
          <w:rFonts w:hAnsi="Times New Roman" w:ascii="Times New Roman"/>
          <w:szCs w:val="24"/>
        </w:rPr>
      </w:pPr>
      <w:r w:rsidRPr="00D44D4F">
        <w:rPr>
          <w:rFonts w:hAnsi="Times New Roman" w:ascii="Times New Roman"/>
          <w:szCs w:val="24"/>
        </w:rPr>
        <w:t>DN</w:t>
      </w:r>
      <w:r>
        <w:rPr>
          <w:rFonts w:hAnsi="Times New Roman" w:ascii="Times New Roman"/>
          <w:szCs w:val="24"/>
        </w:rPr>
        <w:t>A</w:t>
      </w:r>
      <w:r w:rsidRPr="00D44D4F">
        <w:rPr>
          <w:rFonts w:hAnsi="Times New Roman" w:ascii="Times New Roman"/>
          <w:szCs w:val="24"/>
        </w:rPr>
        <w:t>:</w:t>
      </w:r>
    </w:p>
    <w:p w:rsidRDefault="00FF649E" w:rsidP="00FF649E" w:rsidR="00FF649E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1.) Podnositelju zahtjeva: FINA-i</w:t>
      </w:r>
    </w:p>
    <w:p w:rsidRDefault="00FF649E" w:rsidP="00E72152" w:rsidR="00D75016" w:rsidRPr="002A7ADF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2.) </w:t>
      </w:r>
      <w:r w:rsidR="00E72152">
        <w:rPr>
          <w:rFonts w:hAnsi="Times New Roman" w:ascii="Times New Roman"/>
          <w:szCs w:val="24"/>
        </w:rPr>
        <w:t>e</w:t>
      </w:r>
      <w:r>
        <w:rPr>
          <w:rFonts w:hAnsi="Times New Roman" w:ascii="Times New Roman"/>
          <w:szCs w:val="24"/>
        </w:rPr>
        <w:t>-Oglasn</w:t>
      </w:r>
      <w:r w:rsidR="00E72152">
        <w:rPr>
          <w:rFonts w:hAnsi="Times New Roman" w:ascii="Times New Roman"/>
          <w:szCs w:val="24"/>
        </w:rPr>
        <w:t>a</w:t>
      </w:r>
      <w:r>
        <w:rPr>
          <w:rFonts w:hAnsi="Times New Roman" w:ascii="Times New Roman"/>
          <w:szCs w:val="24"/>
        </w:rPr>
        <w:t xml:space="preserve"> ploč</w:t>
      </w:r>
      <w:r w:rsidR="00E72152">
        <w:rPr>
          <w:rFonts w:hAnsi="Times New Roman" w:ascii="Times New Roman"/>
          <w:szCs w:val="24"/>
        </w:rPr>
        <w:t>a – 8 dana</w:t>
      </w:r>
    </w:p>
    <w:sectPr w:rsidSect="006300BC" w:rsidR="00D75016" w:rsidRPr="002A7ADF">
      <w:headerReference w:type="even" r:id="rId11"/>
      <w:headerReference w:type="default" r:id="rId12"/>
      <w:pgSz w:code="9" w:h="16840" w:w="11907"/>
      <w:pgMar w:gutter="0" w:footer="720" w:header="720" w:left="1531" w:bottom="1560" w:right="1559" w:top="1134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E1B3D" w:rsidR="008E1B3D">
      <w:r>
        <w:separator/>
      </w:r>
    </w:p>
  </w:endnote>
  <w:endnote w:id="0" w:type="continuationSeparator">
    <w:p w:rsidRDefault="008E1B3D" w:rsidR="008E1B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E1B3D" w:rsidR="008E1B3D">
      <w:r>
        <w:separator/>
      </w:r>
    </w:p>
  </w:footnote>
  <w:footnote w:id="0" w:type="continuationSeparator">
    <w:p w:rsidRDefault="008E1B3D" w:rsidR="008E1B3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037F4" w:rsidP="006300BC" w:rsidR="00D037F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D037F4" w:rsidR="00D037F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037F4" w:rsidP="006300BC" w:rsidR="00D037F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F2327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D037F4" w:rsidR="00D037F4">
    <w:pPr>
      <w:pStyle w:val="Zaglavlje"/>
      <w:rPr>
        <w:sz w:val="22"/>
        <w:szCs w:val="22"/>
      </w:rPr>
    </w:pPr>
  </w:p>
  <w:p w:rsidRDefault="000E29AD" w:rsidP="006300BC" w:rsidR="00D037F4" w:rsidRPr="00CE34B4">
    <w:pPr>
      <w:pStyle w:val="Zaglavlje"/>
      <w:jc w:val="right"/>
      <w:rPr>
        <w:rFonts w:hAnsi="Times New Roman" w:ascii="Times New Roman"/>
        <w:szCs w:val="24"/>
      </w:rPr>
    </w:pPr>
    <w:r>
      <w:rPr>
        <w:rFonts w:hAnsi="Times New Roman" w:ascii="Times New Roman"/>
        <w:szCs w:val="24"/>
      </w:rPr>
      <w:t>4</w:t>
    </w:r>
    <w:r w:rsidR="00D037F4" w:rsidRPr="00CE34B4">
      <w:rPr>
        <w:rFonts w:hAnsi="Times New Roman" w:ascii="Times New Roman"/>
        <w:szCs w:val="24"/>
      </w:rPr>
      <w:t xml:space="preserve"> </w:t>
    </w:r>
    <w:r w:rsidR="00235D86">
      <w:rPr>
        <w:rFonts w:hAnsi="Times New Roman" w:ascii="Times New Roman"/>
        <w:szCs w:val="24"/>
      </w:rPr>
      <w:t>St-</w:t>
    </w:r>
    <w:r w:rsidR="0041448D">
      <w:rPr>
        <w:rFonts w:hAnsi="Times New Roman" w:ascii="Times New Roman"/>
        <w:szCs w:val="24"/>
      </w:rPr>
      <w:t>5494</w:t>
    </w:r>
    <w:r w:rsidR="00E72152">
      <w:rPr>
        <w:rFonts w:hAnsi="Times New Roman" w:ascii="Times New Roman"/>
        <w:szCs w:val="24"/>
      </w:rPr>
      <w:t>/15</w:t>
    </w:r>
  </w:p>
  <w:p w:rsidRDefault="00D037F4" w:rsidP="006300BC" w:rsidR="00D037F4">
    <w:pPr>
      <w:pStyle w:val="Zaglavlje"/>
      <w:jc w:val="right"/>
      <w:rPr>
        <w:sz w:val="22"/>
        <w:szCs w:val="22"/>
      </w:rPr>
    </w:pPr>
  </w:p>
  <w:p w:rsidRDefault="00D037F4" w:rsidP="006300BC" w:rsidR="00D037F4" w:rsidRPr="00963EDB">
    <w:pPr>
      <w:pStyle w:val="Zaglavlje"/>
      <w:jc w:val="right"/>
      <w:rPr>
        <w:sz w:val="22"/>
        <w:szCs w:val="22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8AC0099"/>
    <w:multiLevelType w:val="hybridMultilevel"/>
    <w:tmpl w:val="D644A5E0"/>
    <w:lvl w:tplc="F668B614" w:ilvl="0">
      <w:start w:val="1"/>
      <w:numFmt w:val="upperRoman"/>
      <w:lvlText w:val="%1."/>
      <w:lvlJc w:val="left"/>
      <w:pPr>
        <w:tabs>
          <w:tab w:pos="840" w:val="num"/>
        </w:tabs>
        <w:ind w:hanging="720" w:left="8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200" w:val="num"/>
        </w:tabs>
        <w:ind w:hanging="360" w:left="1200"/>
      </w:pPr>
    </w:lvl>
    <w:lvl w:tentative="true" w:tplc="041A001B" w:ilvl="2">
      <w:start w:val="1"/>
      <w:numFmt w:val="lowerRoman"/>
      <w:lvlText w:val="%3."/>
      <w:lvlJc w:val="right"/>
      <w:pPr>
        <w:tabs>
          <w:tab w:pos="1920" w:val="num"/>
        </w:tabs>
        <w:ind w:hanging="180" w:left="1920"/>
      </w:pPr>
    </w:lvl>
    <w:lvl w:tentative="true" w:tplc="041A000F" w:ilvl="3">
      <w:start w:val="1"/>
      <w:numFmt w:val="decimal"/>
      <w:lvlText w:val="%4."/>
      <w:lvlJc w:val="left"/>
      <w:pPr>
        <w:tabs>
          <w:tab w:pos="2640" w:val="num"/>
        </w:tabs>
        <w:ind w:hanging="360" w:left="2640"/>
      </w:pPr>
    </w:lvl>
    <w:lvl w:tentative="true" w:tplc="041A0019" w:ilvl="4">
      <w:start w:val="1"/>
      <w:numFmt w:val="lowerLetter"/>
      <w:lvlText w:val="%5."/>
      <w:lvlJc w:val="left"/>
      <w:pPr>
        <w:tabs>
          <w:tab w:pos="3360" w:val="num"/>
        </w:tabs>
        <w:ind w:hanging="360" w:left="3360"/>
      </w:pPr>
    </w:lvl>
    <w:lvl w:tentative="true" w:tplc="041A001B" w:ilvl="5">
      <w:start w:val="1"/>
      <w:numFmt w:val="lowerRoman"/>
      <w:lvlText w:val="%6."/>
      <w:lvlJc w:val="right"/>
      <w:pPr>
        <w:tabs>
          <w:tab w:pos="4080" w:val="num"/>
        </w:tabs>
        <w:ind w:hanging="180" w:left="4080"/>
      </w:pPr>
    </w:lvl>
    <w:lvl w:tentative="true" w:tplc="041A000F" w:ilvl="6">
      <w:start w:val="1"/>
      <w:numFmt w:val="decimal"/>
      <w:lvlText w:val="%7."/>
      <w:lvlJc w:val="left"/>
      <w:pPr>
        <w:tabs>
          <w:tab w:pos="4800" w:val="num"/>
        </w:tabs>
        <w:ind w:hanging="360" w:left="4800"/>
      </w:pPr>
    </w:lvl>
    <w:lvl w:tentative="true" w:tplc="041A0019" w:ilvl="7">
      <w:start w:val="1"/>
      <w:numFmt w:val="lowerLetter"/>
      <w:lvlText w:val="%8."/>
      <w:lvlJc w:val="left"/>
      <w:pPr>
        <w:tabs>
          <w:tab w:pos="5520" w:val="num"/>
        </w:tabs>
        <w:ind w:hanging="360" w:left="5520"/>
      </w:pPr>
    </w:lvl>
    <w:lvl w:tentative="true" w:tplc="041A001B" w:ilvl="8">
      <w:start w:val="1"/>
      <w:numFmt w:val="lowerRoman"/>
      <w:lvlText w:val="%9."/>
      <w:lvlJc w:val="right"/>
      <w:pPr>
        <w:tabs>
          <w:tab w:pos="6240" w:val="num"/>
        </w:tabs>
        <w:ind w:hanging="180" w:left="6240"/>
      </w:pPr>
    </w:lvl>
  </w:abstractNum>
  <w:abstractNum w:abstractNumId="1">
    <w:nsid w:val="2A717EC6"/>
    <w:multiLevelType w:val="hybridMultilevel"/>
    <w:tmpl w:val="E1EE0EE4"/>
    <w:lvl w:tplc="AB94D64E" w:ilvl="0">
      <w:start w:val="1"/>
      <w:numFmt w:val="decimal"/>
      <w:lvlText w:val="%1."/>
      <w:lvlJc w:val="left"/>
      <w:pPr>
        <w:tabs>
          <w:tab w:pos="1822" w:val="num"/>
        </w:tabs>
        <w:ind w:hanging="960" w:left="1822"/>
      </w:pPr>
      <w:rPr>
        <w:rFonts w:hint="default"/>
      </w:rPr>
    </w:lvl>
    <w:lvl w:tplc="C3A2C416" w:ilvl="1">
      <w:start w:val="1"/>
      <w:numFmt w:val="upperRoman"/>
      <w:lvlText w:val="%2."/>
      <w:lvlJc w:val="left"/>
      <w:pPr>
        <w:tabs>
          <w:tab w:pos="2302" w:val="num"/>
        </w:tabs>
        <w:ind w:hanging="720" w:left="2302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662" w:val="num"/>
        </w:tabs>
        <w:ind w:hanging="180" w:left="2662"/>
      </w:pPr>
    </w:lvl>
    <w:lvl w:tentative="true" w:tplc="041A000F" w:ilvl="3">
      <w:start w:val="1"/>
      <w:numFmt w:val="decimal"/>
      <w:lvlText w:val="%4."/>
      <w:lvlJc w:val="left"/>
      <w:pPr>
        <w:tabs>
          <w:tab w:pos="3382" w:val="num"/>
        </w:tabs>
        <w:ind w:hanging="360" w:left="3382"/>
      </w:pPr>
    </w:lvl>
    <w:lvl w:tentative="true" w:tplc="041A0019" w:ilvl="4">
      <w:start w:val="1"/>
      <w:numFmt w:val="lowerLetter"/>
      <w:lvlText w:val="%5."/>
      <w:lvlJc w:val="left"/>
      <w:pPr>
        <w:tabs>
          <w:tab w:pos="4102" w:val="num"/>
        </w:tabs>
        <w:ind w:hanging="360" w:left="4102"/>
      </w:pPr>
    </w:lvl>
    <w:lvl w:tentative="true" w:tplc="041A001B" w:ilvl="5">
      <w:start w:val="1"/>
      <w:numFmt w:val="lowerRoman"/>
      <w:lvlText w:val="%6."/>
      <w:lvlJc w:val="right"/>
      <w:pPr>
        <w:tabs>
          <w:tab w:pos="4822" w:val="num"/>
        </w:tabs>
        <w:ind w:hanging="180" w:left="4822"/>
      </w:pPr>
    </w:lvl>
    <w:lvl w:tentative="true" w:tplc="041A000F" w:ilvl="6">
      <w:start w:val="1"/>
      <w:numFmt w:val="decimal"/>
      <w:lvlText w:val="%7."/>
      <w:lvlJc w:val="left"/>
      <w:pPr>
        <w:tabs>
          <w:tab w:pos="5542" w:val="num"/>
        </w:tabs>
        <w:ind w:hanging="360" w:left="5542"/>
      </w:pPr>
    </w:lvl>
    <w:lvl w:tentative="true" w:tplc="041A0019" w:ilvl="7">
      <w:start w:val="1"/>
      <w:numFmt w:val="lowerLetter"/>
      <w:lvlText w:val="%8."/>
      <w:lvlJc w:val="left"/>
      <w:pPr>
        <w:tabs>
          <w:tab w:pos="6262" w:val="num"/>
        </w:tabs>
        <w:ind w:hanging="360" w:left="6262"/>
      </w:pPr>
    </w:lvl>
    <w:lvl w:tentative="true" w:tplc="041A001B" w:ilvl="8">
      <w:start w:val="1"/>
      <w:numFmt w:val="lowerRoman"/>
      <w:lvlText w:val="%9."/>
      <w:lvlJc w:val="right"/>
      <w:pPr>
        <w:tabs>
          <w:tab w:pos="6982" w:val="num"/>
        </w:tabs>
        <w:ind w:hanging="180" w:left="6982"/>
      </w:pPr>
    </w:lvl>
  </w:abstractNum>
  <w:abstractNum w:abstractNumId="2">
    <w:nsid w:val="2F796E54"/>
    <w:multiLevelType w:val="hybridMultilevel"/>
    <w:tmpl w:val="00006616"/>
    <w:lvl w:tplc="CBC6ECCC" w:ilvl="0">
      <w:start w:val="1"/>
      <w:numFmt w:val="upperRoman"/>
      <w:lvlText w:val="%1."/>
      <w:lvlJc w:val="left"/>
      <w:pPr>
        <w:ind w:hanging="72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080"/>
      </w:pPr>
    </w:lvl>
    <w:lvl w:tentative="true" w:tplc="041A001B" w:ilvl="2">
      <w:start w:val="1"/>
      <w:numFmt w:val="lowerRoman"/>
      <w:lvlText w:val="%3."/>
      <w:lvlJc w:val="right"/>
      <w:pPr>
        <w:ind w:hanging="180" w:left="1800"/>
      </w:pPr>
    </w:lvl>
    <w:lvl w:tentative="true" w:tplc="041A000F" w:ilvl="3">
      <w:start w:val="1"/>
      <w:numFmt w:val="decimal"/>
      <w:lvlText w:val="%4."/>
      <w:lvlJc w:val="left"/>
      <w:pPr>
        <w:ind w:hanging="360" w:left="2520"/>
      </w:pPr>
    </w:lvl>
    <w:lvl w:tentative="true" w:tplc="041A0019" w:ilvl="4">
      <w:start w:val="1"/>
      <w:numFmt w:val="lowerLetter"/>
      <w:lvlText w:val="%5."/>
      <w:lvlJc w:val="left"/>
      <w:pPr>
        <w:ind w:hanging="360" w:left="3240"/>
      </w:pPr>
    </w:lvl>
    <w:lvl w:tentative="true" w:tplc="041A001B" w:ilvl="5">
      <w:start w:val="1"/>
      <w:numFmt w:val="lowerRoman"/>
      <w:lvlText w:val="%6."/>
      <w:lvlJc w:val="right"/>
      <w:pPr>
        <w:ind w:hanging="180" w:left="3960"/>
      </w:pPr>
    </w:lvl>
    <w:lvl w:tentative="true" w:tplc="041A000F" w:ilvl="6">
      <w:start w:val="1"/>
      <w:numFmt w:val="decimal"/>
      <w:lvlText w:val="%7."/>
      <w:lvlJc w:val="left"/>
      <w:pPr>
        <w:ind w:hanging="360" w:left="4680"/>
      </w:pPr>
    </w:lvl>
    <w:lvl w:tentative="true" w:tplc="041A0019" w:ilvl="7">
      <w:start w:val="1"/>
      <w:numFmt w:val="lowerLetter"/>
      <w:lvlText w:val="%8."/>
      <w:lvlJc w:val="left"/>
      <w:pPr>
        <w:ind w:hanging="360" w:left="5400"/>
      </w:pPr>
    </w:lvl>
    <w:lvl w:tentative="true" w:tplc="041A001B" w:ilvl="8">
      <w:start w:val="1"/>
      <w:numFmt w:val="lowerRoman"/>
      <w:lvlText w:val="%9."/>
      <w:lvlJc w:val="right"/>
      <w:pPr>
        <w:ind w:hanging="180" w:left="6120"/>
      </w:pPr>
    </w:lvl>
  </w:abstractNum>
  <w:abstractNum w:abstractNumId="3">
    <w:nsid w:val="38E857C4"/>
    <w:multiLevelType w:val="hybridMultilevel"/>
    <w:tmpl w:val="B14E8BF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43FB3CB3"/>
    <w:multiLevelType w:val="hybridMultilevel"/>
    <w:tmpl w:val="8AEC08A8"/>
    <w:lvl w:tplc="F0349514" w:ilvl="0">
      <w:start w:val="1"/>
      <w:numFmt w:val="upperRoman"/>
      <w:lvlText w:val="%1."/>
      <w:lvlJc w:val="left"/>
      <w:pPr>
        <w:ind w:hanging="720" w:left="720"/>
      </w:pPr>
    </w:lvl>
    <w:lvl w:tplc="041A0019" w:ilvl="1">
      <w:start w:val="1"/>
      <w:numFmt w:val="lowerLetter"/>
      <w:lvlText w:val="%2."/>
      <w:lvlJc w:val="left"/>
      <w:pPr>
        <w:ind w:hanging="360" w:left="1080"/>
      </w:pPr>
    </w:lvl>
    <w:lvl w:tplc="041A001B" w:ilvl="2">
      <w:start w:val="1"/>
      <w:numFmt w:val="lowerRoman"/>
      <w:lvlText w:val="%3."/>
      <w:lvlJc w:val="right"/>
      <w:pPr>
        <w:ind w:hanging="180" w:left="1800"/>
      </w:pPr>
    </w:lvl>
    <w:lvl w:tplc="041A000F" w:ilvl="3">
      <w:start w:val="1"/>
      <w:numFmt w:val="decimal"/>
      <w:lvlText w:val="%4."/>
      <w:lvlJc w:val="left"/>
      <w:pPr>
        <w:ind w:hanging="360" w:left="2520"/>
      </w:pPr>
    </w:lvl>
    <w:lvl w:tplc="041A0019" w:ilvl="4">
      <w:start w:val="1"/>
      <w:numFmt w:val="lowerLetter"/>
      <w:lvlText w:val="%5."/>
      <w:lvlJc w:val="left"/>
      <w:pPr>
        <w:ind w:hanging="360" w:left="3240"/>
      </w:pPr>
    </w:lvl>
    <w:lvl w:tplc="041A001B" w:ilvl="5">
      <w:start w:val="1"/>
      <w:numFmt w:val="lowerRoman"/>
      <w:lvlText w:val="%6."/>
      <w:lvlJc w:val="right"/>
      <w:pPr>
        <w:ind w:hanging="180" w:left="3960"/>
      </w:pPr>
    </w:lvl>
    <w:lvl w:tplc="041A000F" w:ilvl="6">
      <w:start w:val="1"/>
      <w:numFmt w:val="decimal"/>
      <w:lvlText w:val="%7."/>
      <w:lvlJc w:val="left"/>
      <w:pPr>
        <w:ind w:hanging="360" w:left="4680"/>
      </w:pPr>
    </w:lvl>
    <w:lvl w:tplc="041A0019" w:ilvl="7">
      <w:start w:val="1"/>
      <w:numFmt w:val="lowerLetter"/>
      <w:lvlText w:val="%8."/>
      <w:lvlJc w:val="left"/>
      <w:pPr>
        <w:ind w:hanging="360" w:left="5400"/>
      </w:pPr>
    </w:lvl>
    <w:lvl w:tplc="041A001B" w:ilvl="8">
      <w:start w:val="1"/>
      <w:numFmt w:val="lowerRoman"/>
      <w:lvlText w:val="%9."/>
      <w:lvlJc w:val="right"/>
      <w:pPr>
        <w:ind w:hanging="180" w:left="6120"/>
      </w:pPr>
    </w:lvl>
  </w:abstractNum>
  <w:abstractNum w:abstractNumId="5">
    <w:nsid w:val="7A5E4755"/>
    <w:multiLevelType w:val="hybridMultilevel"/>
    <w:tmpl w:val="F8266AE0"/>
    <w:lvl w:tplc="D51E8904" w:ilvl="0">
      <w:start w:val="1"/>
      <w:numFmt w:val="decimal"/>
      <w:lvlText w:val="%1."/>
      <w:lvlJc w:val="left"/>
      <w:pPr>
        <w:tabs>
          <w:tab w:pos="360" w:val="num"/>
        </w:tabs>
        <w:ind w:hanging="360" w:left="360"/>
      </w:pPr>
    </w:lvl>
    <w:lvl w:tplc="041A0019" w:ilvl="1">
      <w:start w:val="1"/>
      <w:numFmt w:val="lowerLetter"/>
      <w:lvlText w:val="%2."/>
      <w:lvlJc w:val="left"/>
      <w:pPr>
        <w:tabs>
          <w:tab w:pos="1080" w:val="num"/>
        </w:tabs>
        <w:ind w:hanging="360" w:left="1080"/>
      </w:pPr>
    </w:lvl>
    <w:lvl w:tplc="041A001B" w:ilvl="2">
      <w:start w:val="1"/>
      <w:numFmt w:val="lowerRoman"/>
      <w:lvlText w:val="%3."/>
      <w:lvlJc w:val="right"/>
      <w:pPr>
        <w:tabs>
          <w:tab w:pos="1800" w:val="num"/>
        </w:tabs>
        <w:ind w:hanging="180" w:left="1800"/>
      </w:pPr>
    </w:lvl>
    <w:lvl w:tplc="041A000F" w:ilvl="3">
      <w:start w:val="1"/>
      <w:numFmt w:val="decimal"/>
      <w:lvlText w:val="%4."/>
      <w:lvlJc w:val="left"/>
      <w:pPr>
        <w:tabs>
          <w:tab w:pos="2520" w:val="num"/>
        </w:tabs>
        <w:ind w:hanging="360" w:left="2520"/>
      </w:pPr>
    </w:lvl>
    <w:lvl w:tplc="041A0019" w:ilvl="4">
      <w:start w:val="1"/>
      <w:numFmt w:val="lowerLetter"/>
      <w:lvlText w:val="%5."/>
      <w:lvlJc w:val="left"/>
      <w:pPr>
        <w:tabs>
          <w:tab w:pos="3240" w:val="num"/>
        </w:tabs>
        <w:ind w:hanging="360" w:left="3240"/>
      </w:pPr>
    </w:lvl>
    <w:lvl w:tplc="041A001B" w:ilvl="5">
      <w:start w:val="1"/>
      <w:numFmt w:val="lowerRoman"/>
      <w:lvlText w:val="%6."/>
      <w:lvlJc w:val="right"/>
      <w:pPr>
        <w:tabs>
          <w:tab w:pos="3960" w:val="num"/>
        </w:tabs>
        <w:ind w:hanging="180" w:left="3960"/>
      </w:pPr>
    </w:lvl>
    <w:lvl w:tplc="041A000F" w:ilvl="6">
      <w:start w:val="1"/>
      <w:numFmt w:val="decimal"/>
      <w:lvlText w:val="%7."/>
      <w:lvlJc w:val="left"/>
      <w:pPr>
        <w:tabs>
          <w:tab w:pos="4680" w:val="num"/>
        </w:tabs>
        <w:ind w:hanging="360" w:left="4680"/>
      </w:pPr>
    </w:lvl>
    <w:lvl w:tplc="041A0019" w:ilvl="7">
      <w:start w:val="1"/>
      <w:numFmt w:val="lowerLetter"/>
      <w:lvlText w:val="%8."/>
      <w:lvlJc w:val="left"/>
      <w:pPr>
        <w:tabs>
          <w:tab w:pos="5400" w:val="num"/>
        </w:tabs>
        <w:ind w:hanging="360" w:left="5400"/>
      </w:pPr>
    </w:lvl>
    <w:lvl w:tplc="041A001B" w:ilvl="8">
      <w:start w:val="1"/>
      <w:numFmt w:val="lowerRoman"/>
      <w:lvlText w:val="%9."/>
      <w:lvlJc w:val="right"/>
      <w:pPr>
        <w:tabs>
          <w:tab w:pos="6120" w:val="num"/>
        </w:tabs>
        <w:ind w:hanging="180" w:left="612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5240F"/>
    <w:rsid w:val="00010372"/>
    <w:rsid w:val="00067F4B"/>
    <w:rsid w:val="000845C3"/>
    <w:rsid w:val="000E29AD"/>
    <w:rsid w:val="000F20EF"/>
    <w:rsid w:val="00110E51"/>
    <w:rsid w:val="001367DE"/>
    <w:rsid w:val="001435CC"/>
    <w:rsid w:val="001722BE"/>
    <w:rsid w:val="001954D8"/>
    <w:rsid w:val="001A5750"/>
    <w:rsid w:val="001C0EEB"/>
    <w:rsid w:val="001F6390"/>
    <w:rsid w:val="00235D86"/>
    <w:rsid w:val="00253A2E"/>
    <w:rsid w:val="0027631B"/>
    <w:rsid w:val="00290720"/>
    <w:rsid w:val="002A12F8"/>
    <w:rsid w:val="002A7ADF"/>
    <w:rsid w:val="002B4C96"/>
    <w:rsid w:val="002B510A"/>
    <w:rsid w:val="00312FD0"/>
    <w:rsid w:val="00314FF2"/>
    <w:rsid w:val="003B6619"/>
    <w:rsid w:val="003C11D9"/>
    <w:rsid w:val="003E7D20"/>
    <w:rsid w:val="00400252"/>
    <w:rsid w:val="0041448D"/>
    <w:rsid w:val="004749B4"/>
    <w:rsid w:val="004A06A9"/>
    <w:rsid w:val="004E4053"/>
    <w:rsid w:val="005043CF"/>
    <w:rsid w:val="00527D12"/>
    <w:rsid w:val="00535D64"/>
    <w:rsid w:val="00542926"/>
    <w:rsid w:val="00554D04"/>
    <w:rsid w:val="00562C74"/>
    <w:rsid w:val="00567D15"/>
    <w:rsid w:val="005725EC"/>
    <w:rsid w:val="00581FE5"/>
    <w:rsid w:val="0058494D"/>
    <w:rsid w:val="005D19CC"/>
    <w:rsid w:val="00624974"/>
    <w:rsid w:val="006300BC"/>
    <w:rsid w:val="006F08F3"/>
    <w:rsid w:val="007269DC"/>
    <w:rsid w:val="0075240F"/>
    <w:rsid w:val="00774920"/>
    <w:rsid w:val="007C1CE1"/>
    <w:rsid w:val="007F1B5B"/>
    <w:rsid w:val="007F2327"/>
    <w:rsid w:val="00820E13"/>
    <w:rsid w:val="0086140E"/>
    <w:rsid w:val="00863EAF"/>
    <w:rsid w:val="0087224D"/>
    <w:rsid w:val="008D630A"/>
    <w:rsid w:val="008E1B3D"/>
    <w:rsid w:val="00904F4A"/>
    <w:rsid w:val="00932300"/>
    <w:rsid w:val="00956F78"/>
    <w:rsid w:val="009610B6"/>
    <w:rsid w:val="009804E3"/>
    <w:rsid w:val="009A55D3"/>
    <w:rsid w:val="009B1A7D"/>
    <w:rsid w:val="009C2BFC"/>
    <w:rsid w:val="009C707D"/>
    <w:rsid w:val="00AE50E7"/>
    <w:rsid w:val="00B10017"/>
    <w:rsid w:val="00B85224"/>
    <w:rsid w:val="00B96794"/>
    <w:rsid w:val="00BA2017"/>
    <w:rsid w:val="00BF77F5"/>
    <w:rsid w:val="00BF7FC3"/>
    <w:rsid w:val="00C00F04"/>
    <w:rsid w:val="00C617A4"/>
    <w:rsid w:val="00C62249"/>
    <w:rsid w:val="00CB215E"/>
    <w:rsid w:val="00CE34B4"/>
    <w:rsid w:val="00D037F4"/>
    <w:rsid w:val="00D204AA"/>
    <w:rsid w:val="00D75016"/>
    <w:rsid w:val="00DD3B85"/>
    <w:rsid w:val="00DE0999"/>
    <w:rsid w:val="00DE148A"/>
    <w:rsid w:val="00DE3D7D"/>
    <w:rsid w:val="00E35844"/>
    <w:rsid w:val="00E62912"/>
    <w:rsid w:val="00E72152"/>
    <w:rsid w:val="00F00847"/>
    <w:rsid w:val="00F364AC"/>
    <w:rsid w:val="00FF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6300BC"/>
    <w:pPr>
      <w:overflowPunct w:val="false"/>
      <w:autoSpaceDE w:val="false"/>
      <w:autoSpaceDN w:val="false"/>
      <w:adjustRightInd w:val="false"/>
      <w:textAlignment w:val="baseline"/>
    </w:pPr>
    <w:rPr>
      <w:rFonts w:hAnsi="Arial" w:ascii="Arial"/>
      <w:sz w:val="24"/>
    </w:rPr>
  </w:style>
  <w:style w:styleId="Naslov1" w:type="paragraph">
    <w:name w:val="heading 1"/>
    <w:basedOn w:val="Normal"/>
    <w:next w:val="Normal"/>
    <w:qFormat/>
    <w:rsid w:val="006300BC"/>
    <w:pPr>
      <w:keepNext/>
      <w:ind w:firstLine="720"/>
      <w:jc w:val="center"/>
      <w:outlineLvl w:val="0"/>
    </w:pPr>
    <w:rPr>
      <w:rFonts w:hAnsi="Times New Roman" w:ascii="Times New Roman"/>
      <w:b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75240F"/>
    <w:rPr>
      <w:rFonts w:cs="Tahoma" w:hAnsi="Tahoma" w:ascii="Tahoma"/>
      <w:sz w:val="16"/>
      <w:szCs w:val="16"/>
    </w:rPr>
  </w:style>
  <w:style w:styleId="Tijeloteksta" w:type="paragraph">
    <w:name w:val="Body Text"/>
    <w:aliases w:val=" uvlaka 3,uvlaka 3,uvlaka 2"/>
    <w:basedOn w:val="Normal"/>
    <w:rsid w:val="006300BC"/>
    <w:pPr>
      <w:jc w:val="both"/>
    </w:pPr>
    <w:rPr>
      <w:rFonts w:hAnsi="Times New Roman" w:ascii="Times New Roman"/>
    </w:rPr>
  </w:style>
  <w:style w:styleId="Tijeloteksta-uvlaka2" w:type="paragraph">
    <w:name w:val="Body Text Indent 2"/>
    <w:aliases w:val="  uvlaka 2"/>
    <w:basedOn w:val="Normal"/>
    <w:rsid w:val="006300BC"/>
    <w:pPr>
      <w:ind w:firstLine="720" w:left="142"/>
    </w:pPr>
    <w:rPr>
      <w:rFonts w:hAnsi="Times New Roman" w:ascii="Times New Roman"/>
    </w:rPr>
  </w:style>
  <w:style w:styleId="Zaglavlje" w:type="paragraph">
    <w:name w:val="header"/>
    <w:basedOn w:val="Normal"/>
    <w:rsid w:val="006300B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300BC"/>
  </w:style>
  <w:style w:styleId="Podnoje" w:type="paragraph">
    <w:name w:val="footer"/>
    <w:basedOn w:val="Normal"/>
    <w:rsid w:val="009C707D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86140E"/>
    <w:pPr>
      <w:overflowPunct/>
      <w:autoSpaceDE/>
      <w:autoSpaceDN/>
      <w:adjustRightInd/>
      <w:ind w:left="720"/>
      <w:contextualSpacing/>
      <w:textAlignment w:val="auto"/>
    </w:pPr>
    <w:rPr>
      <w:rFonts w:hAnsi="Times New Roman" w:ascii="Times New Roman"/>
      <w:szCs w:val="24"/>
    </w:rPr>
  </w:style>
  <w:style w:styleId="Tekstrezerviranogmjesta" w:type="character">
    <w:name w:val="Placeholder Text"/>
    <w:basedOn w:val="Zadanifontodlomka"/>
    <w:uiPriority w:val="99"/>
    <w:semiHidden/>
    <w:rsid w:val="007F232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F2327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F2327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F2327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F2327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6300BC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styleId="Naslov1" w:type="paragraph">
    <w:name w:val="heading 1"/>
    <w:basedOn w:val="Normal"/>
    <w:next w:val="Normal"/>
    <w:qFormat/>
    <w:rsid w:val="006300BC"/>
    <w:pPr>
      <w:keepNext/>
      <w:ind w:firstLine="720"/>
      <w:jc w:val="center"/>
      <w:outlineLvl w:val="0"/>
    </w:pPr>
    <w:rPr>
      <w:rFonts w:ascii="Times New Roman" w:hAnsi="Times New Roman"/>
      <w:b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75240F"/>
    <w:rPr>
      <w:rFonts w:ascii="Tahoma" w:cs="Tahoma" w:hAnsi="Tahoma"/>
      <w:sz w:val="16"/>
      <w:szCs w:val="16"/>
    </w:rPr>
  </w:style>
  <w:style w:styleId="Tijeloteksta" w:type="paragraph">
    <w:name w:val="Body Text"/>
    <w:aliases w:val=" uvlaka 3,uvlaka 3,uvlaka 2"/>
    <w:basedOn w:val="Normal"/>
    <w:rsid w:val="006300BC"/>
    <w:pPr>
      <w:jc w:val="both"/>
    </w:pPr>
    <w:rPr>
      <w:rFonts w:ascii="Times New Roman" w:hAnsi="Times New Roman"/>
    </w:rPr>
  </w:style>
  <w:style w:styleId="Tijeloteksta-uvlaka2" w:type="paragraph">
    <w:name w:val="Body Text Indent 2"/>
    <w:aliases w:val="  uvlaka 2"/>
    <w:basedOn w:val="Normal"/>
    <w:rsid w:val="006300BC"/>
    <w:pPr>
      <w:ind w:firstLine="720" w:left="142"/>
    </w:pPr>
    <w:rPr>
      <w:rFonts w:ascii="Times New Roman" w:hAnsi="Times New Roman"/>
    </w:rPr>
  </w:style>
  <w:style w:styleId="Zaglavlje" w:type="paragraph">
    <w:name w:val="header"/>
    <w:basedOn w:val="Normal"/>
    <w:rsid w:val="006300B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300BC"/>
  </w:style>
  <w:style w:styleId="Podnoje" w:type="paragraph">
    <w:name w:val="footer"/>
    <w:basedOn w:val="Normal"/>
    <w:rsid w:val="009C707D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86140E"/>
    <w:pPr>
      <w:overflowPunct/>
      <w:autoSpaceDE/>
      <w:autoSpaceDN/>
      <w:adjustRightInd/>
      <w:ind w:left="720"/>
      <w:contextualSpacing/>
      <w:textAlignment w:val="auto"/>
    </w:pPr>
    <w:rPr>
      <w:rFonts w:ascii="Times New Roman" w:hAnsi="Times New Roman"/>
      <w:szCs w:val="24"/>
    </w:rPr>
  </w:style>
  <w:style w:styleId="Tekstrezerviranogmjesta" w:type="character">
    <w:name w:val="Placeholder Text"/>
    <w:basedOn w:val="Zadanifontodlomka"/>
    <w:uiPriority w:val="99"/>
    <w:semiHidden/>
    <w:rsid w:val="007F232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F2327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F2327"/>
    <w:rPr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F2327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F2327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0407830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6149542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7718737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9545853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8156670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32851160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8127801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cid:image001.jpg@01C5F68A.E045398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30. prosinca 2015.</izvorni_sadrzaj>
    <derivirana_varijabla naziv="DomainObject.DatumDonosenjaOdluke_1">30.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Jasenka</izvorni_sadrzaj>
    <derivirana_varijabla naziv="DomainObject.DonositeljOdluke.Ime_1">Jasenka</derivirana_varijabla>
  </DomainObject.DonositeljOdluke.Ime>
  <DomainObject.DonositeljOdluke.Prezime>
    <izvorni_sadrzaj>Rundek</izvorni_sadrzaj>
    <derivirana_varijabla naziv="DomainObject.DonositeljOdluke.Prezime_1">Rundek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5494</izvorni_sadrzaj>
    <derivirana_varijabla naziv="DomainObject.Predmet.Broj_1">5494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studenog 2015.</izvorni_sadrzaj>
    <derivirana_varijabla naziv="DomainObject.Predmet.DatumOsnivanja_1">20.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St-5494/2015</izvorni_sadrzaj>
    <derivirana_varijabla naziv="DomainObject.Predmet.OznakaBroj_1">St-5494/2015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BIJELA KUĆA d.o.o. zastupanog po punomoćniku Aleksandar Milojević; Gordan Širola</izvorni_sadrzaj>
    <derivirana_varijabla naziv="DomainObject.Predmet.ProtustrankaFormated_1">  BIJELA KUĆA d.o.o. zastupanog po punomoćniku Aleksandar Milojević; Gordan Širola</derivirana_varijabla>
  </DomainObject.Predmet.ProtustrankaFormated>
  <DomainObject.Predmet.ProtustrankaFormatedOIB>
    <izvorni_sadrzaj>  BIJELA KUĆA d.o.o., OIB 88442925438 zastupanog po punomoćniku Aleksandar Milojević; Gordan Širola</izvorni_sadrzaj>
    <derivirana_varijabla naziv="DomainObject.Predmet.ProtustrankaFormatedOIB_1">  BIJELA KUĆA d.o.o., OIB 88442925438 zastupanog po punomoćniku Aleksandar Milojević; Gordan Širola</derivirana_varijabla>
  </DomainObject.Predmet.ProtustrankaFormatedOIB>
  <DomainObject.Predmet.ProtustrankaFormatedWithAdress>
    <izvorni_sadrzaj> BIJELA KUĆA d.o.o., Ivana Lučića 2/A, 10000 Zagreb zastupanog po punomoćniku Aleksandar Milojević; Gordan Širola</izvorni_sadrzaj>
    <derivirana_varijabla naziv="DomainObject.Predmet.ProtustrankaFormatedWithAdress_1"> BIJELA KUĆA d.o.o., Ivana Lučića 2/A, 10000 Zagreb zastupanog po punomoćniku Aleksandar Milojević; Gordan Širola</derivirana_varijabla>
  </DomainObject.Predmet.ProtustrankaFormatedWithAdress>
  <DomainObject.Predmet.ProtustrankaFormatedWithAdressOIB>
    <izvorni_sadrzaj> BIJELA KUĆA d.o.o., OIB 88442925438, Ivana Lučića 2/A, 10000 Zagreb zastupanog po punomoćniku Aleksandar Milojević; Gordan Širola</izvorni_sadrzaj>
    <derivirana_varijabla naziv="DomainObject.Predmet.ProtustrankaFormatedWithAdressOIB_1"> BIJELA KUĆA d.o.o., OIB 88442925438, Ivana Lučića 2/A, 10000 Zagreb zastupanog po punomoćniku Aleksandar Milojević; Gordan Širola</derivirana_varijabla>
  </DomainObject.Predmet.ProtustrankaFormatedWithAdressOIB>
  <DomainObject.Predmet.ProtustrankaWithAdress>
    <izvorni_sadrzaj>BIJELA KUĆA d.o.o. Ivana Lučića 2/A, 10000 Zagreb</izvorni_sadrzaj>
    <derivirana_varijabla naziv="DomainObject.Predmet.ProtustrankaWithAdress_1">BIJELA KUĆA d.o.o. Ivana Lučića 2/A, 10000 Zagreb</derivirana_varijabla>
  </DomainObject.Predmet.ProtustrankaWithAdress>
  <DomainObject.Predmet.ProtustrankaWithAdressOIB>
    <izvorni_sadrzaj>BIJELA KUĆA d.o.o., OIB 88442925438, Ivana Lučića 2/A, 10000 Zagreb</izvorni_sadrzaj>
    <derivirana_varijabla naziv="DomainObject.Predmet.ProtustrankaWithAdressOIB_1">BIJELA KUĆA d.o.o., OIB 88442925438, Ivana Lučića 2/A, 10000 Zagreb</derivirana_varijabla>
  </DomainObject.Predmet.ProtustrankaWithAdressOIB>
  <DomainObject.Predmet.ProtustrankaNazivFormated>
    <izvorni_sadrzaj>BIJELA KUĆA d.o.o.</izvorni_sadrzaj>
    <derivirana_varijabla naziv="DomainObject.Predmet.ProtustrankaNazivFormated_1">BIJELA KUĆA d.o.o.</derivirana_varijabla>
  </DomainObject.Predmet.ProtustrankaNazivFormated>
  <DomainObject.Predmet.ProtustrankaNazivFormatedOIB>
    <izvorni_sadrzaj>BIJELA KUĆA d.o.o., OIB 88442925438</izvorni_sadrzaj>
    <derivirana_varijabla naziv="DomainObject.Predmet.ProtustrankaNazivFormatedOIB_1">BIJELA KUĆA d.o.o., OIB 88442925438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4.St  - J. Rundek</izvorni_sadrzaj>
    <derivirana_varijabla naziv="DomainObject.Predmet.Referada.Naziv_1">4.St  - J. Rundek</derivirana_varijabla>
  </DomainObject.Predmet.Referada.Naziv>
  <DomainObject.Predmet.Referada.Oznaka>
    <izvorni_sadrzaj>4.St</izvorni_sadrzaj>
    <derivirana_varijabla naziv="DomainObject.Predmet.Referada.Oznaka_1">4.St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Jasenka Rundek</izvorni_sadrzaj>
    <derivirana_varijabla naziv="DomainObject.Predmet.Referada.Sudac_1">Jasenka Rundek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4.St  - J. Rundek</izvorni_sadrzaj>
    <derivirana_varijabla naziv="DomainObject.Predmet.TrenutnaLokacijaSpisa.Naziv_1">4.St  - J. Rundek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Babić</izvorni_sadrzaj>
    <derivirana_varijabla naziv="DomainObject.Predmet.Zapisnicar_1">Katarina Babić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BIJELA KUĆA d.o.o. zastupanog po punomoćniku Aleksandar Milojević; Gordan Širola</item>
    </izvorni_sadrzaj>
    <derivirana_varijabla naziv="DomainObject.Predmet.ProtuStrankaListFormated_1">
      <item>BIJELA KUĆA d.o.o. zastupanog po punomoćniku Aleksandar Milojević; Gordan Širola</item>
    </derivirana_varijabla>
  </DomainObject.Predmet.ProtuStrankaListFormated>
  <DomainObject.Predmet.ProtuStrankaListFormatedOIB>
    <izvorni_sadrzaj>
      <item>BIJELA KUĆA d.o.o., OIB 88442925438 zastupanog po punomoćniku Aleksandar Milojević; Gordan Širola</item>
    </izvorni_sadrzaj>
    <derivirana_varijabla naziv="DomainObject.Predmet.ProtuStrankaListFormatedOIB_1">
      <item>BIJELA KUĆA d.o.o., OIB 88442925438 zastupanog po punomoćniku Aleksandar Milojević; Gordan Širola</item>
    </derivirana_varijabla>
  </DomainObject.Predmet.ProtuStrankaListFormatedOIB>
  <DomainObject.Predmet.ProtuStrankaListFormatedWithAdress>
    <izvorni_sadrzaj>
      <item>BIJELA KUĆA d.o.o., Ivana Lučića 2/A, 10000 Zagreb zastupanog po punomoćniku Aleksandar Milojević; Gordan Širola</item>
    </izvorni_sadrzaj>
    <derivirana_varijabla naziv="DomainObject.Predmet.ProtuStrankaListFormatedWithAdress_1">
      <item>BIJELA KUĆA d.o.o., Ivana Lučića 2/A, 10000 Zagreb zastupanog po punomoćniku Aleksandar Milojević; Gordan Širola</item>
    </derivirana_varijabla>
  </DomainObject.Predmet.ProtuStrankaListFormatedWithAdress>
  <DomainObject.Predmet.ProtuStrankaListFormatedWithAdressOIB>
    <izvorni_sadrzaj>
      <item>BIJELA KUĆA d.o.o., OIB 88442925438, Ivana Lučića 2/A, 10000 Zagreb zastupanog po punomoćniku Aleksandar Milojević; Gordan Širola</item>
    </izvorni_sadrzaj>
    <derivirana_varijabla naziv="DomainObject.Predmet.ProtuStrankaListFormatedWithAdressOIB_1">
      <item>BIJELA KUĆA d.o.o., OIB 88442925438, Ivana Lučića 2/A, 10000 Zagreb zastupanog po punomoćniku Aleksandar Milojević; Gordan Širola</item>
    </derivirana_varijabla>
  </DomainObject.Predmet.ProtuStrankaListFormatedWithAdressOIB>
  <DomainObject.Predmet.ProtuStrankaListNazivFormated>
    <izvorni_sadrzaj>
      <item>BIJELA KUĆA d.o.o.</item>
    </izvorni_sadrzaj>
    <derivirana_varijabla naziv="DomainObject.Predmet.ProtuStrankaListNazivFormated_1">
      <item>BIJELA KUĆA d.o.o.</item>
    </derivirana_varijabla>
  </DomainObject.Predmet.ProtuStrankaListNazivFormated>
  <DomainObject.Predmet.ProtuStrankaListNazivFormatedOIB>
    <izvorni_sadrzaj>
      <item>BIJELA KUĆA d.o.o., OIB 88442925438</item>
    </izvorni_sadrzaj>
    <derivirana_varijabla naziv="DomainObject.Predmet.ProtuStrankaListNazivFormatedOIB_1">
      <item>BIJELA KUĆA d.o.o., OIB 88442925438</item>
    </derivirana_varijabla>
  </DomainObject.Predmet.ProtuStrankaListNazivFormatedOIB>
  <DomainObject.Predmet.OstaliListFormated>
    <izvorni_sadrzaj>
      <item>Aleksandar Milojević punomoćnik sudionika u postupku BIJELA KUĆA d.o.o.</item>
      <item>Gordan Širola punomoćnik sudionika u postupku BIJELA KUĆA d.o.o.</item>
    </izvorni_sadrzaj>
    <derivirana_varijabla naziv="DomainObject.Predmet.OstaliListFormated_1">
      <item>Aleksandar Milojević punomoćnik sudionika u postupku BIJELA KUĆA d.o.o.</item>
      <item>Gordan Širola punomoćnik sudionika u postupku BIJELA KUĆA d.o.o.</item>
    </derivirana_varijabla>
  </DomainObject.Predmet.OstaliListFormated>
  <DomainObject.Predmet.OstaliListFormatedOIB>
    <izvorni_sadrzaj>
      <item>Aleksandar Milojević, OIB 77483361508 punomoćnik sudionika u postupku BIJELA KUĆA d.o.o.</item>
      <item>Gordan Širola, OIB 85926172066 punomoćnik sudionika u postupku BIJELA KUĆA d.o.o.</item>
    </izvorni_sadrzaj>
    <derivirana_varijabla naziv="DomainObject.Predmet.OstaliListFormatedOIB_1">
      <item>Aleksandar Milojević, OIB 77483361508 punomoćnik sudionika u postupku BIJELA KUĆA d.o.o.</item>
      <item>Gordan Širola, OIB 85926172066 punomoćnik sudionika u postupku BIJELA KUĆA d.o.o.</item>
    </derivirana_varijabla>
  </DomainObject.Predmet.OstaliListFormatedOIB>
  <DomainObject.Predmet.OstaliListFormatedWithAdress>
    <izvorni_sadrzaj>
      <item>Aleksandar Milojević, Stjepana Radića 73, 33520 Medinci punomoćnik sudionika u postupku BIJELA KUĆA d.o.o.</item>
      <item>Gordan Širola, Ulica Maršala Tita 67, 51410 Opatija punomoćnik sudionika u postupku BIJELA KUĆA d.o.o.</item>
    </izvorni_sadrzaj>
    <derivirana_varijabla naziv="DomainObject.Predmet.OstaliListFormatedWithAdress_1">
      <item>Aleksandar Milojević, Stjepana Radića 73, 33520 Medinci punomoćnik sudionika u postupku BIJELA KUĆA d.o.o.</item>
      <item>Gordan Širola, Ulica Maršala Tita 67, 51410 Opatija punomoćnik sudionika u postupku BIJELA KUĆA d.o.o.</item>
    </derivirana_varijabla>
  </DomainObject.Predmet.OstaliListFormatedWithAdress>
  <DomainObject.Predmet.OstaliListFormatedWithAdressOIB>
    <izvorni_sadrzaj>
      <item>Aleksandar Milojević, OIB 77483361508, Stjepana Radića 73, 33520 Medinci punomoćnik sudionika u postupku BIJELA KUĆA d.o.o.</item>
      <item>Gordan Širola, OIB 85926172066, Ulica Maršala Tita 67, 51410 Opatija punomoćnik sudionika u postupku BIJELA KUĆA d.o.o.</item>
    </izvorni_sadrzaj>
    <derivirana_varijabla naziv="DomainObject.Predmet.OstaliListFormatedWithAdressOIB_1">
      <item>Aleksandar Milojević, OIB 77483361508, Stjepana Radića 73, 33520 Medinci punomoćnik sudionika u postupku BIJELA KUĆA d.o.o.</item>
      <item>Gordan Širola, OIB 85926172066, Ulica Maršala Tita 67, 51410 Opatija punomoćnik sudionika u postupku BIJELA KUĆA d.o.o.</item>
    </derivirana_varijabla>
  </DomainObject.Predmet.OstaliListFormatedWithAdressOIB>
  <DomainObject.Predmet.OstaliListNazivFormated>
    <izvorni_sadrzaj>
      <item>Aleksandar Milojević</item>
      <item>Gordan Širola</item>
    </izvorni_sadrzaj>
    <derivirana_varijabla naziv="DomainObject.Predmet.OstaliListNazivFormated_1">
      <item>Aleksandar Milojević</item>
      <item>Gordan Širola</item>
    </derivirana_varijabla>
  </DomainObject.Predmet.OstaliListNazivFormated>
  <DomainObject.Predmet.OstaliListNazivFormatedOIB>
    <izvorni_sadrzaj>
      <item>Aleksandar Milojević, OIB 77483361508</item>
      <item>Gordan Širola, OIB 85926172066</item>
    </izvorni_sadrzaj>
    <derivirana_varijabla naziv="DomainObject.Predmet.OstaliListNazivFormatedOIB_1">
      <item>Aleksandar Milojević, OIB 77483361508</item>
      <item>Gordan Širola, OIB 85926172066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prosinca 2015.</izvorni_sadrzaj>
    <derivirana_varijabla naziv="DomainObject.Datum_1">30.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BIJELA KUĆA d.o.o.</izvorni_sadrzaj>
    <derivirana_varijabla naziv="DomainObject.Predmet.ProtustrankaIDrugi_1">BIJELA KUĆA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BIJELA KUĆA d.o.o., OIB 88442925438, Ivana Lučića 2/A, 10000 Zagreb</izvorni_sadrzaj>
    <derivirana_varijabla naziv="DomainObject.Predmet.ProtustrankaIDrugiAdressOIB_1">BIJELA KUĆA d.o.o., OIB 88442925438, Ivana Lučića 2/A,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BIJELA KUĆA d.o.o.</item>
      <item>FINA Regionalni centar Zagreb</item>
      <item>Aleksandar Milojević</item>
      <item>Gordan Širola</item>
    </izvorni_sadrzaj>
    <derivirana_varijabla naziv="DomainObject.Predmet.SudioniciListNaziv_1">
      <item>BIJELA KUĆA d.o.o.</item>
      <item>FINA Regionalni centar Zagreb</item>
      <item>Aleksandar Milojević</item>
      <item>Gordan Širola</item>
    </derivirana_varijabla>
  </DomainObject.Predmet.SudioniciListNaziv>
  <DomainObject.Predmet.SudioniciListAdressOIB>
    <izvorni_sadrzaj>
      <item>BIJELA KUĆA d.o.o., OIB 88442925438, Ivana Lučića 2/A,10000 Zagreb</item>
      <item>FINA Regionalni centar Zagreb, OIB 85821130368, Trg svibanjskih žrtava 1995. 1,10000 Zagreb</item>
      <item>Aleksandar Milojević, OIB 77483361508, Stjepana Radića 73,33520 Medinci</item>
      <item>Gordan Širola, OIB 85926172066, Ulica Maršala Tita 67,51410 Opatija</item>
    </izvorni_sadrzaj>
    <derivirana_varijabla naziv="DomainObject.Predmet.SudioniciListAdressOIB_1">
      <item>BIJELA KUĆA d.o.o., OIB 88442925438, Ivana Lučića 2/A,10000 Zagreb</item>
      <item>FINA Regionalni centar Zagreb, OIB 85821130368, Trg svibanjskih žrtava 1995. 1,10000 Zagreb</item>
      <item>Aleksandar Milojević, OIB 77483361508, Stjepana Radića 73,33520 Medinci</item>
      <item>Gordan Širola, OIB 85926172066, Ulica Maršala Tita 67,51410 Opatija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88442925438</item>
      <item>, OIB 85821130368</item>
      <item>, OIB 77483361508</item>
      <item>, OIB 85926172066</item>
    </izvorni_sadrzaj>
    <derivirana_varijabla naziv="DomainObject.Predmet.SudioniciListNazivOIB_1">
      <item>, OIB 88442925438</item>
      <item>, OIB 85821130368</item>
      <item>, OIB 77483361508</item>
      <item>, OIB 85926172066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330</properties:Words>
  <properties:Characters>1721</properties:Characters>
  <properties:Lines>47</properties:Lines>
  <properties:Paragraphs>22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2083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2015-12-30T09:40:00Z</dcterms:created>
  <dc:creator>kbabic</dc:creator>
  <cp:lastModifiedBy>Katarina Babić</cp:lastModifiedBy>
  <cp:lastPrinted>2015-12-30T09:43:00Z</cp:lastPrinted>
  <dcterms:modified xmlns:xsi="http://www.w3.org/2001/XMLSchema-instance" xsi:type="dcterms:W3CDTF">2015-12-30T09:48:00Z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