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200D5DE2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176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2ECD7898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4915EF">
        <w:rPr>
          <w:rFonts w:ascii="Arial" w:hAnsi="Arial" w:cs="Arial"/>
        </w:rPr>
        <w:t xml:space="preserve">predlagatelja Zvonka Oužecky iz Čađavačkog Luga, Kralja Petra Svačića 9, OIB: 95280640348, zastupanog po punomoćniku Branku Jurlini,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4915EF">
        <w:rPr>
          <w:rFonts w:ascii="Arial" w:hAnsi="Arial" w:cs="Arial"/>
        </w:rPr>
        <w:t>Čađavica</w:t>
      </w:r>
      <w:r w:rsidR="00C51ABB">
        <w:rPr>
          <w:rFonts w:ascii="Arial" w:hAnsi="Arial" w:cs="Arial"/>
        </w:rPr>
        <w:t xml:space="preserve">, i to u zk. ul. broj: </w:t>
      </w:r>
      <w:r w:rsidR="004D5757">
        <w:rPr>
          <w:rFonts w:ascii="Arial" w:hAnsi="Arial" w:cs="Arial"/>
        </w:rPr>
        <w:t>4822, u kojem su u korist Horank Agneze Josipova rođ. Ovžetski, Čađavački Lug upisane nekretnine i to kč. br. 1507 sa 2568 m2</w:t>
      </w:r>
      <w:r w:rsidR="004D5757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40F3D4E9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4D5757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41A02604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>Općine 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650D" w14:textId="77777777" w:rsidR="00755C23" w:rsidRDefault="00755C23" w:rsidP="002314E3">
      <w:r>
        <w:separator/>
      </w:r>
    </w:p>
  </w:endnote>
  <w:endnote w:type="continuationSeparator" w:id="0">
    <w:p w14:paraId="42FDA78E" w14:textId="77777777" w:rsidR="00755C23" w:rsidRDefault="00755C23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B746" w14:textId="77777777" w:rsidR="00755C23" w:rsidRDefault="00755C23" w:rsidP="002314E3">
      <w:r>
        <w:separator/>
      </w:r>
    </w:p>
  </w:footnote>
  <w:footnote w:type="continuationSeparator" w:id="0">
    <w:p w14:paraId="63F9C4A4" w14:textId="77777777" w:rsidR="00755C23" w:rsidRDefault="00755C23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2026-02-10T10:17:00Z</dcterms:created>
  <dcterms:modified xsi:type="dcterms:W3CDTF">2026-02-13T13:18:00Z</dcterms:modified>
</cp:coreProperties>
</file>