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EE30E4" w:rsidP="00C21B04" w:rsidRDefault="00EE30E4" w14:paraId="309C7E41" w14:textId="6B0BF423">
      <w:pPr>
        <w:pStyle w:val="Zaglavlje"/>
        <w:tabs>
          <w:tab w:val="left" w:pos="708"/>
        </w:tabs>
        <w15:collapsed w:val="false"/>
        <w:rPr>
          <w:rFonts w:ascii="Arial" w:hAnsi="Arial" w:cs="Arial"/>
          <w:b/>
          <w:sz w:val="24"/>
          <w:szCs w:val="24"/>
        </w:rPr>
      </w:pPr>
      <w:r>
        <w:rPr>
          <w:noProof/>
        </w:rPr>
      </w:r>
      <w:r>
        <w:rPr>
          <w:rFonts w:ascii="Arial" w:hAnsi="Arial" w:cs="Arial"/>
          <w:sz w:val="24"/>
          <w:szCs w:val="24"/>
        </w:rPr>
        <w:t xml:space="preserve">   </w:t>
      </w:r>
      <w:r>
        <w:rPr>
          <w:rFonts w:ascii="Arial" w:hAnsi="Arial" w:cs="Arial"/>
          <w:b/>
          <w:sz w:val="24"/>
          <w:szCs w:val="24"/>
        </w:rPr>
        <w:t xml:space="preserve">   </w:t>
      </w:r>
      <w:r w:rsidR="00C21B04">
        <w:rPr>
          <w:rFonts w:ascii="Arial" w:hAnsi="Arial" w:cs="Arial"/>
          <w:b/>
          <w:sz w:val="24"/>
          <w:szCs w:val="24"/>
        </w:rPr>
        <w:t xml:space="preserve">                                 </w:t>
      </w:r>
      <w:r w:rsidR="00C21B04">
        <w:object w:dxaOrig="563" w:dyaOrig="728" w14:anchorId="4880F9F6">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28.1pt;height:36.4pt" id="_x0000_i1025" fillcolor="window" o:ole="">
            <v:imagedata o:title="" r:id="rId6"/>
          </v:shape>
          <o:OLEObject Type="Embed" ProgID="Word.Picture.8" ShapeID="_x0000_i1025" DrawAspect="Content" ObjectID="_1842692849" r:id="rId7"/>
        </w:object>
      </w:r>
    </w:p>
    <w:tbl>
      <w:tblPr>
        <w:tblW w:w="15202" w:type="dxa"/>
        <w:tblLayout w:type="fixed"/>
        <w:tblLook w:firstRow="1" w:lastRow="0" w:firstColumn="1" w:lastColumn="0" w:noHBand="0" w:noVBand="1" w:val="04A0"/>
      </w:tblPr>
      <w:tblGrid>
        <w:gridCol w:w="10632"/>
        <w:gridCol w:w="4570"/>
      </w:tblGrid>
      <w:tr w:rsidR="00EE30E4" w:rsidTr="00C21B04" w14:paraId="3EDFBD2C" w14:textId="77777777">
        <w:tc>
          <w:tcPr>
            <w:tcW w:w="10632" w:type="dxa"/>
          </w:tcPr>
          <w:tbl>
            <w:tblPr>
              <w:tblW w:w="0" w:type="auto"/>
              <w:tblLayout w:type="fixed"/>
              <w:tblLook w:firstRow="1" w:lastRow="0" w:firstColumn="1" w:lastColumn="0" w:noHBand="0" w:noVBand="1" w:val="04A0"/>
            </w:tblPr>
            <w:tblGrid>
              <w:gridCol w:w="10383"/>
            </w:tblGrid>
            <w:tr w:rsidR="00C21B04" w:rsidTr="00C21B04" w14:paraId="596810A2" w14:textId="77777777">
              <w:trPr>
                <w:trHeight w:val="414"/>
              </w:trPr>
              <w:tc>
                <w:tcPr>
                  <w:tcW w:w="10383" w:type="dxa"/>
                </w:tcPr>
                <w:p w:rsidRPr="00C21B04" w:rsidR="00C21B04" w:rsidP="00C21B04" w:rsidRDefault="00C21B04" w14:paraId="1FC8AF45" w14:textId="49E25EDE">
                  <w:pPr>
                    <w:snapToGrid w:val="false"/>
                    <w:rPr>
                      <w:rFonts w:ascii="Arial" w:hAnsi="Arial" w:cs="Arial"/>
                      <w:bCs/>
                      <w:sz w:val="24"/>
                      <w:szCs w:val="24"/>
                    </w:rPr>
                  </w:pPr>
                  <w:r>
                    <w:rPr>
                      <w:rFonts w:ascii="Arial" w:hAnsi="Arial" w:cs="Arial"/>
                      <w:bCs/>
                      <w:sz w:val="24"/>
                      <w:szCs w:val="24"/>
                    </w:rPr>
                    <w:t xml:space="preserve">                        </w:t>
                  </w:r>
                  <w:r w:rsidRPr="00C21B04">
                    <w:rPr>
                      <w:rFonts w:ascii="Arial" w:hAnsi="Arial" w:cs="Arial"/>
                      <w:bCs/>
                      <w:sz w:val="24"/>
                      <w:szCs w:val="24"/>
                    </w:rPr>
                    <w:t>Republika Hrvatska</w:t>
                  </w:r>
                </w:p>
                <w:p w:rsidRPr="00C21B04" w:rsidR="00C21B04" w:rsidP="00C21B04" w:rsidRDefault="00C21B04" w14:paraId="70F8A9D4" w14:textId="77777777">
                  <w:pPr>
                    <w:snapToGrid w:val="false"/>
                    <w:rPr>
                      <w:rFonts w:ascii="Arial" w:hAnsi="Arial" w:cs="Arial"/>
                      <w:sz w:val="24"/>
                      <w:szCs w:val="24"/>
                    </w:rPr>
                  </w:pPr>
                  <w:r w:rsidRPr="00C21B04">
                    <w:rPr>
                      <w:rFonts w:ascii="Arial" w:hAnsi="Arial" w:cs="Arial"/>
                      <w:sz w:val="24"/>
                      <w:szCs w:val="24"/>
                    </w:rPr>
                    <w:t xml:space="preserve">      Visoki prekršajni sud Republike Hrvatske</w:t>
                  </w:r>
                </w:p>
                <w:p w:rsidR="00C21B04" w:rsidP="00C21B04" w:rsidRDefault="00C21B04" w14:paraId="33798ECD" w14:textId="667D138F">
                  <w:pPr>
                    <w:snapToGrid w:val="false"/>
                    <w:rPr>
                      <w:rFonts w:ascii="Arial" w:hAnsi="Arial" w:cs="Arial"/>
                      <w:sz w:val="24"/>
                      <w:szCs w:val="24"/>
                    </w:rPr>
                  </w:pPr>
                  <w:r>
                    <w:rPr>
                      <w:rFonts w:ascii="Arial" w:hAnsi="Arial" w:cs="Arial"/>
                      <w:sz w:val="24"/>
                      <w:szCs w:val="24"/>
                    </w:rPr>
                    <w:t xml:space="preserve">                                  </w:t>
                  </w:r>
                  <w:r w:rsidRPr="00C21B04">
                    <w:rPr>
                      <w:rFonts w:ascii="Arial" w:hAnsi="Arial" w:cs="Arial"/>
                      <w:sz w:val="24"/>
                      <w:szCs w:val="24"/>
                    </w:rPr>
                    <w:t>Zagreb</w:t>
                  </w:r>
                </w:p>
              </w:tc>
            </w:tr>
            <w:tr w:rsidR="00C21B04" w:rsidTr="00C21B04" w14:paraId="73248E3C" w14:textId="77777777">
              <w:trPr>
                <w:trHeight w:val="414"/>
              </w:trPr>
              <w:tc>
                <w:tcPr>
                  <w:tcW w:w="10383" w:type="dxa"/>
                </w:tcPr>
                <w:p w:rsidR="00C21B04" w:rsidP="00C21B04" w:rsidRDefault="00C21B04" w14:paraId="0852FF9B" w14:textId="260A35EA">
                  <w:pPr>
                    <w:snapToGrid w:val="false"/>
                    <w:jc w:val="center"/>
                    <w:rPr>
                      <w:rFonts w:ascii="Arial" w:hAnsi="Arial" w:cs="Arial"/>
                      <w:sz w:val="24"/>
                      <w:szCs w:val="24"/>
                    </w:rPr>
                  </w:pPr>
                </w:p>
              </w:tc>
            </w:tr>
            <w:tr w:rsidR="00C21B04" w:rsidTr="00C21B04" w14:paraId="0A0B8F69" w14:textId="77777777">
              <w:trPr>
                <w:trHeight w:val="414"/>
              </w:trPr>
              <w:tc>
                <w:tcPr>
                  <w:tcW w:w="10383" w:type="dxa"/>
                </w:tcPr>
                <w:p w:rsidR="00C21B04" w:rsidP="00C21B04" w:rsidRDefault="00C21B04" w14:paraId="5C718516" w14:textId="287FA77B">
                  <w:pPr>
                    <w:snapToGrid w:val="false"/>
                    <w:jc w:val="center"/>
                    <w:rPr>
                      <w:rFonts w:ascii="Arial" w:hAnsi="Arial" w:cs="Arial"/>
                      <w:sz w:val="24"/>
                      <w:szCs w:val="24"/>
                    </w:rPr>
                  </w:pPr>
                  <w:r>
                    <w:rPr>
                      <w:rFonts w:ascii="Arial" w:hAnsi="Arial" w:cs="Arial"/>
                      <w:sz w:val="24"/>
                      <w:szCs w:val="24"/>
                    </w:rPr>
                    <w:t xml:space="preserve">                                                                          Broj: Ppž-8619/2024</w:t>
                  </w:r>
                </w:p>
              </w:tc>
            </w:tr>
          </w:tbl>
          <w:p w:rsidRPr="00037F47" w:rsidR="00EE30E4" w:rsidP="00C21B04" w:rsidRDefault="00EE30E4" w14:paraId="7EA45D4D" w14:textId="46C6EC9F">
            <w:pPr>
              <w:pStyle w:val="Naslov1"/>
              <w:spacing w:line="240" w:lineRule="auto"/>
              <w:jc w:val="center"/>
              <w:rPr>
                <w:rFonts w:ascii="Arial" w:hAnsi="Arial" w:cs="Arial"/>
                <w:b/>
                <w:color w:val="auto"/>
                <w:sz w:val="24"/>
                <w:szCs w:val="24"/>
              </w:rPr>
            </w:pPr>
          </w:p>
        </w:tc>
        <w:tc>
          <w:tcPr>
            <w:tcW w:w="4570" w:type="dxa"/>
          </w:tcPr>
          <w:p w:rsidR="00EE30E4" w:rsidP="00C21B04" w:rsidRDefault="00EE30E4" w14:paraId="4F38C149" w14:textId="77777777">
            <w:pPr>
              <w:rPr>
                <w:rFonts w:ascii="Arial" w:hAnsi="Arial" w:cs="Arial"/>
                <w:b/>
                <w:sz w:val="24"/>
                <w:szCs w:val="24"/>
                <w:lang w:eastAsia="en-US"/>
              </w:rPr>
            </w:pPr>
          </w:p>
          <w:p w:rsidRPr="00C21B04" w:rsidR="00C21B04" w:rsidP="00C21B04" w:rsidRDefault="00C21B04" w14:paraId="16906606" w14:textId="77777777">
            <w:pPr>
              <w:rPr>
                <w:rFonts w:ascii="Arial" w:hAnsi="Arial" w:cs="Arial"/>
                <w:sz w:val="24"/>
                <w:szCs w:val="24"/>
                <w:lang w:eastAsia="en-US"/>
              </w:rPr>
            </w:pPr>
          </w:p>
          <w:p w:rsidR="00C21B04" w:rsidP="00C21B04" w:rsidRDefault="00C21B04" w14:paraId="627A52AE" w14:textId="77777777">
            <w:pPr>
              <w:rPr>
                <w:rFonts w:ascii="Arial" w:hAnsi="Arial" w:cs="Arial"/>
                <w:b/>
                <w:sz w:val="24"/>
                <w:szCs w:val="24"/>
                <w:lang w:eastAsia="en-US"/>
              </w:rPr>
            </w:pPr>
          </w:p>
          <w:p w:rsidRPr="00C21B04" w:rsidR="00C21B04" w:rsidP="00C21B04" w:rsidRDefault="00C21B04" w14:paraId="56AD8689" w14:textId="77777777">
            <w:pPr>
              <w:tabs>
                <w:tab w:val="left" w:pos="1687"/>
              </w:tabs>
              <w:rPr>
                <w:rFonts w:ascii="Arial" w:hAnsi="Arial" w:cs="Arial"/>
                <w:sz w:val="24"/>
                <w:szCs w:val="24"/>
                <w:lang w:eastAsia="en-US"/>
              </w:rPr>
            </w:pPr>
            <w:r>
              <w:rPr>
                <w:rFonts w:ascii="Arial" w:hAnsi="Arial" w:cs="Arial"/>
                <w:sz w:val="24"/>
                <w:szCs w:val="24"/>
                <w:lang w:eastAsia="en-US"/>
              </w:rPr>
              <w:tab/>
            </w:r>
          </w:p>
          <w:tbl>
            <w:tblPr>
              <w:tblW w:w="9781" w:type="dxa"/>
              <w:tblLayout w:type="fixed"/>
              <w:tblLook w:firstRow="1" w:lastRow="0" w:firstColumn="1" w:lastColumn="0" w:noHBand="0" w:noVBand="1" w:val="04A0"/>
            </w:tblPr>
            <w:tblGrid>
              <w:gridCol w:w="9781"/>
            </w:tblGrid>
            <w:tr w:rsidR="00C21B04" w:rsidTr="000266E0" w14:paraId="0F078326" w14:textId="77777777">
              <w:tc>
                <w:tcPr>
                  <w:tcW w:w="4570" w:type="dxa"/>
                  <w:hideMark/>
                </w:tcPr>
                <w:p w:rsidR="00C21B04" w:rsidP="00C21B04" w:rsidRDefault="00C21B04" w14:paraId="5A0F10E2" w14:textId="77777777">
                  <w:pPr>
                    <w:jc w:val="right"/>
                    <w:rPr>
                      <w:rFonts w:ascii="Arial" w:hAnsi="Arial" w:cs="Arial"/>
                      <w:sz w:val="24"/>
                      <w:szCs w:val="24"/>
                      <w:lang w:eastAsia="en-US"/>
                    </w:rPr>
                  </w:pPr>
                  <w:r>
                    <w:rPr>
                      <w:rFonts w:ascii="Arial" w:hAnsi="Arial" w:cs="Arial"/>
                      <w:sz w:val="24"/>
                      <w:szCs w:val="24"/>
                      <w:lang w:eastAsia="en-US"/>
                    </w:rPr>
                    <w:t>Broj: Ppž-8619/2024</w:t>
                  </w:r>
                </w:p>
              </w:tc>
            </w:tr>
          </w:tbl>
          <w:p w:rsidRPr="00C21B04" w:rsidR="00C21B04" w:rsidP="00C21B04" w:rsidRDefault="00C21B04" w14:paraId="029C3D13" w14:textId="12F185FA">
            <w:pPr>
              <w:tabs>
                <w:tab w:val="left" w:pos="1687"/>
              </w:tabs>
              <w:ind w:left="-5176"/>
              <w:rPr>
                <w:rFonts w:ascii="Arial" w:hAnsi="Arial" w:cs="Arial"/>
                <w:sz w:val="24"/>
                <w:szCs w:val="24"/>
                <w:lang w:eastAsia="en-US"/>
              </w:rPr>
            </w:pPr>
          </w:p>
        </w:tc>
      </w:tr>
    </w:tbl>
    <w:p w:rsidR="00EE30E4" w:rsidP="00C21B04" w:rsidRDefault="00EE30E4" w14:paraId="15C379A5" w14:textId="77777777">
      <w:pPr>
        <w:rPr>
          <w:rFonts w:ascii="Arial" w:hAnsi="Arial" w:cs="Arial"/>
          <w:b/>
          <w:sz w:val="24"/>
          <w:szCs w:val="24"/>
        </w:rPr>
      </w:pPr>
    </w:p>
    <w:p w:rsidR="00EE30E4" w:rsidP="00C21B04" w:rsidRDefault="00EE30E4" w14:paraId="071E78D3" w14:textId="77777777">
      <w:pPr>
        <w:rPr>
          <w:rFonts w:ascii="Arial" w:hAnsi="Arial" w:cs="Arial"/>
          <w:b/>
          <w:sz w:val="24"/>
          <w:szCs w:val="24"/>
        </w:rPr>
      </w:pPr>
    </w:p>
    <w:p w:rsidRPr="00037F47" w:rsidR="00EE30E4" w:rsidP="00C21B04" w:rsidRDefault="00EE30E4" w14:paraId="370DEDE0" w14:textId="77777777">
      <w:pPr>
        <w:pStyle w:val="Naslov2"/>
        <w:tabs>
          <w:tab w:val="left" w:pos="2745"/>
        </w:tabs>
        <w:spacing w:line="240" w:lineRule="auto"/>
        <w:jc w:val="center"/>
        <w:rPr>
          <w:rFonts w:ascii="Arial" w:hAnsi="Arial" w:cs="Arial"/>
          <w:b/>
          <w:color w:val="auto"/>
          <w:sz w:val="24"/>
          <w:szCs w:val="20"/>
        </w:rPr>
      </w:pPr>
      <w:r w:rsidRPr="00037F47">
        <w:rPr>
          <w:rFonts w:ascii="Arial" w:hAnsi="Arial" w:cs="Arial"/>
          <w:color w:val="auto"/>
          <w:sz w:val="24"/>
          <w:szCs w:val="20"/>
        </w:rPr>
        <w:t>U    I M E   R E P U B L I K E   H R V A T S K E</w:t>
      </w:r>
    </w:p>
    <w:p w:rsidRPr="00037F47" w:rsidR="00EE30E4" w:rsidP="00C21B04" w:rsidRDefault="00EE30E4" w14:paraId="2C6B7F32" w14:textId="77777777">
      <w:pPr>
        <w:ind w:firstLine="720"/>
        <w:jc w:val="center"/>
        <w:rPr>
          <w:rFonts w:ascii="Arial" w:hAnsi="Arial" w:cs="Arial"/>
        </w:rPr>
      </w:pPr>
    </w:p>
    <w:p w:rsidRPr="00037F47" w:rsidR="00EE30E4" w:rsidP="00C21B04" w:rsidRDefault="00EE30E4" w14:paraId="32FB6C51" w14:textId="77777777">
      <w:pPr>
        <w:pStyle w:val="Naslov2"/>
        <w:tabs>
          <w:tab w:val="left" w:pos="2745"/>
        </w:tabs>
        <w:spacing w:line="240" w:lineRule="auto"/>
        <w:jc w:val="center"/>
        <w:rPr>
          <w:rFonts w:ascii="Arial" w:hAnsi="Arial" w:cs="Arial"/>
          <w:b/>
          <w:color w:val="auto"/>
          <w:sz w:val="24"/>
          <w:szCs w:val="20"/>
        </w:rPr>
      </w:pPr>
      <w:r w:rsidRPr="00037F47">
        <w:rPr>
          <w:rFonts w:ascii="Arial" w:hAnsi="Arial" w:cs="Arial"/>
          <w:color w:val="auto"/>
          <w:sz w:val="24"/>
          <w:szCs w:val="20"/>
        </w:rPr>
        <w:t>P R E S U D A</w:t>
      </w:r>
    </w:p>
    <w:p w:rsidR="00EE30E4" w:rsidP="00C21B04" w:rsidRDefault="00EE30E4" w14:paraId="72774061" w14:textId="77777777">
      <w:pPr>
        <w:jc w:val="both"/>
        <w:rPr>
          <w:rFonts w:ascii="Arial" w:hAnsi="Arial" w:cs="Arial"/>
          <w:sz w:val="24"/>
          <w:szCs w:val="24"/>
        </w:rPr>
      </w:pPr>
    </w:p>
    <w:p w:rsidR="00EE30E4" w:rsidP="00C21B04" w:rsidRDefault="00EE30E4" w14:paraId="63EDCB16" w14:textId="39945C98">
      <w:pPr>
        <w:jc w:val="both"/>
        <w:rPr>
          <w:rFonts w:ascii="Arial" w:hAnsi="Arial" w:cs="Arial"/>
          <w:sz w:val="24"/>
          <w:szCs w:val="24"/>
        </w:rPr>
      </w:pPr>
      <w:r>
        <w:rPr>
          <w:rFonts w:ascii="Arial" w:hAnsi="Arial" w:cs="Arial"/>
          <w:b/>
          <w:sz w:val="24"/>
          <w:szCs w:val="24"/>
        </w:rPr>
        <w:tab/>
      </w:r>
      <w:r>
        <w:rPr>
          <w:rFonts w:ascii="Arial" w:hAnsi="Arial" w:cs="Arial"/>
          <w:sz w:val="24"/>
          <w:szCs w:val="24"/>
        </w:rPr>
        <w:t xml:space="preserve">Visoki prekršajni sud Republike Hrvatske u vijeću sastavljenom od sutkinja Gordane Korotaj, predsjednice vijeća, te sutkinje Nade Horvatović i </w:t>
      </w:r>
      <w:r w:rsidR="00A61428">
        <w:rPr>
          <w:rFonts w:ascii="Arial" w:hAnsi="Arial" w:cs="Arial"/>
          <w:sz w:val="24"/>
          <w:szCs w:val="24"/>
        </w:rPr>
        <w:t>sutkinje Ivanke Mašić, članica</w:t>
      </w:r>
      <w:r>
        <w:rPr>
          <w:rFonts w:ascii="Arial" w:hAnsi="Arial" w:cs="Arial"/>
          <w:sz w:val="24"/>
          <w:szCs w:val="24"/>
        </w:rPr>
        <w:t xml:space="preserve"> vijeća, uz sudjelovanje sudske savjetnice Nine Lukić, zapisničarke, u prekršajnom postupku protiv </w:t>
      </w:r>
      <w:proofErr w:type="spellStart"/>
      <w:r>
        <w:rPr>
          <w:rFonts w:ascii="Arial" w:hAnsi="Arial" w:cs="Arial"/>
          <w:sz w:val="24"/>
          <w:szCs w:val="24"/>
        </w:rPr>
        <w:t>okr</w:t>
      </w:r>
      <w:proofErr w:type="spellEnd"/>
      <w:r>
        <w:rPr>
          <w:rFonts w:ascii="Arial" w:hAnsi="Arial" w:cs="Arial"/>
          <w:sz w:val="24"/>
          <w:szCs w:val="24"/>
        </w:rPr>
        <w:t>. Mari</w:t>
      </w:r>
      <w:r w:rsidR="00F61113">
        <w:rPr>
          <w:rFonts w:ascii="Arial" w:hAnsi="Arial" w:cs="Arial"/>
          <w:sz w:val="24"/>
          <w:szCs w:val="24"/>
        </w:rPr>
        <w:t>j</w:t>
      </w:r>
      <w:r>
        <w:rPr>
          <w:rFonts w:ascii="Arial" w:hAnsi="Arial" w:cs="Arial"/>
          <w:sz w:val="24"/>
          <w:szCs w:val="24"/>
        </w:rPr>
        <w:t xml:space="preserve">a Jelaša, zbog prekršaja iz čl. 22. st. 1. Zakona o zaštiti od nasilja u obitelji („Narodne novine“, broj 70/17., 126/19., 84/21., 114/22.), odlučujući o žalbi okrivljenika, podnesenoj protiv presude Općinskog prekršajnog suda u Splitu od 17. lipnja 2024., broj: Pp-2749/2024-6, u sjednici vijeća održanoj </w:t>
      </w:r>
      <w:r w:rsidR="00A61428">
        <w:rPr>
          <w:rFonts w:ascii="Arial" w:hAnsi="Arial" w:cs="Arial"/>
          <w:sz w:val="24"/>
          <w:szCs w:val="24"/>
        </w:rPr>
        <w:t>2. lipnja 2026.,</w:t>
      </w:r>
    </w:p>
    <w:p w:rsidR="00EE30E4" w:rsidP="00C21B04" w:rsidRDefault="00EE30E4" w14:paraId="349502F4" w14:textId="77777777">
      <w:pPr>
        <w:jc w:val="both"/>
        <w:rPr>
          <w:rFonts w:ascii="Arial" w:hAnsi="Arial" w:cs="Arial"/>
          <w:sz w:val="24"/>
          <w:szCs w:val="24"/>
        </w:rPr>
      </w:pPr>
    </w:p>
    <w:p w:rsidR="00EE30E4" w:rsidP="00C21B04" w:rsidRDefault="00EE30E4" w14:paraId="539F1D10" w14:textId="77777777">
      <w:pPr>
        <w:jc w:val="both"/>
        <w:rPr>
          <w:rFonts w:ascii="Arial" w:hAnsi="Arial" w:cs="Arial"/>
          <w:sz w:val="24"/>
          <w:szCs w:val="24"/>
        </w:rPr>
      </w:pPr>
    </w:p>
    <w:p w:rsidR="00EE30E4" w:rsidP="00C21B04" w:rsidRDefault="00EE30E4" w14:paraId="1A2AC129" w14:textId="77777777">
      <w:pPr>
        <w:jc w:val="center"/>
        <w:rPr>
          <w:rFonts w:ascii="Arial" w:hAnsi="Arial" w:cs="Arial"/>
          <w:sz w:val="24"/>
          <w:szCs w:val="24"/>
        </w:rPr>
      </w:pPr>
      <w:r>
        <w:rPr>
          <w:rFonts w:ascii="Arial" w:hAnsi="Arial" w:cs="Arial"/>
          <w:sz w:val="24"/>
          <w:szCs w:val="24"/>
        </w:rPr>
        <w:t>p r e s u d i o    j e</w:t>
      </w:r>
    </w:p>
    <w:p w:rsidR="00EE30E4" w:rsidP="00C21B04" w:rsidRDefault="00EE30E4" w14:paraId="75410D45" w14:textId="77777777">
      <w:pPr>
        <w:jc w:val="center"/>
        <w:rPr>
          <w:rFonts w:ascii="Arial" w:hAnsi="Arial" w:cs="Arial"/>
          <w:sz w:val="24"/>
          <w:szCs w:val="24"/>
        </w:rPr>
      </w:pPr>
    </w:p>
    <w:p w:rsidR="00EE30E4" w:rsidP="00C21B04" w:rsidRDefault="00EE30E4" w14:paraId="5BA705ED" w14:textId="174A7072">
      <w:pPr>
        <w:jc w:val="both"/>
        <w:rPr>
          <w:rFonts w:ascii="Arial" w:hAnsi="Arial" w:cs="Arial"/>
          <w:sz w:val="24"/>
          <w:szCs w:val="24"/>
        </w:rPr>
      </w:pPr>
      <w:r>
        <w:rPr>
          <w:rFonts w:ascii="Arial" w:hAnsi="Arial" w:cs="Arial"/>
          <w:sz w:val="24"/>
          <w:szCs w:val="24"/>
        </w:rPr>
        <w:tab/>
        <w:t xml:space="preserve">I. Odbija se žalba </w:t>
      </w:r>
      <w:proofErr w:type="spellStart"/>
      <w:r>
        <w:rPr>
          <w:rFonts w:ascii="Arial" w:hAnsi="Arial" w:cs="Arial"/>
          <w:sz w:val="24"/>
          <w:szCs w:val="24"/>
        </w:rPr>
        <w:t>okr</w:t>
      </w:r>
      <w:proofErr w:type="spellEnd"/>
      <w:r>
        <w:rPr>
          <w:rFonts w:ascii="Arial" w:hAnsi="Arial" w:cs="Arial"/>
          <w:sz w:val="24"/>
          <w:szCs w:val="24"/>
        </w:rPr>
        <w:t>. Mari</w:t>
      </w:r>
      <w:r w:rsidR="00F61113">
        <w:rPr>
          <w:rFonts w:ascii="Arial" w:hAnsi="Arial" w:cs="Arial"/>
          <w:sz w:val="24"/>
          <w:szCs w:val="24"/>
        </w:rPr>
        <w:t>j</w:t>
      </w:r>
      <w:r>
        <w:rPr>
          <w:rFonts w:ascii="Arial" w:hAnsi="Arial" w:cs="Arial"/>
          <w:sz w:val="24"/>
          <w:szCs w:val="24"/>
        </w:rPr>
        <w:t>a Jelaša kao neosnovana i potvrđuje se pobijana prvostupanjska presuda.</w:t>
      </w:r>
    </w:p>
    <w:p w:rsidR="00EE30E4" w:rsidP="00C21B04" w:rsidRDefault="00EE30E4" w14:paraId="319B4AA9" w14:textId="77777777">
      <w:pPr>
        <w:jc w:val="both"/>
        <w:rPr>
          <w:rFonts w:ascii="Arial" w:hAnsi="Arial" w:cs="Arial"/>
          <w:sz w:val="24"/>
          <w:szCs w:val="24"/>
        </w:rPr>
      </w:pPr>
    </w:p>
    <w:p w:rsidR="00EE30E4" w:rsidP="00C21B04" w:rsidRDefault="00EE30E4" w14:paraId="2D8C0F03" w14:textId="12F54EDA">
      <w:pPr>
        <w:ind w:firstLine="708"/>
        <w:jc w:val="both"/>
        <w:rPr>
          <w:rFonts w:ascii="Arial" w:hAnsi="Arial" w:cs="Arial"/>
          <w:sz w:val="24"/>
          <w:szCs w:val="24"/>
        </w:rPr>
      </w:pPr>
      <w:r>
        <w:rPr>
          <w:rFonts w:ascii="Arial" w:hAnsi="Arial" w:cs="Arial"/>
          <w:sz w:val="24"/>
          <w:szCs w:val="24"/>
        </w:rPr>
        <w:t xml:space="preserve">II. Na temelju čl. 139. st. 6. Prekršajnog zakona („Narodne novine“, broj 107/07., 39/13., 157/13., 110/15., 70/17., 118/18. i 114/22.), </w:t>
      </w:r>
      <w:proofErr w:type="spellStart"/>
      <w:r>
        <w:rPr>
          <w:rFonts w:ascii="Arial" w:hAnsi="Arial" w:cs="Arial"/>
          <w:sz w:val="24"/>
          <w:szCs w:val="24"/>
        </w:rPr>
        <w:t>okr</w:t>
      </w:r>
      <w:proofErr w:type="spellEnd"/>
      <w:r>
        <w:rPr>
          <w:rFonts w:ascii="Arial" w:hAnsi="Arial" w:cs="Arial"/>
          <w:sz w:val="24"/>
          <w:szCs w:val="24"/>
        </w:rPr>
        <w:t>. Mario Jelaš obvezan je naknaditi paušalni iznos troškova žalbenog postupka 70,00 EUR (sedamdeset eura) u roku 30 (trideset) dana od primitka ove presude.</w:t>
      </w:r>
    </w:p>
    <w:p w:rsidR="00EE30E4" w:rsidP="00C21B04" w:rsidRDefault="00EE30E4" w14:paraId="7128A2DB" w14:textId="77777777">
      <w:pPr>
        <w:jc w:val="both"/>
        <w:rPr>
          <w:rFonts w:ascii="Arial" w:hAnsi="Arial" w:cs="Arial"/>
          <w:sz w:val="24"/>
          <w:szCs w:val="24"/>
        </w:rPr>
      </w:pPr>
      <w:r>
        <w:rPr>
          <w:rFonts w:ascii="Arial" w:hAnsi="Arial" w:cs="Arial"/>
          <w:sz w:val="24"/>
          <w:szCs w:val="24"/>
        </w:rPr>
        <w:tab/>
      </w:r>
    </w:p>
    <w:p w:rsidRPr="00037F47" w:rsidR="00EE30E4" w:rsidP="00C21B04" w:rsidRDefault="00EE30E4" w14:paraId="3EFC9150" w14:textId="77777777">
      <w:pPr>
        <w:pStyle w:val="Naslov3"/>
        <w:spacing w:line="240" w:lineRule="auto"/>
        <w:jc w:val="center"/>
        <w:rPr>
          <w:rFonts w:ascii="Arial" w:hAnsi="Arial" w:cs="Arial"/>
          <w:color w:val="auto"/>
          <w:sz w:val="24"/>
          <w:szCs w:val="22"/>
        </w:rPr>
      </w:pPr>
      <w:r w:rsidRPr="00037F47">
        <w:rPr>
          <w:rFonts w:ascii="Arial" w:hAnsi="Arial" w:cs="Arial"/>
          <w:color w:val="auto"/>
          <w:sz w:val="24"/>
          <w:szCs w:val="22"/>
        </w:rPr>
        <w:t>Obrazloženje</w:t>
      </w:r>
    </w:p>
    <w:p w:rsidR="00EE30E4" w:rsidP="00C21B04" w:rsidRDefault="00EE30E4" w14:paraId="7A5F774F" w14:textId="77777777">
      <w:pPr>
        <w:rPr>
          <w:rFonts w:ascii="Arial" w:hAnsi="Arial" w:cs="Arial"/>
          <w:sz w:val="24"/>
          <w:szCs w:val="24"/>
        </w:rPr>
      </w:pPr>
      <w:bookmarkStart w:name="_Hlk223000790" w:id="0"/>
    </w:p>
    <w:p w:rsidR="00EE30E4" w:rsidP="00C21B04" w:rsidRDefault="00EE30E4" w14:paraId="3B711C51" w14:textId="0D3E66A4">
      <w:pPr>
        <w:jc w:val="both"/>
        <w:rPr>
          <w:rFonts w:ascii="Arial" w:hAnsi="Arial" w:cs="Arial"/>
          <w:sz w:val="24"/>
          <w:szCs w:val="24"/>
        </w:rPr>
      </w:pPr>
      <w:r>
        <w:rPr>
          <w:rFonts w:ascii="Arial" w:hAnsi="Arial" w:cs="Arial"/>
          <w:sz w:val="24"/>
          <w:szCs w:val="24"/>
        </w:rPr>
        <w:t xml:space="preserve">1. Pobijanom prvostupanjskom presudom Općinskog prekršajnog suda u Splitu od 17. lipnja 2024., broj: Pp-2749/2024-6, proglašen je krivim </w:t>
      </w:r>
      <w:proofErr w:type="spellStart"/>
      <w:r>
        <w:rPr>
          <w:rFonts w:ascii="Arial" w:hAnsi="Arial" w:cs="Arial"/>
          <w:sz w:val="24"/>
          <w:szCs w:val="24"/>
        </w:rPr>
        <w:t>okr</w:t>
      </w:r>
      <w:proofErr w:type="spellEnd"/>
      <w:r>
        <w:rPr>
          <w:rFonts w:ascii="Arial" w:hAnsi="Arial" w:cs="Arial"/>
          <w:sz w:val="24"/>
          <w:szCs w:val="24"/>
        </w:rPr>
        <w:t>. Mario Jelaš da je, na način činjenično opisan u izreci pobijane presude, počinio prekršaj iz čl. 22. st. 1. Zakona o zaštiti od nasilja u obitelji, za koji mu je izrečena novčana kazna 300,00 eura, uz pogodnost plaćanja dvije trećine preostalog dijela izrečene novčane kazne. U odnosu na troškove prekršajnog postupka, odlučeno je da je okrivljenik obvezan naknaditi 30,00 eura.</w:t>
      </w:r>
    </w:p>
    <w:bookmarkEnd w:id="0"/>
    <w:p w:rsidR="00EE30E4" w:rsidP="00C21B04" w:rsidRDefault="00EE30E4" w14:paraId="7D582AC3" w14:textId="77777777">
      <w:pPr>
        <w:jc w:val="both"/>
        <w:rPr>
          <w:rFonts w:ascii="Arial" w:hAnsi="Arial" w:cs="Arial"/>
          <w:sz w:val="24"/>
          <w:szCs w:val="24"/>
        </w:rPr>
      </w:pPr>
    </w:p>
    <w:p w:rsidR="00EE30E4" w:rsidP="00C21B04" w:rsidRDefault="00EE30E4" w14:paraId="3A6D64CA" w14:textId="2DF44937">
      <w:pPr>
        <w:jc w:val="both"/>
        <w:rPr>
          <w:rFonts w:ascii="Arial" w:hAnsi="Arial" w:cs="Arial"/>
          <w:sz w:val="24"/>
          <w:szCs w:val="24"/>
        </w:rPr>
      </w:pPr>
      <w:r>
        <w:rPr>
          <w:rFonts w:ascii="Arial" w:hAnsi="Arial" w:cs="Arial"/>
          <w:sz w:val="24"/>
          <w:szCs w:val="24"/>
        </w:rPr>
        <w:t>2. Protiv te presude, žalbu je podnio okrivljenik po branitelju, odvjetniku Mihovilu Joviću, s prijedlogom da se ista usvoji.</w:t>
      </w:r>
    </w:p>
    <w:p w:rsidR="00EE30E4" w:rsidP="00C21B04" w:rsidRDefault="00EE30E4" w14:paraId="11C06D3B" w14:textId="77777777">
      <w:pPr>
        <w:jc w:val="both"/>
        <w:rPr>
          <w:rFonts w:ascii="Arial" w:hAnsi="Arial" w:cs="Arial"/>
          <w:sz w:val="24"/>
          <w:szCs w:val="24"/>
        </w:rPr>
      </w:pPr>
    </w:p>
    <w:p w:rsidR="00EE30E4" w:rsidP="00C21B04" w:rsidRDefault="00EE30E4" w14:paraId="1E2B2DBA" w14:textId="0FA9A032">
      <w:pPr>
        <w:jc w:val="both"/>
        <w:rPr>
          <w:rFonts w:ascii="Arial" w:hAnsi="Arial" w:cs="Arial"/>
          <w:sz w:val="24"/>
          <w:szCs w:val="24"/>
        </w:rPr>
      </w:pPr>
      <w:r>
        <w:rPr>
          <w:rFonts w:ascii="Arial" w:hAnsi="Arial" w:cs="Arial"/>
          <w:sz w:val="24"/>
          <w:szCs w:val="24"/>
        </w:rPr>
        <w:lastRenderedPageBreak/>
        <w:t>3. Žalba nije osnovana.</w:t>
      </w:r>
    </w:p>
    <w:p w:rsidR="00EE30E4" w:rsidP="00C21B04" w:rsidRDefault="00EE30E4" w14:paraId="7986025F" w14:textId="77777777">
      <w:pPr>
        <w:jc w:val="both"/>
        <w:rPr>
          <w:rFonts w:ascii="Arial" w:hAnsi="Arial" w:cs="Arial"/>
          <w:sz w:val="24"/>
          <w:szCs w:val="24"/>
        </w:rPr>
      </w:pPr>
    </w:p>
    <w:p w:rsidR="00EE30E4" w:rsidP="006A346A" w:rsidRDefault="00EE30E4" w14:paraId="2515F37E" w14:textId="77777777">
      <w:pPr>
        <w:jc w:val="both"/>
        <w:rPr>
          <w:rFonts w:ascii="Arial" w:hAnsi="Arial" w:cs="Arial"/>
          <w:sz w:val="24"/>
          <w:szCs w:val="24"/>
        </w:rPr>
      </w:pPr>
      <w:r>
        <w:rPr>
          <w:rFonts w:ascii="Arial" w:hAnsi="Arial" w:cs="Arial"/>
          <w:sz w:val="24"/>
          <w:szCs w:val="24"/>
        </w:rPr>
        <w:t>4. Visoki prekršajni sud Republike Hrvatske, kao drugostupanjski sud, na temelju čl. 202. st. 1. Prekršajnog zakona, ispitivao je pobijanu prvostupanjsku presudu iz osnova i razloga iz kojih se ona pobija žalbom, kao i po službenoj dužnosti. Pritom nije utvrđeno da postoje razlozi zbog kojih okrivljenik pobija prvostupanjsku presudu, a niti su utvrđene povrede na koje ovaj sud, sukladno navedenoj zakonskoj odredbi, pazi po službenoj dužnosti.</w:t>
      </w:r>
    </w:p>
    <w:p w:rsidR="00EE30E4" w:rsidP="00C21B04" w:rsidRDefault="00EE30E4" w14:paraId="562B01B6" w14:textId="77777777">
      <w:pPr>
        <w:ind w:firstLine="708"/>
        <w:jc w:val="both"/>
        <w:rPr>
          <w:rFonts w:ascii="Arial" w:hAnsi="Arial" w:cs="Arial"/>
          <w:sz w:val="24"/>
          <w:szCs w:val="24"/>
        </w:rPr>
      </w:pPr>
    </w:p>
    <w:p w:rsidR="00EE30E4" w:rsidP="006A346A" w:rsidRDefault="00EE30E4" w14:paraId="14E2BF15" w14:textId="0EDB366D">
      <w:pPr>
        <w:jc w:val="both"/>
        <w:rPr>
          <w:rFonts w:ascii="Arial" w:hAnsi="Arial" w:cs="Arial"/>
          <w:sz w:val="24"/>
          <w:szCs w:val="24"/>
        </w:rPr>
      </w:pPr>
      <w:r>
        <w:rPr>
          <w:rFonts w:ascii="Arial" w:hAnsi="Arial" w:cs="Arial"/>
          <w:sz w:val="24"/>
          <w:szCs w:val="24"/>
        </w:rPr>
        <w:t>5. Okrivljenik u žalbi navodi kako iz izreke pobijane presude proizlazi kako je u postupku dokazano da je okrivljeni prema oštećenoj počinio psihičko nasilje koje je kod iste izazvalo uznemirenost, te ekonomsko nasilje, dok okrivljenik smatra kako takav stav suda nije točan, odnosno kako ne postoji niti jedan dokaz koji bi upućivao da je okrivljenik počinio prekršaj koji mu se stavlja na teret. Nadalje, ističe kako prvostupanjski sud u obrazloženju priznaje kako dokazi izvedeni pred sudom prvog stupnja ne upućuju da bi okrivljeni ostvario biće prekršaja koji mu se stavlj</w:t>
      </w:r>
      <w:r w:rsidR="00F61113">
        <w:rPr>
          <w:rFonts w:ascii="Arial" w:hAnsi="Arial" w:cs="Arial"/>
          <w:sz w:val="24"/>
          <w:szCs w:val="24"/>
        </w:rPr>
        <w:t>a</w:t>
      </w:r>
      <w:r>
        <w:rPr>
          <w:rFonts w:ascii="Arial" w:hAnsi="Arial" w:cs="Arial"/>
          <w:sz w:val="24"/>
          <w:szCs w:val="24"/>
        </w:rPr>
        <w:t xml:space="preserve"> na teret, ali donosi presudu jer je stekao uvjerenje da se u konkretnom slučaju radi o nasilju u obitelji, a takvo donošenje presude na temelju uvjerenja okrivljenik smatra da je suprotno načelu krivnje, odnosno da je suprotno s temeljnim postulatom kako se nitko ne može proglasiti krivim za djelo koje nije počinio. Ističe kako sud treba uzeti u obzir činjenicu da je oštećena neblagonaklono ušla u stan okrivljenika tražeći od istog novac, pa je time izazvala cjelokupnu situaciju između okrivljenika i oštećene. U tome smislu ukazuje na to da se okrivljenik branio od oštećene. </w:t>
      </w:r>
    </w:p>
    <w:p w:rsidR="00EE30E4" w:rsidP="00C21B04" w:rsidRDefault="00EE30E4" w14:paraId="175D8C75" w14:textId="77777777">
      <w:pPr>
        <w:jc w:val="both"/>
        <w:rPr>
          <w:rFonts w:ascii="Arial" w:hAnsi="Arial" w:cs="Arial"/>
          <w:sz w:val="24"/>
          <w:szCs w:val="24"/>
        </w:rPr>
      </w:pPr>
    </w:p>
    <w:p w:rsidR="00420F35" w:rsidP="006A346A" w:rsidRDefault="00EE30E4" w14:paraId="2DB8EF39" w14:textId="0A381554">
      <w:pPr>
        <w:jc w:val="both"/>
        <w:rPr>
          <w:rFonts w:ascii="Arial" w:hAnsi="Arial" w:cs="Arial"/>
          <w:sz w:val="24"/>
          <w:szCs w:val="24"/>
        </w:rPr>
      </w:pPr>
      <w:r>
        <w:rPr>
          <w:rFonts w:ascii="Arial" w:hAnsi="Arial" w:cs="Arial"/>
          <w:sz w:val="24"/>
          <w:szCs w:val="24"/>
        </w:rPr>
        <w:t xml:space="preserve">6. U odnosu na navod okrivljenika kako </w:t>
      </w:r>
      <w:r w:rsidR="00420F35">
        <w:rPr>
          <w:rFonts w:ascii="Arial" w:hAnsi="Arial" w:cs="Arial"/>
          <w:sz w:val="24"/>
          <w:szCs w:val="24"/>
        </w:rPr>
        <w:t>sud nije utemeljio svoju odluku na dokazima te kako je i sam u obrazloženju naznačio kako dokazi izvedeni pred njime ne upućuju da je okrivljeni postupao na navedeni način, ali da donosi osuđujuću presudu jer je ostao u uvjerenju da se u konkretnom slučaju ipak radi o nasilju u obitelji, ovaj sud ističe kako je takav žalbeni navod neosnovan i ne proizlazi iz stanja spisa. Naime, upravo suprotno navodima okrivljenika, sud obrazlaže kako je na temelju svih izvedenih dokaza (saslušanja okrivljenika, oštećene, provedenog suočenja u kojem je okrivljenik izjavio kako potvrđuje sve navode oštećene kojima ona detaljno opisuje događaj kako je naveden u činjeničnom opisu prekršaja za koji se okrivljenik tereti, te materijalne dokumentacije u koju je izvršio uvid) zaključio da je okrivljenik počinio prekršaj koji mu se stavlja na teret optužnim aktom. Dakle, sud je proveo dokazne radnje u cilju pravilnog utvrđivanja činjeničnog stanja, a okrivljenik je prilikom suočenja i potvrdio navode kojima se tereti</w:t>
      </w:r>
      <w:r w:rsidR="004013C8">
        <w:rPr>
          <w:rFonts w:ascii="Arial" w:hAnsi="Arial" w:cs="Arial"/>
          <w:sz w:val="24"/>
          <w:szCs w:val="24"/>
        </w:rPr>
        <w:t>, a takvo njegovo priznanje prilikom suočenja odgovara činjenicama koje proizlaze iz svih prethodno izvedenih dokaza</w:t>
      </w:r>
      <w:r w:rsidR="00420F35">
        <w:rPr>
          <w:rFonts w:ascii="Arial" w:hAnsi="Arial" w:cs="Arial"/>
          <w:sz w:val="24"/>
          <w:szCs w:val="24"/>
        </w:rPr>
        <w:t>.</w:t>
      </w:r>
      <w:r>
        <w:rPr>
          <w:rFonts w:ascii="Arial" w:hAnsi="Arial" w:cs="Arial"/>
          <w:sz w:val="24"/>
          <w:szCs w:val="24"/>
        </w:rPr>
        <w:t xml:space="preserve"> </w:t>
      </w:r>
      <w:r w:rsidR="00420F35">
        <w:rPr>
          <w:rFonts w:ascii="Arial" w:hAnsi="Arial" w:cs="Arial"/>
          <w:sz w:val="24"/>
          <w:szCs w:val="24"/>
        </w:rPr>
        <w:t xml:space="preserve">Pritom je važno naglasiti kako je okrivljenik u prvostupanjskom postupku prvenstveno iznio obranu kojom poriče počinjenje, a nakon provedenog suočenja odustaje od iste i potvrđuje navode oštećene, da bi sada u žalbi ponovno iznosio suprotne navode, što upućuje da isti imaju za cilj izbjegavanje </w:t>
      </w:r>
      <w:proofErr w:type="spellStart"/>
      <w:r w:rsidR="00420F35">
        <w:rPr>
          <w:rFonts w:ascii="Arial" w:hAnsi="Arial" w:cs="Arial"/>
          <w:sz w:val="24"/>
          <w:szCs w:val="24"/>
        </w:rPr>
        <w:t>prekršajnopravne</w:t>
      </w:r>
      <w:proofErr w:type="spellEnd"/>
      <w:r w:rsidR="00420F35">
        <w:rPr>
          <w:rFonts w:ascii="Arial" w:hAnsi="Arial" w:cs="Arial"/>
          <w:sz w:val="24"/>
          <w:szCs w:val="24"/>
        </w:rPr>
        <w:t xml:space="preserve"> odgovornosti i to ukazujući na manjkavost utvrđenog činjeničnog stanja, a koje je činjenično stanje, po stavu ovoga suda, pravilno i potpuno utvrđeno. </w:t>
      </w:r>
      <w:r w:rsidR="004013C8">
        <w:rPr>
          <w:rFonts w:ascii="Arial" w:hAnsi="Arial" w:cs="Arial"/>
          <w:sz w:val="24"/>
          <w:szCs w:val="24"/>
        </w:rPr>
        <w:t xml:space="preserve">U tome smislu, nije točno da je ovakvo utvrđenje suprotno načelu krivnje, jer iz rezultata prvostupanjskog postupka zaista i proizlazi da je okrivljenik počinio prekršaj koji mu se stavlja na teret optužnim aktom i to savjesnom ocjenom dokaza koji su doveli do stupnja vjerojatnosti koji se traži za donošenje osuđujuće odluke. </w:t>
      </w:r>
    </w:p>
    <w:p w:rsidR="00420F35" w:rsidP="00C21B04" w:rsidRDefault="00420F35" w14:paraId="46DC5C38" w14:textId="77777777">
      <w:pPr>
        <w:ind w:firstLine="708"/>
        <w:jc w:val="both"/>
        <w:rPr>
          <w:rFonts w:ascii="Arial" w:hAnsi="Arial" w:cs="Arial"/>
          <w:sz w:val="24"/>
          <w:szCs w:val="24"/>
        </w:rPr>
      </w:pPr>
    </w:p>
    <w:p w:rsidR="00420F35" w:rsidP="006A346A" w:rsidRDefault="00420F35" w14:paraId="5A46D6FE" w14:textId="2496E12E">
      <w:pPr>
        <w:jc w:val="both"/>
        <w:rPr>
          <w:rFonts w:ascii="Arial" w:hAnsi="Arial" w:cs="Arial"/>
          <w:sz w:val="24"/>
          <w:szCs w:val="24"/>
        </w:rPr>
      </w:pPr>
      <w:r>
        <w:rPr>
          <w:rFonts w:ascii="Arial" w:hAnsi="Arial" w:cs="Arial"/>
          <w:sz w:val="24"/>
          <w:szCs w:val="24"/>
        </w:rPr>
        <w:lastRenderedPageBreak/>
        <w:t xml:space="preserve">6.1. Glede navoda da je oštećena svojim ponašanjem izazvala predmetnu situaciju jer je neblagonaklono ušla u stan, pa okrivljenik nije imao izbora doli braniti se, ovaj sud ističe kako ovako izneseno ukazivanje na nužnu obranu nije osnovano. Naime, </w:t>
      </w:r>
      <w:r w:rsidRPr="00B95E1B">
        <w:rPr>
          <w:rFonts w:ascii="Arial" w:hAnsi="Arial" w:cs="Arial"/>
          <w:sz w:val="24"/>
          <w:szCs w:val="24"/>
        </w:rPr>
        <w:t>člankom</w:t>
      </w:r>
      <w:r w:rsidR="00B95E1B">
        <w:rPr>
          <w:rFonts w:ascii="Arial" w:hAnsi="Arial" w:cs="Arial"/>
          <w:sz w:val="24"/>
          <w:szCs w:val="24"/>
        </w:rPr>
        <w:t xml:space="preserve"> 18. stavkom 2. Prekršajnog zakona propisano je da je n</w:t>
      </w:r>
      <w:r w:rsidRPr="00B95E1B" w:rsidR="00B95E1B">
        <w:rPr>
          <w:rFonts w:ascii="Arial" w:hAnsi="Arial" w:cs="Arial"/>
          <w:sz w:val="24"/>
          <w:szCs w:val="24"/>
        </w:rPr>
        <w:t>užna obrana ona obrana koja je prijeko potrebna da počinitelj od sebe ili drugoga odbije istodobni ili izravno predstojeći protupravni napad.</w:t>
      </w:r>
      <w:r>
        <w:rPr>
          <w:rFonts w:ascii="Arial" w:hAnsi="Arial" w:cs="Arial"/>
          <w:sz w:val="24"/>
          <w:szCs w:val="24"/>
        </w:rPr>
        <w:t xml:space="preserve"> </w:t>
      </w:r>
      <w:r w:rsidR="00B95E1B">
        <w:rPr>
          <w:rFonts w:ascii="Arial" w:hAnsi="Arial" w:cs="Arial"/>
          <w:sz w:val="24"/>
          <w:szCs w:val="24"/>
        </w:rPr>
        <w:t>Dakle, potrebno je da postoji realan</w:t>
      </w:r>
      <w:r w:rsidR="004013C8">
        <w:rPr>
          <w:rFonts w:ascii="Arial" w:hAnsi="Arial" w:cs="Arial"/>
          <w:sz w:val="24"/>
          <w:szCs w:val="24"/>
        </w:rPr>
        <w:t xml:space="preserve"> i </w:t>
      </w:r>
      <w:r w:rsidR="00B95E1B">
        <w:rPr>
          <w:rFonts w:ascii="Arial" w:hAnsi="Arial" w:cs="Arial"/>
          <w:sz w:val="24"/>
          <w:szCs w:val="24"/>
        </w:rPr>
        <w:t>objektivan protupravni napad koji je istodoban ili izravno predstojeći. Neblagonaklon ulazak supruge u stan ne može se tumačiti kao napad u smislu ovoga instituta, pa samim time nije ostvaren osnovni uvjet za nastupanje nužne obrane</w:t>
      </w:r>
      <w:r w:rsidR="004013C8">
        <w:rPr>
          <w:rFonts w:ascii="Arial" w:hAnsi="Arial" w:cs="Arial"/>
          <w:sz w:val="24"/>
          <w:szCs w:val="24"/>
        </w:rPr>
        <w:t>, jer se okrivljenik nije imao od čega braniti</w:t>
      </w:r>
      <w:r w:rsidR="00B95E1B">
        <w:rPr>
          <w:rFonts w:ascii="Arial" w:hAnsi="Arial" w:cs="Arial"/>
          <w:sz w:val="24"/>
          <w:szCs w:val="24"/>
        </w:rPr>
        <w:t xml:space="preserve">. U tome smislu, a i uzevši u obzir rezultat cjelokupnog provedenog postupka (osobito dijela u kojem okrivljenik odustaje od obrane i potvrđuje navode supruge koji negiraju ovakvu konstrukciju) ovakav žalbeni navod je po mišljenju ovoga suda, usmjeren na izbjegavanje </w:t>
      </w:r>
      <w:proofErr w:type="spellStart"/>
      <w:r w:rsidR="00B95E1B">
        <w:rPr>
          <w:rFonts w:ascii="Arial" w:hAnsi="Arial" w:cs="Arial"/>
          <w:sz w:val="24"/>
          <w:szCs w:val="24"/>
        </w:rPr>
        <w:t>prekršajnopravne</w:t>
      </w:r>
      <w:proofErr w:type="spellEnd"/>
      <w:r w:rsidR="00B95E1B">
        <w:rPr>
          <w:rFonts w:ascii="Arial" w:hAnsi="Arial" w:cs="Arial"/>
          <w:sz w:val="24"/>
          <w:szCs w:val="24"/>
        </w:rPr>
        <w:t xml:space="preserve"> odgovornosti. </w:t>
      </w:r>
    </w:p>
    <w:p w:rsidR="00EE30E4" w:rsidP="00C21B04" w:rsidRDefault="00EE30E4" w14:paraId="3AC0B798" w14:textId="77777777">
      <w:pPr>
        <w:jc w:val="both"/>
        <w:rPr>
          <w:rFonts w:ascii="Arial" w:hAnsi="Arial" w:cs="Arial"/>
          <w:sz w:val="24"/>
          <w:szCs w:val="24"/>
        </w:rPr>
      </w:pPr>
    </w:p>
    <w:p w:rsidR="00EE30E4" w:rsidP="006A346A" w:rsidRDefault="00B95E1B" w14:paraId="0E502640" w14:textId="16EC2793">
      <w:pPr>
        <w:jc w:val="both"/>
        <w:rPr>
          <w:rFonts w:ascii="Arial" w:hAnsi="Arial" w:cs="Arial"/>
          <w:sz w:val="24"/>
          <w:szCs w:val="24"/>
        </w:rPr>
      </w:pPr>
      <w:r>
        <w:rPr>
          <w:rFonts w:ascii="Arial" w:hAnsi="Arial" w:cs="Arial"/>
          <w:sz w:val="24"/>
          <w:szCs w:val="24"/>
        </w:rPr>
        <w:t>7</w:t>
      </w:r>
      <w:r w:rsidR="00EE30E4">
        <w:rPr>
          <w:rFonts w:ascii="Arial" w:hAnsi="Arial" w:cs="Arial"/>
          <w:sz w:val="24"/>
          <w:szCs w:val="24"/>
        </w:rPr>
        <w:t xml:space="preserve">. Slijedom navedenog, po ocjeni ovog suda, nema mjesta nikakvoj dvojbi glede odlučnih činjenica pa žalba okrivljenika zbog pogrešno i nepotpuno utvrđenog činjeničnog stanja nije osnovana. </w:t>
      </w:r>
    </w:p>
    <w:p w:rsidR="00EE30E4" w:rsidP="00C21B04" w:rsidRDefault="00EE30E4" w14:paraId="070AE8C9" w14:textId="77777777">
      <w:pPr>
        <w:jc w:val="both"/>
        <w:rPr>
          <w:rFonts w:ascii="Arial" w:hAnsi="Arial" w:cs="Arial"/>
          <w:sz w:val="24"/>
          <w:szCs w:val="24"/>
        </w:rPr>
      </w:pPr>
    </w:p>
    <w:p w:rsidRPr="003E1BA1" w:rsidR="00B95E1B" w:rsidP="006A346A" w:rsidRDefault="00B95E1B" w14:paraId="60EDE8E0" w14:textId="1D4E572C">
      <w:pPr>
        <w:jc w:val="both"/>
        <w:rPr>
          <w:rFonts w:ascii="Arial" w:hAnsi="Arial" w:cs="Arial"/>
          <w:sz w:val="24"/>
          <w:szCs w:val="24"/>
        </w:rPr>
      </w:pPr>
      <w:r>
        <w:rPr>
          <w:rFonts w:ascii="Arial" w:hAnsi="Arial" w:cs="Arial"/>
          <w:sz w:val="24"/>
          <w:szCs w:val="24"/>
        </w:rPr>
        <w:t>8.</w:t>
      </w:r>
      <w:r w:rsidRPr="003E1BA1">
        <w:rPr>
          <w:rFonts w:ascii="Arial" w:hAnsi="Arial" w:cs="Arial"/>
          <w:sz w:val="24"/>
          <w:szCs w:val="24"/>
        </w:rPr>
        <w:t xml:space="preserve"> Iz sadržaja žalbe proizlazi da se </w:t>
      </w:r>
      <w:r>
        <w:rPr>
          <w:rFonts w:ascii="Arial" w:hAnsi="Arial" w:cs="Arial"/>
          <w:sz w:val="24"/>
          <w:szCs w:val="24"/>
        </w:rPr>
        <w:t>okrivljenik</w:t>
      </w:r>
      <w:r w:rsidRPr="003E1BA1">
        <w:rPr>
          <w:rFonts w:ascii="Arial" w:hAnsi="Arial" w:cs="Arial"/>
          <w:sz w:val="24"/>
          <w:szCs w:val="24"/>
        </w:rPr>
        <w:t xml:space="preserve"> nije </w:t>
      </w:r>
      <w:r>
        <w:rPr>
          <w:rFonts w:ascii="Arial" w:hAnsi="Arial" w:cs="Arial"/>
          <w:sz w:val="24"/>
          <w:szCs w:val="24"/>
        </w:rPr>
        <w:t>žalio</w:t>
      </w:r>
      <w:r w:rsidRPr="003E1BA1">
        <w:rPr>
          <w:rFonts w:ascii="Arial" w:hAnsi="Arial" w:cs="Arial"/>
          <w:sz w:val="24"/>
          <w:szCs w:val="24"/>
        </w:rPr>
        <w:t xml:space="preserve"> zbog odluke o izrečenoj kazni zatvora, no Visoki prekršajni sud Republike Hrvatske, kao drugostupanjski sud, ispitao je pobijanu prvostupanjsku presudu i po toj osnovi, budući da, sukladno odredbi čl. 202. st. 5. Prekršajnog zakona, žalba podnesena u korist okrivljenika zbog pogrešno ili nepotpuno utvrđenog činjeničnog stanja ili zbog povrede materijalnog prekršajnog prava, u sebi sadrži i žalbu zbog odluke o </w:t>
      </w:r>
      <w:proofErr w:type="spellStart"/>
      <w:r w:rsidRPr="003E1BA1">
        <w:rPr>
          <w:rFonts w:ascii="Arial" w:hAnsi="Arial" w:cs="Arial"/>
          <w:sz w:val="24"/>
          <w:szCs w:val="24"/>
        </w:rPr>
        <w:t>prekršajnopravnoj</w:t>
      </w:r>
      <w:proofErr w:type="spellEnd"/>
      <w:r w:rsidRPr="003E1BA1">
        <w:rPr>
          <w:rFonts w:ascii="Arial" w:hAnsi="Arial" w:cs="Arial"/>
          <w:sz w:val="24"/>
          <w:szCs w:val="24"/>
        </w:rPr>
        <w:t xml:space="preserve"> sankciji.</w:t>
      </w:r>
    </w:p>
    <w:p w:rsidRPr="003E1BA1" w:rsidR="00B95E1B" w:rsidP="00C21B04" w:rsidRDefault="00B95E1B" w14:paraId="220BC220" w14:textId="77777777">
      <w:pPr>
        <w:ind w:firstLine="708"/>
        <w:jc w:val="both"/>
        <w:rPr>
          <w:rFonts w:ascii="Arial" w:hAnsi="Arial" w:cs="Arial"/>
          <w:sz w:val="24"/>
          <w:szCs w:val="24"/>
        </w:rPr>
      </w:pPr>
    </w:p>
    <w:p w:rsidR="00B95E1B" w:rsidP="006A346A" w:rsidRDefault="00B95E1B" w14:paraId="38231CEB" w14:textId="62491824">
      <w:pPr>
        <w:jc w:val="both"/>
        <w:rPr>
          <w:rFonts w:ascii="Arial" w:hAnsi="Arial" w:cs="Arial"/>
          <w:sz w:val="24"/>
          <w:szCs w:val="24"/>
        </w:rPr>
      </w:pPr>
      <w:r>
        <w:rPr>
          <w:rFonts w:ascii="Arial" w:hAnsi="Arial" w:cs="Arial"/>
          <w:sz w:val="24"/>
          <w:szCs w:val="24"/>
        </w:rPr>
        <w:t>9</w:t>
      </w:r>
      <w:r w:rsidRPr="003E1BA1">
        <w:rPr>
          <w:rFonts w:ascii="Arial" w:hAnsi="Arial" w:cs="Arial"/>
          <w:sz w:val="24"/>
          <w:szCs w:val="24"/>
        </w:rPr>
        <w:t xml:space="preserve">. Po ocjeni ovog suda, imajući na umu da je </w:t>
      </w:r>
      <w:r>
        <w:rPr>
          <w:rFonts w:ascii="Arial" w:hAnsi="Arial" w:cs="Arial"/>
          <w:sz w:val="24"/>
          <w:szCs w:val="24"/>
        </w:rPr>
        <w:t>okrivljenik</w:t>
      </w:r>
      <w:r w:rsidRPr="003E1BA1">
        <w:rPr>
          <w:rFonts w:ascii="Arial" w:hAnsi="Arial" w:cs="Arial"/>
          <w:sz w:val="24"/>
          <w:szCs w:val="24"/>
        </w:rPr>
        <w:t xml:space="preserve"> </w:t>
      </w:r>
      <w:r>
        <w:rPr>
          <w:rFonts w:ascii="Arial" w:hAnsi="Arial" w:cs="Arial"/>
          <w:sz w:val="24"/>
          <w:szCs w:val="24"/>
        </w:rPr>
        <w:t xml:space="preserve">prekršajno osuđivan </w:t>
      </w:r>
      <w:r w:rsidRPr="003E1BA1">
        <w:rPr>
          <w:rFonts w:ascii="Arial" w:hAnsi="Arial" w:cs="Arial"/>
          <w:sz w:val="24"/>
          <w:szCs w:val="24"/>
        </w:rPr>
        <w:t xml:space="preserve"> </w:t>
      </w:r>
      <w:r>
        <w:rPr>
          <w:rFonts w:ascii="Arial" w:hAnsi="Arial" w:cs="Arial"/>
          <w:sz w:val="24"/>
          <w:szCs w:val="24"/>
        </w:rPr>
        <w:t>te da je iz činjeničnog opisa razvidno da je okrivljenik u počinjenju prekršaja pokazao ustrajnost i da postoji veća kriminalna količina, izrečena</w:t>
      </w:r>
      <w:r w:rsidR="004013C8">
        <w:rPr>
          <w:rFonts w:ascii="Arial" w:hAnsi="Arial" w:cs="Arial"/>
          <w:sz w:val="24"/>
          <w:szCs w:val="24"/>
        </w:rPr>
        <w:t xml:space="preserve"> novčana</w:t>
      </w:r>
      <w:r>
        <w:rPr>
          <w:rFonts w:ascii="Arial" w:hAnsi="Arial" w:cs="Arial"/>
          <w:sz w:val="24"/>
          <w:szCs w:val="24"/>
        </w:rPr>
        <w:t xml:space="preserve"> kazna po prvostupanjskom sudu, a koja predstavlja poseban zakonski minimum </w:t>
      </w:r>
      <w:r w:rsidR="004013C8">
        <w:rPr>
          <w:rFonts w:ascii="Arial" w:hAnsi="Arial" w:cs="Arial"/>
          <w:sz w:val="24"/>
          <w:szCs w:val="24"/>
        </w:rPr>
        <w:t>propisanog raspona novčane kazne</w:t>
      </w:r>
      <w:r w:rsidRPr="003E1BA1">
        <w:rPr>
          <w:rFonts w:ascii="Arial" w:hAnsi="Arial" w:cs="Arial"/>
          <w:sz w:val="24"/>
          <w:szCs w:val="24"/>
        </w:rPr>
        <w:t xml:space="preserve">, </w:t>
      </w:r>
      <w:r w:rsidR="004013C8">
        <w:rPr>
          <w:rFonts w:ascii="Arial" w:hAnsi="Arial" w:cs="Arial"/>
          <w:sz w:val="24"/>
          <w:szCs w:val="24"/>
        </w:rPr>
        <w:t xml:space="preserve">primjerena je stupnju krivnje i opasnosti počinjenog prekršaja, pa je </w:t>
      </w:r>
      <w:r w:rsidRPr="003E1BA1">
        <w:rPr>
          <w:rFonts w:ascii="Arial" w:hAnsi="Arial" w:cs="Arial"/>
          <w:sz w:val="24"/>
          <w:szCs w:val="24"/>
        </w:rPr>
        <w:t xml:space="preserve">ovaj sud </w:t>
      </w:r>
      <w:r w:rsidR="004013C8">
        <w:rPr>
          <w:rFonts w:ascii="Arial" w:hAnsi="Arial" w:cs="Arial"/>
          <w:sz w:val="24"/>
          <w:szCs w:val="24"/>
        </w:rPr>
        <w:t>otklonio</w:t>
      </w:r>
      <w:r w:rsidRPr="003E1BA1">
        <w:rPr>
          <w:rFonts w:ascii="Arial" w:hAnsi="Arial" w:cs="Arial"/>
          <w:sz w:val="24"/>
          <w:szCs w:val="24"/>
        </w:rPr>
        <w:t xml:space="preserve"> bilo kakva mogućnost izricanja blaže vrste kazne, jer se opća svrha </w:t>
      </w:r>
      <w:proofErr w:type="spellStart"/>
      <w:r w:rsidRPr="003E1BA1">
        <w:rPr>
          <w:rFonts w:ascii="Arial" w:hAnsi="Arial" w:cs="Arial"/>
          <w:sz w:val="24"/>
          <w:szCs w:val="24"/>
        </w:rPr>
        <w:t>prekršajnopravnih</w:t>
      </w:r>
      <w:proofErr w:type="spellEnd"/>
      <w:r w:rsidRPr="003E1BA1">
        <w:rPr>
          <w:rFonts w:ascii="Arial" w:hAnsi="Arial" w:cs="Arial"/>
          <w:sz w:val="24"/>
          <w:szCs w:val="24"/>
        </w:rPr>
        <w:t xml:space="preserve"> sankcija iz čl. 6. Prekršajnog zakona i svrha kažnjavanja iz čl. 32. Prekršajnog zakona ne bi mogla postići blažim kažnjavanjem.</w:t>
      </w:r>
    </w:p>
    <w:p w:rsidR="004013C8" w:rsidP="00C21B04" w:rsidRDefault="004013C8" w14:paraId="51E03A72" w14:textId="77777777">
      <w:pPr>
        <w:ind w:firstLine="708"/>
        <w:jc w:val="both"/>
        <w:rPr>
          <w:rFonts w:ascii="Arial" w:hAnsi="Arial" w:cs="Arial"/>
          <w:sz w:val="24"/>
          <w:szCs w:val="24"/>
        </w:rPr>
      </w:pPr>
    </w:p>
    <w:p w:rsidR="00EE30E4" w:rsidP="006A346A" w:rsidRDefault="004013C8" w14:paraId="466887F3" w14:textId="5D7BC056">
      <w:pPr>
        <w:jc w:val="both"/>
        <w:rPr>
          <w:rFonts w:ascii="Arial" w:hAnsi="Arial" w:cs="Arial"/>
          <w:sz w:val="24"/>
          <w:szCs w:val="24"/>
        </w:rPr>
      </w:pPr>
      <w:r>
        <w:rPr>
          <w:rFonts w:ascii="Arial" w:hAnsi="Arial" w:cs="Arial"/>
          <w:sz w:val="24"/>
          <w:szCs w:val="24"/>
        </w:rPr>
        <w:t>10</w:t>
      </w:r>
      <w:r w:rsidR="00EE30E4">
        <w:rPr>
          <w:rFonts w:ascii="Arial" w:hAnsi="Arial" w:cs="Arial"/>
          <w:sz w:val="24"/>
          <w:szCs w:val="24"/>
        </w:rPr>
        <w:t xml:space="preserve">. Paušalni iznos troškova žalbenog postupka temelji se na odredbi čl. 138. st. 2. t. 3.c) Prekršajnog zakona, koja propisuje da troškovi prekršajnog postupka obuhvaćaju paušalni iznos troškova prekršajnog postupka Visokog prekršajnog suda Republike Hrvatske kada je donio odluku kojom je pravomoćno utvrđena prekršajna odgovornost okrivljenika, ako je odlučivao o redovnom pravnom lijeku tužitelja i okrivljenika ili samo okrivljenika. Paušalna je svota, u skladu s čl. 138. st. 3. Prekršajnog zakona određena u okvirima propisanim Rješenjem o određivanju paušalnog iznosa za troškove prekršajnog postupka („Narodne novine“, broj 18/13.) u rasponu od 100,00 do 5.000,00 kuna (preračunato u eure na temelju fiksnog tečaja konverzije, zbog stupanja na snagu Zakona o uvođenju eura kao službene valute u Republici Hrvatskoj), a s obzirom na složenost i trajanje postupka te imovno stanje okrivljenika. S obzirom da iz podataka u spisu ne proizlazi da bi okrivljenik bio lošeg imovnog stanja ili nesposoban za rad, ovaj sud smatra da plaćanjem troška žalbenog postupka </w:t>
      </w:r>
      <w:r>
        <w:rPr>
          <w:rFonts w:ascii="Arial" w:hAnsi="Arial" w:cs="Arial"/>
          <w:sz w:val="24"/>
          <w:szCs w:val="24"/>
        </w:rPr>
        <w:t>70</w:t>
      </w:r>
      <w:r w:rsidR="00EE30E4">
        <w:rPr>
          <w:rFonts w:ascii="Arial" w:hAnsi="Arial" w:cs="Arial"/>
          <w:sz w:val="24"/>
          <w:szCs w:val="24"/>
        </w:rPr>
        <w:t>,00 eura, neće biti dovedeno u pitanje njegovo uzdržavanje, niti uzdržavanje osoba koje je on dužan uzdržavati.</w:t>
      </w:r>
    </w:p>
    <w:p w:rsidR="00EE30E4" w:rsidP="00C21B04" w:rsidRDefault="00EE30E4" w14:paraId="33344B39" w14:textId="77777777">
      <w:pPr>
        <w:ind w:firstLine="720"/>
        <w:jc w:val="both"/>
        <w:rPr>
          <w:rFonts w:ascii="Arial" w:hAnsi="Arial" w:cs="Arial"/>
          <w:sz w:val="24"/>
          <w:szCs w:val="24"/>
        </w:rPr>
      </w:pPr>
    </w:p>
    <w:p w:rsidR="00EE30E4" w:rsidP="006A346A" w:rsidRDefault="004013C8" w14:paraId="78368A4B" w14:textId="677C10C9">
      <w:pPr>
        <w:jc w:val="both"/>
        <w:rPr>
          <w:rFonts w:ascii="Arial" w:hAnsi="Arial" w:cs="Arial"/>
          <w:sz w:val="24"/>
          <w:szCs w:val="24"/>
        </w:rPr>
      </w:pPr>
      <w:r>
        <w:rPr>
          <w:rFonts w:ascii="Arial" w:hAnsi="Arial" w:cs="Arial"/>
          <w:sz w:val="24"/>
          <w:szCs w:val="24"/>
        </w:rPr>
        <w:lastRenderedPageBreak/>
        <w:t>11</w:t>
      </w:r>
      <w:r w:rsidR="00EE30E4">
        <w:rPr>
          <w:rFonts w:ascii="Arial" w:hAnsi="Arial" w:cs="Arial"/>
          <w:sz w:val="24"/>
          <w:szCs w:val="24"/>
        </w:rPr>
        <w:t>. Slijedom navedenog, na temelju čl. 205. Prekršajnog zakona, odlučeno je kao u izreci ove presude.</w:t>
      </w:r>
    </w:p>
    <w:p w:rsidRPr="00037F47" w:rsidR="00EE30E4" w:rsidP="00C21B04" w:rsidRDefault="00EE30E4" w14:paraId="5F644F1D" w14:textId="77777777">
      <w:pPr>
        <w:ind w:firstLine="720"/>
        <w:jc w:val="center"/>
        <w:rPr>
          <w:rFonts w:ascii="Arial" w:hAnsi="Arial" w:cs="Arial"/>
          <w:sz w:val="28"/>
          <w:szCs w:val="28"/>
        </w:rPr>
      </w:pPr>
    </w:p>
    <w:p w:rsidRPr="00037F47" w:rsidR="00EE30E4" w:rsidP="00C21B04" w:rsidRDefault="00C21B04" w14:paraId="263BECB8" w14:textId="6AF46D82">
      <w:pPr>
        <w:pStyle w:val="Naslov5"/>
        <w:spacing w:line="240" w:lineRule="auto"/>
        <w:rPr>
          <w:rFonts w:ascii="Arial" w:hAnsi="Arial" w:cs="Arial"/>
          <w:color w:val="auto"/>
          <w:sz w:val="24"/>
          <w:szCs w:val="28"/>
        </w:rPr>
      </w:pPr>
      <w:r>
        <w:rPr>
          <w:rFonts w:ascii="Arial" w:hAnsi="Arial" w:cs="Arial"/>
          <w:color w:val="auto"/>
          <w:sz w:val="24"/>
          <w:szCs w:val="28"/>
        </w:rPr>
        <w:t xml:space="preserve">                                           </w:t>
      </w:r>
      <w:r w:rsidRPr="00037F47" w:rsidR="00EE30E4">
        <w:rPr>
          <w:rFonts w:ascii="Arial" w:hAnsi="Arial" w:cs="Arial"/>
          <w:color w:val="auto"/>
          <w:sz w:val="24"/>
          <w:szCs w:val="28"/>
        </w:rPr>
        <w:t xml:space="preserve">Zagreb, </w:t>
      </w:r>
      <w:r w:rsidR="009B5BE2">
        <w:rPr>
          <w:rFonts w:ascii="Arial" w:hAnsi="Arial" w:cs="Arial"/>
          <w:color w:val="auto"/>
          <w:sz w:val="24"/>
          <w:szCs w:val="28"/>
        </w:rPr>
        <w:t>2. lipnja 2026.</w:t>
      </w:r>
    </w:p>
    <w:p w:rsidR="00EE30E4" w:rsidP="00C21B04" w:rsidRDefault="00EE30E4" w14:paraId="63F518DF" w14:textId="77777777">
      <w:pPr>
        <w:jc w:val="center"/>
        <w:rPr>
          <w:rFonts w:ascii="Arial" w:hAnsi="Arial" w:cs="Arial"/>
          <w:sz w:val="24"/>
          <w:szCs w:val="24"/>
        </w:rPr>
      </w:pPr>
    </w:p>
    <w:p w:rsidR="00EE30E4" w:rsidP="00C21B04" w:rsidRDefault="00EE30E4" w14:paraId="4CC80E89" w14:textId="77777777">
      <w:pPr>
        <w:rPr>
          <w:rFonts w:ascii="Arial" w:hAnsi="Arial" w:cs="Arial"/>
          <w:sz w:val="24"/>
          <w:szCs w:val="24"/>
        </w:rPr>
      </w:pPr>
    </w:p>
    <w:tbl>
      <w:tblPr>
        <w:tblW w:w="0" w:type="auto"/>
        <w:tblLook w:firstRow="1" w:lastRow="1" w:firstColumn="1" w:lastColumn="1" w:noHBand="0" w:noVBand="0" w:val="01E0"/>
      </w:tblPr>
      <w:tblGrid>
        <w:gridCol w:w="3083"/>
        <w:gridCol w:w="2910"/>
        <w:gridCol w:w="3079"/>
      </w:tblGrid>
      <w:tr w:rsidR="00EE30E4" w:rsidTr="00DC5FB2" w14:paraId="5ADBFDC2" w14:textId="77777777">
        <w:tc>
          <w:tcPr>
            <w:tcW w:w="3284" w:type="dxa"/>
            <w:hideMark/>
          </w:tcPr>
          <w:p w:rsidR="00EE30E4" w:rsidP="00C21B04" w:rsidRDefault="00EE30E4" w14:paraId="31E26A59" w14:textId="77777777">
            <w:pPr>
              <w:jc w:val="both"/>
              <w:rPr>
                <w:rFonts w:ascii="Arial" w:hAnsi="Arial" w:cs="Arial"/>
                <w:sz w:val="24"/>
                <w:szCs w:val="24"/>
                <w:lang w:eastAsia="en-US"/>
              </w:rPr>
            </w:pPr>
            <w:r>
              <w:rPr>
                <w:rFonts w:ascii="Arial" w:hAnsi="Arial" w:cs="Arial"/>
                <w:sz w:val="24"/>
                <w:szCs w:val="24"/>
                <w:lang w:eastAsia="en-US"/>
              </w:rPr>
              <w:t>Zapisničarka:</w:t>
            </w:r>
          </w:p>
        </w:tc>
        <w:tc>
          <w:tcPr>
            <w:tcW w:w="3285" w:type="dxa"/>
            <w:hideMark/>
          </w:tcPr>
          <w:p w:rsidR="00EE30E4" w:rsidP="00C21B04" w:rsidRDefault="00EE30E4" w14:paraId="5616A43C" w14:textId="77777777">
            <w:pPr>
              <w:jc w:val="both"/>
              <w:rPr>
                <w:rFonts w:ascii="Arial" w:hAnsi="Arial" w:cs="Arial"/>
                <w:sz w:val="24"/>
                <w:szCs w:val="24"/>
                <w:lang w:eastAsia="en-US"/>
              </w:rPr>
            </w:pPr>
          </w:p>
        </w:tc>
        <w:tc>
          <w:tcPr>
            <w:tcW w:w="3285" w:type="dxa"/>
            <w:hideMark/>
          </w:tcPr>
          <w:p w:rsidR="00EE30E4" w:rsidP="00C21B04" w:rsidRDefault="00EE30E4" w14:paraId="3DA76BB6" w14:textId="77777777">
            <w:pPr>
              <w:jc w:val="both"/>
              <w:rPr>
                <w:rFonts w:ascii="Arial" w:hAnsi="Arial" w:cs="Arial"/>
                <w:sz w:val="24"/>
                <w:szCs w:val="24"/>
                <w:lang w:eastAsia="en-US"/>
              </w:rPr>
            </w:pPr>
            <w:r>
              <w:rPr>
                <w:rFonts w:ascii="Arial" w:hAnsi="Arial" w:cs="Arial"/>
                <w:sz w:val="24"/>
                <w:szCs w:val="24"/>
                <w:lang w:eastAsia="en-US"/>
              </w:rPr>
              <w:t>Predsjednica vijeća:</w:t>
            </w:r>
          </w:p>
        </w:tc>
      </w:tr>
      <w:tr w:rsidR="00EE30E4" w:rsidTr="00DC5FB2" w14:paraId="389691D0" w14:textId="77777777">
        <w:tc>
          <w:tcPr>
            <w:tcW w:w="3284" w:type="dxa"/>
          </w:tcPr>
          <w:p w:rsidR="00EE30E4" w:rsidP="00C21B04" w:rsidRDefault="00EE30E4" w14:paraId="44A2D0BF" w14:textId="77777777">
            <w:pPr>
              <w:jc w:val="both"/>
              <w:rPr>
                <w:rFonts w:ascii="Arial" w:hAnsi="Arial" w:cs="Arial"/>
                <w:sz w:val="24"/>
                <w:szCs w:val="24"/>
                <w:lang w:eastAsia="en-US"/>
              </w:rPr>
            </w:pPr>
          </w:p>
        </w:tc>
        <w:tc>
          <w:tcPr>
            <w:tcW w:w="3285" w:type="dxa"/>
          </w:tcPr>
          <w:p w:rsidR="00EE30E4" w:rsidP="00C21B04" w:rsidRDefault="00EE30E4" w14:paraId="352EFDFD" w14:textId="77777777">
            <w:pPr>
              <w:jc w:val="both"/>
              <w:rPr>
                <w:rFonts w:ascii="Arial" w:hAnsi="Arial" w:cs="Arial"/>
                <w:sz w:val="24"/>
                <w:szCs w:val="24"/>
                <w:lang w:eastAsia="en-US"/>
              </w:rPr>
            </w:pPr>
          </w:p>
        </w:tc>
        <w:tc>
          <w:tcPr>
            <w:tcW w:w="3285" w:type="dxa"/>
          </w:tcPr>
          <w:p w:rsidR="00EE30E4" w:rsidP="00C21B04" w:rsidRDefault="00EE30E4" w14:paraId="66D29B24" w14:textId="77777777">
            <w:pPr>
              <w:jc w:val="both"/>
              <w:rPr>
                <w:rFonts w:ascii="Arial" w:hAnsi="Arial" w:cs="Arial"/>
                <w:sz w:val="24"/>
                <w:szCs w:val="24"/>
                <w:lang w:eastAsia="en-US"/>
              </w:rPr>
            </w:pPr>
          </w:p>
        </w:tc>
      </w:tr>
      <w:tr w:rsidR="00EE30E4" w:rsidTr="00DC5FB2" w14:paraId="0523DC61" w14:textId="77777777">
        <w:tc>
          <w:tcPr>
            <w:tcW w:w="3284" w:type="dxa"/>
            <w:hideMark/>
          </w:tcPr>
          <w:p w:rsidR="00EE30E4" w:rsidP="00C21B04" w:rsidRDefault="00EE30E4" w14:paraId="0364BB52" w14:textId="77777777">
            <w:pPr>
              <w:jc w:val="both"/>
              <w:rPr>
                <w:rFonts w:ascii="Arial" w:hAnsi="Arial" w:cs="Arial"/>
                <w:sz w:val="24"/>
                <w:szCs w:val="24"/>
                <w:lang w:eastAsia="en-US"/>
              </w:rPr>
            </w:pPr>
            <w:r>
              <w:rPr>
                <w:rFonts w:ascii="Arial" w:hAnsi="Arial" w:cs="Arial"/>
                <w:sz w:val="24"/>
                <w:szCs w:val="24"/>
                <w:lang w:eastAsia="en-US"/>
              </w:rPr>
              <w:t>Nina Lukić, v.r.</w:t>
            </w:r>
          </w:p>
        </w:tc>
        <w:tc>
          <w:tcPr>
            <w:tcW w:w="3285" w:type="dxa"/>
            <w:hideMark/>
          </w:tcPr>
          <w:p w:rsidR="00EE30E4" w:rsidP="00C21B04" w:rsidRDefault="00EE30E4" w14:paraId="4A72FBB3" w14:textId="77777777">
            <w:pPr>
              <w:jc w:val="both"/>
              <w:rPr>
                <w:rFonts w:ascii="Arial" w:hAnsi="Arial" w:cs="Arial"/>
                <w:sz w:val="24"/>
                <w:szCs w:val="24"/>
                <w:lang w:eastAsia="en-US"/>
              </w:rPr>
            </w:pPr>
          </w:p>
        </w:tc>
        <w:tc>
          <w:tcPr>
            <w:tcW w:w="3285" w:type="dxa"/>
            <w:hideMark/>
          </w:tcPr>
          <w:p w:rsidR="00EE30E4" w:rsidP="00C21B04" w:rsidRDefault="00EE30E4" w14:paraId="382EE3BC" w14:textId="77777777">
            <w:pPr>
              <w:jc w:val="both"/>
              <w:rPr>
                <w:rFonts w:ascii="Arial" w:hAnsi="Arial" w:cs="Arial"/>
                <w:sz w:val="24"/>
                <w:szCs w:val="24"/>
                <w:lang w:eastAsia="en-US"/>
              </w:rPr>
            </w:pPr>
            <w:r>
              <w:rPr>
                <w:rFonts w:ascii="Arial" w:hAnsi="Arial" w:cs="Arial"/>
                <w:sz w:val="24"/>
                <w:szCs w:val="24"/>
                <w:lang w:eastAsia="en-US"/>
              </w:rPr>
              <w:t>Gordana Korotaj, v.r.</w:t>
            </w:r>
          </w:p>
          <w:p w:rsidR="00EE30E4" w:rsidP="00C21B04" w:rsidRDefault="00EE30E4" w14:paraId="79E377BD" w14:textId="77777777">
            <w:pPr>
              <w:jc w:val="both"/>
              <w:rPr>
                <w:rFonts w:ascii="Arial" w:hAnsi="Arial" w:cs="Arial"/>
                <w:sz w:val="24"/>
                <w:szCs w:val="24"/>
                <w:lang w:eastAsia="en-US"/>
              </w:rPr>
            </w:pPr>
          </w:p>
          <w:p w:rsidR="00EE30E4" w:rsidP="00C21B04" w:rsidRDefault="00EE30E4" w14:paraId="267582B3" w14:textId="77777777">
            <w:pPr>
              <w:jc w:val="both"/>
              <w:rPr>
                <w:rFonts w:ascii="Arial" w:hAnsi="Arial" w:cs="Arial"/>
                <w:sz w:val="24"/>
                <w:szCs w:val="24"/>
                <w:lang w:eastAsia="en-US"/>
              </w:rPr>
            </w:pPr>
          </w:p>
        </w:tc>
      </w:tr>
    </w:tbl>
    <w:p w:rsidR="00EE30E4" w:rsidP="00C21B04" w:rsidRDefault="00EE30E4" w14:paraId="4BCA366D" w14:textId="77777777">
      <w:pPr>
        <w:rPr>
          <w:rFonts w:ascii="Arial" w:hAnsi="Arial" w:cs="Arial"/>
          <w:sz w:val="24"/>
          <w:szCs w:val="24"/>
        </w:rPr>
      </w:pPr>
    </w:p>
    <w:p w:rsidR="00EE30E4" w:rsidP="00C21B04" w:rsidRDefault="00EE30E4" w14:paraId="2796CE7D" w14:textId="3D80F371">
      <w:pPr>
        <w:jc w:val="both"/>
        <w:rPr>
          <w:rFonts w:ascii="Arial" w:hAnsi="Arial" w:cs="Arial"/>
          <w:sz w:val="24"/>
          <w:szCs w:val="24"/>
        </w:rPr>
      </w:pPr>
      <w:r>
        <w:rPr>
          <w:rFonts w:ascii="Arial" w:hAnsi="Arial" w:cs="Arial"/>
          <w:sz w:val="24"/>
          <w:szCs w:val="24"/>
        </w:rPr>
        <w:tab/>
        <w:t>Presuda se dostavlja Općinskom prekršajnom sudu u Splitu u 4 ovjerena prijepisa za</w:t>
      </w:r>
      <w:r w:rsidR="004013C8">
        <w:rPr>
          <w:rFonts w:ascii="Arial" w:hAnsi="Arial" w:cs="Arial"/>
          <w:sz w:val="24"/>
          <w:szCs w:val="24"/>
        </w:rPr>
        <w:t>:</w:t>
      </w:r>
      <w:r>
        <w:rPr>
          <w:rFonts w:ascii="Arial" w:hAnsi="Arial" w:cs="Arial"/>
          <w:sz w:val="24"/>
          <w:szCs w:val="24"/>
        </w:rPr>
        <w:t xml:space="preserve"> spis, okrivljenika,</w:t>
      </w:r>
      <w:r w:rsidR="004013C8">
        <w:rPr>
          <w:rFonts w:ascii="Arial" w:hAnsi="Arial" w:cs="Arial"/>
          <w:sz w:val="24"/>
          <w:szCs w:val="24"/>
        </w:rPr>
        <w:t xml:space="preserve"> branitelja</w:t>
      </w:r>
      <w:r>
        <w:rPr>
          <w:rFonts w:ascii="Arial" w:hAnsi="Arial" w:cs="Arial"/>
          <w:sz w:val="24"/>
          <w:szCs w:val="24"/>
        </w:rPr>
        <w:t xml:space="preserve"> i tužitelja.</w:t>
      </w:r>
    </w:p>
    <w:p w:rsidR="00EE30E4" w:rsidP="00C21B04" w:rsidRDefault="00EE30E4" w14:paraId="5F7C518C" w14:textId="77777777">
      <w:pPr>
        <w:jc w:val="both"/>
        <w:rPr>
          <w:rFonts w:ascii="Arial" w:hAnsi="Arial" w:cs="Arial"/>
          <w:sz w:val="24"/>
          <w:szCs w:val="24"/>
        </w:rPr>
      </w:pPr>
    </w:p>
    <w:p w:rsidR="00EE30E4" w:rsidP="00C21B04" w:rsidRDefault="00EE30E4" w14:paraId="3F515448" w14:textId="77777777">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Za točnost </w:t>
      </w:r>
      <w:proofErr w:type="spellStart"/>
      <w:r>
        <w:rPr>
          <w:rFonts w:ascii="Arial" w:hAnsi="Arial" w:cs="Arial"/>
          <w:sz w:val="24"/>
          <w:szCs w:val="24"/>
        </w:rPr>
        <w:t>otpravka</w:t>
      </w:r>
      <w:proofErr w:type="spellEnd"/>
      <w:r>
        <w:rPr>
          <w:rFonts w:ascii="Arial" w:hAnsi="Arial" w:cs="Arial"/>
          <w:sz w:val="24"/>
          <w:szCs w:val="24"/>
        </w:rPr>
        <w:t xml:space="preserve"> – ovlašteni službenik</w:t>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r>
        <w:rPr>
          <w:rFonts w:ascii="Arial" w:hAnsi="Arial" w:cs="Arial"/>
          <w:b/>
          <w:sz w:val="24"/>
          <w:szCs w:val="24"/>
        </w:rPr>
        <w:tab/>
      </w:r>
      <w:r>
        <w:rPr>
          <w:rFonts w:ascii="Arial" w:hAnsi="Arial" w:cs="Arial"/>
          <w:sz w:val="24"/>
          <w:szCs w:val="24"/>
        </w:rPr>
        <w:t>Upraviteljica zajedničke sudske pisarnice</w:t>
      </w:r>
    </w:p>
    <w:p w:rsidR="00EE30E4" w:rsidP="00C21B04" w:rsidRDefault="00EE30E4" w14:paraId="2E1B21A1" w14:textId="77777777">
      <w:pPr>
        <w:jc w:val="both"/>
        <w:rPr>
          <w:rFonts w:ascii="Arial" w:hAnsi="Arial" w:cs="Arial"/>
          <w:sz w:val="24"/>
          <w:szCs w:val="24"/>
        </w:rPr>
      </w:pPr>
    </w:p>
    <w:p w:rsidRPr="00D54D72" w:rsidR="00EE30E4" w:rsidP="00C21B04" w:rsidRDefault="00EE30E4" w14:paraId="61E5DE4D" w14:textId="77777777">
      <w:pPr>
        <w:pStyle w:val="Naslov4"/>
        <w:spacing w:line="240" w:lineRule="auto"/>
        <w:rPr>
          <w:rFonts w:ascii="Arial" w:hAnsi="Arial" w:cs="Arial"/>
          <w:i w:val="false"/>
          <w:iCs w:val="false"/>
          <w:color w:val="auto"/>
          <w:sz w:val="24"/>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D54D72">
        <w:rPr>
          <w:rFonts w:ascii="Arial" w:hAnsi="Arial" w:cs="Arial"/>
          <w:i w:val="false"/>
          <w:iCs w:val="false"/>
          <w:color w:val="auto"/>
          <w:sz w:val="24"/>
          <w:szCs w:val="24"/>
        </w:rPr>
        <w:t>Edita Vrkljan</w:t>
      </w:r>
    </w:p>
    <w:p w:rsidR="00EE30E4" w:rsidP="00C21B04" w:rsidRDefault="00EE30E4" w14:paraId="4A8E0E62" w14:textId="77777777">
      <w:pPr>
        <w:rPr>
          <w:rFonts w:ascii="Arial" w:hAnsi="Arial" w:cs="Arial"/>
          <w:sz w:val="24"/>
          <w:szCs w:val="24"/>
        </w:rPr>
      </w:pPr>
    </w:p>
    <w:p w:rsidR="00EE30E4" w:rsidP="00C21B04" w:rsidRDefault="00EE30E4" w14:paraId="46CA9A58" w14:textId="77777777">
      <w:pPr>
        <w:rPr>
          <w:rFonts w:ascii="Arial" w:hAnsi="Arial" w:cs="Arial"/>
          <w:sz w:val="24"/>
          <w:szCs w:val="24"/>
        </w:rPr>
      </w:pPr>
    </w:p>
    <w:p w:rsidR="00EE30E4" w:rsidP="00C21B04" w:rsidRDefault="00EE30E4" w14:paraId="65900C84" w14:textId="77777777">
      <w:pPr>
        <w:rPr>
          <w:rFonts w:ascii="Arial" w:hAnsi="Arial" w:cs="Arial"/>
          <w:sz w:val="24"/>
          <w:szCs w:val="24"/>
        </w:rPr>
      </w:pPr>
    </w:p>
    <w:p w:rsidR="00EE30E4" w:rsidP="00C21B04" w:rsidRDefault="00EE30E4" w14:paraId="623D0908" w14:textId="77777777">
      <w:pPr>
        <w:rPr>
          <w:rFonts w:ascii="Arial" w:hAnsi="Arial" w:cs="Arial"/>
          <w:sz w:val="24"/>
          <w:szCs w:val="24"/>
        </w:rPr>
      </w:pPr>
    </w:p>
    <w:p w:rsidR="00EE30E4" w:rsidP="00C21B04" w:rsidRDefault="00EE30E4" w14:paraId="5A905305" w14:textId="77777777">
      <w:pPr>
        <w:rPr>
          <w:rFonts w:ascii="Arial" w:hAnsi="Arial" w:cs="Arial"/>
          <w:sz w:val="24"/>
          <w:szCs w:val="24"/>
        </w:rPr>
      </w:pPr>
    </w:p>
    <w:p w:rsidR="00EE30E4" w:rsidP="00C21B04" w:rsidRDefault="00EE30E4" w14:paraId="6DCDBBDC" w14:textId="77777777">
      <w:pPr>
        <w:rPr>
          <w:rFonts w:ascii="Arial" w:hAnsi="Arial" w:cs="Arial"/>
          <w:sz w:val="24"/>
          <w:szCs w:val="24"/>
        </w:rPr>
      </w:pPr>
    </w:p>
    <w:p w:rsidRPr="00EE30E4" w:rsidR="008A5AFC" w:rsidP="00C21B04" w:rsidRDefault="008A5AFC" w14:paraId="5DF20890" w14:textId="77777777"/>
    <w:sectPr w:rsidRPr="00EE30E4" w:rsidR="008A5AFC" w:rsidSect="00EE30E4">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234F7" w:rsidP="004013C8" w:rsidRDefault="007234F7" w14:paraId="575B6A75" w14:textId="77777777">
      <w:r>
        <w:separator/>
      </w:r>
    </w:p>
  </w:endnote>
  <w:endnote w:type="continuationSeparator" w:id="0">
    <w:p w:rsidR="007234F7" w:rsidP="004013C8" w:rsidRDefault="007234F7" w14:paraId="2230903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234F7" w:rsidP="004013C8" w:rsidRDefault="007234F7" w14:paraId="135DAAA2" w14:textId="77777777">
      <w:r>
        <w:separator/>
      </w:r>
    </w:p>
  </w:footnote>
  <w:footnote w:type="continuationSeparator" w:id="0">
    <w:p w:rsidR="007234F7" w:rsidP="004013C8" w:rsidRDefault="007234F7" w14:paraId="25C1F36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073043191"/>
      <w:docPartObj>
        <w:docPartGallery w:val="Page Numbers (Top of Page)"/>
        <w:docPartUnique/>
      </w:docPartObj>
    </w:sdtPr>
    <w:sdtEndPr>
      <w:rPr>
        <w:rFonts w:ascii="Arial" w:hAnsi="Arial" w:cs="Arial"/>
        <w:sz w:val="24"/>
        <w:szCs w:val="24"/>
      </w:rPr>
    </w:sdtEndPr>
    <w:sdtContent>
      <w:p w:rsidRPr="00C21B04" w:rsidR="00C21B04" w:rsidRDefault="00C21B04" w14:paraId="004780FF" w14:textId="0B1281AE">
        <w:pPr>
          <w:pStyle w:val="Zaglavlje"/>
          <w:jc w:val="center"/>
          <w:rPr>
            <w:rFonts w:ascii="Arial" w:hAnsi="Arial" w:cs="Arial"/>
            <w:sz w:val="24"/>
            <w:szCs w:val="24"/>
          </w:rPr>
        </w:pPr>
        <w:r w:rsidRPr="00C21B04">
          <w:rPr>
            <w:rFonts w:ascii="Arial" w:hAnsi="Arial" w:cs="Arial"/>
            <w:sz w:val="24"/>
            <w:szCs w:val="24"/>
          </w:rPr>
          <w:fldChar w:fldCharType="begin"/>
        </w:r>
        <w:r w:rsidRPr="00C21B04">
          <w:rPr>
            <w:rFonts w:ascii="Arial" w:hAnsi="Arial" w:cs="Arial"/>
            <w:sz w:val="24"/>
            <w:szCs w:val="24"/>
          </w:rPr>
          <w:instrText>PAGE   \* MERGEFORMAT</w:instrText>
        </w:r>
        <w:r w:rsidRPr="00C21B04">
          <w:rPr>
            <w:rFonts w:ascii="Arial" w:hAnsi="Arial" w:cs="Arial"/>
            <w:sz w:val="24"/>
            <w:szCs w:val="24"/>
          </w:rPr>
          <w:fldChar w:fldCharType="separate"/>
        </w:r>
        <w:r w:rsidRPr="00C21B04">
          <w:rPr>
            <w:rFonts w:ascii="Arial" w:hAnsi="Arial" w:cs="Arial"/>
            <w:sz w:val="24"/>
            <w:szCs w:val="24"/>
          </w:rPr>
          <w:t>2</w:t>
        </w:r>
        <w:r w:rsidRPr="00C21B04">
          <w:rPr>
            <w:rFonts w:ascii="Arial" w:hAnsi="Arial" w:cs="Arial"/>
            <w:sz w:val="24"/>
            <w:szCs w:val="24"/>
          </w:rPr>
          <w:fldChar w:fldCharType="end"/>
        </w:r>
      </w:p>
    </w:sdtContent>
  </w:sdt>
  <w:p w:rsidRPr="00C21B04" w:rsidR="00EE30E4" w:rsidP="00C21B04" w:rsidRDefault="00C21B04" w14:paraId="258A96EE" w14:textId="51844A37">
    <w:pPr>
      <w:pStyle w:val="Zaglavlje"/>
      <w:tabs>
        <w:tab w:val="clear" w:pos="4153"/>
        <w:tab w:val="clear" w:pos="8306"/>
        <w:tab w:val="left" w:pos="7536"/>
      </w:tabs>
      <w:rPr>
        <w:rFonts w:ascii="Arial" w:hAnsi="Arial" w:cs="Arial"/>
        <w:sz w:val="24"/>
        <w:szCs w:val="24"/>
      </w:rPr>
    </w:pPr>
    <w:r>
      <w:t xml:space="preserve">                                                                                                                                        </w:t>
    </w:r>
    <w:r w:rsidRPr="00C21B04">
      <w:rPr>
        <w:rFonts w:ascii="Arial" w:hAnsi="Arial" w:cs="Arial"/>
        <w:sz w:val="24"/>
        <w:szCs w:val="24"/>
      </w:rPr>
      <w:t>Broj: Ppž-8619/2024</w:t>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267"/>
    <w:rsid w:val="003F0267"/>
    <w:rsid w:val="004013C8"/>
    <w:rsid w:val="00420F35"/>
    <w:rsid w:val="004A374B"/>
    <w:rsid w:val="006A346A"/>
    <w:rsid w:val="006D4BA3"/>
    <w:rsid w:val="007212C5"/>
    <w:rsid w:val="007234F7"/>
    <w:rsid w:val="008A5AFC"/>
    <w:rsid w:val="009B5BE2"/>
    <w:rsid w:val="00A61428"/>
    <w:rsid w:val="00B95E1B"/>
    <w:rsid w:val="00BF7FBF"/>
    <w:rsid w:val="00C113CD"/>
    <w:rsid w:val="00C21B04"/>
    <w:rsid w:val="00C33480"/>
    <w:rsid w:val="00D54D72"/>
    <w:rsid w:val="00E70866"/>
    <w:rsid w:val="00EE30E4"/>
    <w:rsid w:val="00F6111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1CD8F91C"/>
  <w15:docId w15:val="{FA131EDC-7DC8-4F44-B14D-332A616B5EE8}"/>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C21B04"/>
    <w:pPr>
      <w:spacing w:after="0" w:line="240" w:lineRule="auto"/>
    </w:pPr>
    <w:rPr>
      <w:rFonts w:ascii="Times New Roman" w:hAnsi="Times New Roman" w:eastAsia="Times New Roman" w:cs="Times New Roman"/>
      <w:kern w:val="0"/>
      <w:sz w:val="20"/>
      <w:szCs w:val="20"/>
      <w:lang w:eastAsia="hr-HR"/>
    </w:rPr>
  </w:style>
  <w:style w:type="paragraph" w:styleId="Naslov1">
    <w:name w:val="heading 1"/>
    <w:basedOn w:val="Normal"/>
    <w:next w:val="Normal"/>
    <w:link w:val="Naslov1Char"/>
    <w:qFormat/>
    <w:rsid w:val="003F0267"/>
    <w:pPr>
      <w:keepNext/>
      <w:keepLines/>
      <w:spacing w:before="360" w:after="80" w:line="259" w:lineRule="auto"/>
      <w:outlineLvl w:val="0"/>
    </w:pPr>
    <w:rPr>
      <w:rFonts w:asciiTheme="majorHAnsi" w:hAnsiTheme="majorHAnsi" w:eastAsiaTheme="majorEastAsia" w:cstheme="majorBidi"/>
      <w:color w:val="0F4761" w:themeColor="accent1" w:themeShade="BF"/>
      <w:kern w:val="2"/>
      <w:sz w:val="40"/>
      <w:szCs w:val="40"/>
      <w:lang w:eastAsia="en-US"/>
    </w:rPr>
  </w:style>
  <w:style w:type="paragraph" w:styleId="Naslov2">
    <w:name w:val="heading 2"/>
    <w:basedOn w:val="Normal"/>
    <w:next w:val="Normal"/>
    <w:link w:val="Naslov2Char"/>
    <w:semiHidden/>
    <w:unhideWhenUsed/>
    <w:qFormat/>
    <w:rsid w:val="003F0267"/>
    <w:pPr>
      <w:keepNext/>
      <w:keepLines/>
      <w:spacing w:before="160" w:after="80" w:line="259" w:lineRule="auto"/>
      <w:outlineLvl w:val="1"/>
    </w:pPr>
    <w:rPr>
      <w:rFonts w:asciiTheme="majorHAnsi" w:hAnsiTheme="majorHAnsi" w:eastAsiaTheme="majorEastAsia" w:cstheme="majorBidi"/>
      <w:color w:val="0F4761" w:themeColor="accent1" w:themeShade="BF"/>
      <w:kern w:val="2"/>
      <w:sz w:val="32"/>
      <w:szCs w:val="32"/>
      <w:lang w:eastAsia="en-US"/>
    </w:rPr>
  </w:style>
  <w:style w:type="paragraph" w:styleId="Naslov3">
    <w:name w:val="heading 3"/>
    <w:basedOn w:val="Normal"/>
    <w:next w:val="Normal"/>
    <w:link w:val="Naslov3Char"/>
    <w:semiHidden/>
    <w:unhideWhenUsed/>
    <w:qFormat/>
    <w:rsid w:val="003F0267"/>
    <w:pPr>
      <w:keepNext/>
      <w:keepLines/>
      <w:spacing w:before="160" w:after="80" w:line="259" w:lineRule="auto"/>
      <w:outlineLvl w:val="2"/>
    </w:pPr>
    <w:rPr>
      <w:rFonts w:asciiTheme="minorHAnsi" w:hAnsiTheme="minorHAnsi" w:eastAsiaTheme="majorEastAsia" w:cstheme="majorBidi"/>
      <w:color w:val="0F4761" w:themeColor="accent1" w:themeShade="BF"/>
      <w:kern w:val="2"/>
      <w:sz w:val="28"/>
      <w:szCs w:val="28"/>
      <w:lang w:eastAsia="en-US"/>
    </w:rPr>
  </w:style>
  <w:style w:type="paragraph" w:styleId="Naslov4">
    <w:name w:val="heading 4"/>
    <w:basedOn w:val="Normal"/>
    <w:next w:val="Normal"/>
    <w:link w:val="Naslov4Char"/>
    <w:semiHidden/>
    <w:unhideWhenUsed/>
    <w:qFormat/>
    <w:rsid w:val="003F0267"/>
    <w:pPr>
      <w:keepNext/>
      <w:keepLines/>
      <w:spacing w:before="80" w:after="40" w:line="259" w:lineRule="auto"/>
      <w:outlineLvl w:val="3"/>
    </w:pPr>
    <w:rPr>
      <w:rFonts w:asciiTheme="minorHAnsi" w:hAnsiTheme="minorHAnsi" w:eastAsiaTheme="majorEastAsia" w:cstheme="majorBidi"/>
      <w:i/>
      <w:iCs/>
      <w:color w:val="0F4761" w:themeColor="accent1" w:themeShade="BF"/>
      <w:kern w:val="2"/>
      <w:sz w:val="22"/>
      <w:szCs w:val="22"/>
      <w:lang w:eastAsia="en-US"/>
    </w:rPr>
  </w:style>
  <w:style w:type="paragraph" w:styleId="Naslov5">
    <w:name w:val="heading 5"/>
    <w:basedOn w:val="Normal"/>
    <w:next w:val="Normal"/>
    <w:link w:val="Naslov5Char"/>
    <w:semiHidden/>
    <w:unhideWhenUsed/>
    <w:qFormat/>
    <w:rsid w:val="003F0267"/>
    <w:pPr>
      <w:keepNext/>
      <w:keepLines/>
      <w:spacing w:before="80" w:after="40" w:line="259" w:lineRule="auto"/>
      <w:outlineLvl w:val="4"/>
    </w:pPr>
    <w:rPr>
      <w:rFonts w:asciiTheme="minorHAnsi" w:hAnsiTheme="minorHAnsi" w:eastAsiaTheme="majorEastAsia" w:cstheme="majorBidi"/>
      <w:color w:val="0F4761" w:themeColor="accent1" w:themeShade="BF"/>
      <w:kern w:val="2"/>
      <w:sz w:val="22"/>
      <w:szCs w:val="22"/>
      <w:lang w:eastAsia="en-US"/>
    </w:rPr>
  </w:style>
  <w:style w:type="paragraph" w:styleId="Naslov6">
    <w:name w:val="heading 6"/>
    <w:basedOn w:val="Normal"/>
    <w:next w:val="Normal"/>
    <w:link w:val="Naslov6Char"/>
    <w:uiPriority w:val="9"/>
    <w:semiHidden/>
    <w:unhideWhenUsed/>
    <w:qFormat/>
    <w:rsid w:val="003F0267"/>
    <w:pPr>
      <w:keepNext/>
      <w:keepLines/>
      <w:spacing w:before="40" w:line="259" w:lineRule="auto"/>
      <w:outlineLvl w:val="5"/>
    </w:pPr>
    <w:rPr>
      <w:rFonts w:asciiTheme="minorHAnsi" w:hAnsiTheme="minorHAnsi" w:eastAsiaTheme="majorEastAsia" w:cstheme="majorBidi"/>
      <w:i/>
      <w:iCs/>
      <w:color w:val="595959" w:themeColor="text1" w:themeTint="A6"/>
      <w:kern w:val="2"/>
      <w:sz w:val="22"/>
      <w:szCs w:val="22"/>
      <w:lang w:eastAsia="en-US"/>
    </w:rPr>
  </w:style>
  <w:style w:type="paragraph" w:styleId="Naslov7">
    <w:name w:val="heading 7"/>
    <w:basedOn w:val="Normal"/>
    <w:next w:val="Normal"/>
    <w:link w:val="Naslov7Char"/>
    <w:uiPriority w:val="9"/>
    <w:semiHidden/>
    <w:unhideWhenUsed/>
    <w:qFormat/>
    <w:rsid w:val="003F0267"/>
    <w:pPr>
      <w:keepNext/>
      <w:keepLines/>
      <w:spacing w:before="40" w:line="259" w:lineRule="auto"/>
      <w:outlineLvl w:val="6"/>
    </w:pPr>
    <w:rPr>
      <w:rFonts w:asciiTheme="minorHAnsi" w:hAnsiTheme="minorHAnsi" w:eastAsiaTheme="majorEastAsia" w:cstheme="majorBidi"/>
      <w:color w:val="595959" w:themeColor="text1" w:themeTint="A6"/>
      <w:kern w:val="2"/>
      <w:sz w:val="22"/>
      <w:szCs w:val="22"/>
      <w:lang w:eastAsia="en-US"/>
    </w:rPr>
  </w:style>
  <w:style w:type="paragraph" w:styleId="Naslov8">
    <w:name w:val="heading 8"/>
    <w:basedOn w:val="Normal"/>
    <w:next w:val="Normal"/>
    <w:link w:val="Naslov8Char"/>
    <w:uiPriority w:val="9"/>
    <w:semiHidden/>
    <w:unhideWhenUsed/>
    <w:qFormat/>
    <w:rsid w:val="003F0267"/>
    <w:pPr>
      <w:keepNext/>
      <w:keepLines/>
      <w:spacing w:line="259" w:lineRule="auto"/>
      <w:outlineLvl w:val="7"/>
    </w:pPr>
    <w:rPr>
      <w:rFonts w:asciiTheme="minorHAnsi" w:hAnsiTheme="minorHAnsi" w:eastAsiaTheme="majorEastAsia" w:cstheme="majorBidi"/>
      <w:i/>
      <w:iCs/>
      <w:color w:val="272727" w:themeColor="text1" w:themeTint="D8"/>
      <w:kern w:val="2"/>
      <w:sz w:val="22"/>
      <w:szCs w:val="22"/>
      <w:lang w:eastAsia="en-US"/>
    </w:rPr>
  </w:style>
  <w:style w:type="paragraph" w:styleId="Naslov9">
    <w:name w:val="heading 9"/>
    <w:basedOn w:val="Normal"/>
    <w:next w:val="Normal"/>
    <w:link w:val="Naslov9Char"/>
    <w:uiPriority w:val="9"/>
    <w:semiHidden/>
    <w:unhideWhenUsed/>
    <w:qFormat/>
    <w:rsid w:val="003F0267"/>
    <w:pPr>
      <w:keepNext/>
      <w:keepLines/>
      <w:spacing w:line="259" w:lineRule="auto"/>
      <w:outlineLvl w:val="8"/>
    </w:pPr>
    <w:rPr>
      <w:rFonts w:asciiTheme="minorHAnsi" w:hAnsiTheme="minorHAnsi" w:eastAsiaTheme="majorEastAsia" w:cstheme="majorBidi"/>
      <w:color w:val="272727" w:themeColor="text1" w:themeTint="D8"/>
      <w:kern w:val="2"/>
      <w:sz w:val="22"/>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3F0267"/>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semiHidden/>
    <w:rsid w:val="003F0267"/>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semiHidden/>
    <w:rsid w:val="003F0267"/>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semiHidden/>
    <w:rsid w:val="003F0267"/>
    <w:rPr>
      <w:rFonts w:eastAsiaTheme="majorEastAsia" w:cstheme="majorBidi"/>
      <w:i/>
      <w:iCs/>
      <w:color w:val="0F4761" w:themeColor="accent1" w:themeShade="BF"/>
    </w:rPr>
  </w:style>
  <w:style w:type="character" w:styleId="Naslov5Char" w:customStyle="true">
    <w:name w:val="Naslov 5 Char"/>
    <w:basedOn w:val="Zadanifontodlomka"/>
    <w:link w:val="Naslov5"/>
    <w:semiHidden/>
    <w:rsid w:val="003F0267"/>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3F0267"/>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3F0267"/>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3F0267"/>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3F0267"/>
    <w:rPr>
      <w:rFonts w:eastAsiaTheme="majorEastAsia" w:cstheme="majorBidi"/>
      <w:color w:val="272727" w:themeColor="text1" w:themeTint="D8"/>
    </w:rPr>
  </w:style>
  <w:style w:type="paragraph" w:styleId="Naslov">
    <w:name w:val="Title"/>
    <w:basedOn w:val="Normal"/>
    <w:next w:val="Normal"/>
    <w:link w:val="NaslovChar"/>
    <w:uiPriority w:val="10"/>
    <w:qFormat/>
    <w:rsid w:val="003F0267"/>
    <w:pPr>
      <w:spacing w:after="80"/>
      <w:contextualSpacing/>
    </w:pPr>
    <w:rPr>
      <w:rFonts w:asciiTheme="majorHAnsi" w:hAnsiTheme="majorHAnsi" w:eastAsiaTheme="majorEastAsia" w:cstheme="majorBidi"/>
      <w:spacing w:val="-10"/>
      <w:kern w:val="28"/>
      <w:sz w:val="56"/>
      <w:szCs w:val="56"/>
      <w:lang w:eastAsia="en-US"/>
    </w:rPr>
  </w:style>
  <w:style w:type="character" w:styleId="NaslovChar" w:customStyle="true">
    <w:name w:val="Naslov Char"/>
    <w:basedOn w:val="Zadanifontodlomka"/>
    <w:link w:val="Naslov"/>
    <w:uiPriority w:val="10"/>
    <w:rsid w:val="003F0267"/>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3F0267"/>
    <w:pPr>
      <w:numPr>
        <w:ilvl w:val="1"/>
      </w:numPr>
      <w:spacing w:after="160" w:line="259" w:lineRule="auto"/>
    </w:pPr>
    <w:rPr>
      <w:rFonts w:asciiTheme="minorHAnsi" w:hAnsiTheme="minorHAnsi" w:eastAsiaTheme="majorEastAsia" w:cstheme="majorBidi"/>
      <w:color w:val="595959" w:themeColor="text1" w:themeTint="A6"/>
      <w:spacing w:val="15"/>
      <w:kern w:val="2"/>
      <w:sz w:val="28"/>
      <w:szCs w:val="28"/>
      <w:lang w:eastAsia="en-US"/>
    </w:rPr>
  </w:style>
  <w:style w:type="character" w:styleId="PodnaslovChar" w:customStyle="true">
    <w:name w:val="Podnaslov Char"/>
    <w:basedOn w:val="Zadanifontodlomka"/>
    <w:link w:val="Podnaslov"/>
    <w:uiPriority w:val="11"/>
    <w:rsid w:val="003F0267"/>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3F0267"/>
    <w:pPr>
      <w:spacing w:before="160" w:after="160" w:line="259" w:lineRule="auto"/>
      <w:jc w:val="center"/>
    </w:pPr>
    <w:rPr>
      <w:rFonts w:asciiTheme="minorHAnsi" w:hAnsiTheme="minorHAnsi" w:eastAsiaTheme="minorHAnsi" w:cstheme="minorBidi"/>
      <w:i/>
      <w:iCs/>
      <w:color w:val="404040" w:themeColor="text1" w:themeTint="BF"/>
      <w:kern w:val="2"/>
      <w:sz w:val="22"/>
      <w:szCs w:val="22"/>
      <w:lang w:eastAsia="en-US"/>
    </w:rPr>
  </w:style>
  <w:style w:type="character" w:styleId="CitatChar" w:customStyle="true">
    <w:name w:val="Citat Char"/>
    <w:basedOn w:val="Zadanifontodlomka"/>
    <w:link w:val="Citat"/>
    <w:uiPriority w:val="29"/>
    <w:rsid w:val="003F0267"/>
    <w:rPr>
      <w:i/>
      <w:iCs/>
      <w:color w:val="404040" w:themeColor="text1" w:themeTint="BF"/>
    </w:rPr>
  </w:style>
  <w:style w:type="paragraph" w:styleId="Odlomakpopisa">
    <w:name w:val="List Paragraph"/>
    <w:basedOn w:val="Normal"/>
    <w:uiPriority w:val="34"/>
    <w:qFormat/>
    <w:rsid w:val="003F0267"/>
    <w:pPr>
      <w:spacing w:after="160" w:line="259" w:lineRule="auto"/>
      <w:ind w:left="720"/>
      <w:contextualSpacing/>
    </w:pPr>
    <w:rPr>
      <w:rFonts w:asciiTheme="minorHAnsi" w:hAnsiTheme="minorHAnsi" w:eastAsiaTheme="minorHAnsi" w:cstheme="minorBidi"/>
      <w:kern w:val="2"/>
      <w:sz w:val="22"/>
      <w:szCs w:val="22"/>
      <w:lang w:eastAsia="en-US"/>
    </w:rPr>
  </w:style>
  <w:style w:type="character" w:styleId="Jakoisticanje">
    <w:name w:val="Intense Emphasis"/>
    <w:basedOn w:val="Zadanifontodlomka"/>
    <w:uiPriority w:val="21"/>
    <w:qFormat/>
    <w:rsid w:val="003F0267"/>
    <w:rPr>
      <w:i/>
      <w:iCs/>
      <w:color w:val="0F4761" w:themeColor="accent1" w:themeShade="BF"/>
    </w:rPr>
  </w:style>
  <w:style w:type="paragraph" w:styleId="Naglaencitat">
    <w:name w:val="Intense Quote"/>
    <w:basedOn w:val="Normal"/>
    <w:next w:val="Normal"/>
    <w:link w:val="NaglaencitatChar"/>
    <w:uiPriority w:val="30"/>
    <w:qFormat/>
    <w:rsid w:val="003F0267"/>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Theme="minorHAnsi" w:hAnsiTheme="minorHAnsi" w:eastAsiaTheme="minorHAnsi" w:cstheme="minorBidi"/>
      <w:i/>
      <w:iCs/>
      <w:color w:val="0F4761" w:themeColor="accent1" w:themeShade="BF"/>
      <w:kern w:val="2"/>
      <w:sz w:val="22"/>
      <w:szCs w:val="22"/>
      <w:lang w:eastAsia="en-US"/>
    </w:rPr>
  </w:style>
  <w:style w:type="character" w:styleId="NaglaencitatChar" w:customStyle="true">
    <w:name w:val="Naglašen citat Char"/>
    <w:basedOn w:val="Zadanifontodlomka"/>
    <w:link w:val="Naglaencitat"/>
    <w:uiPriority w:val="30"/>
    <w:rsid w:val="003F0267"/>
    <w:rPr>
      <w:i/>
      <w:iCs/>
      <w:color w:val="0F4761" w:themeColor="accent1" w:themeShade="BF"/>
    </w:rPr>
  </w:style>
  <w:style w:type="character" w:styleId="Istaknutareferenca">
    <w:name w:val="Intense Reference"/>
    <w:basedOn w:val="Zadanifontodlomka"/>
    <w:uiPriority w:val="32"/>
    <w:qFormat/>
    <w:rsid w:val="003F0267"/>
    <w:rPr>
      <w:b/>
      <w:bCs/>
      <w:smallCaps/>
      <w:color w:val="0F4761" w:themeColor="accent1" w:themeShade="BF"/>
      <w:spacing w:val="5"/>
    </w:rPr>
  </w:style>
  <w:style w:type="paragraph" w:styleId="Zaglavlje">
    <w:name w:val="header"/>
    <w:basedOn w:val="Normal"/>
    <w:link w:val="ZaglavljeChar"/>
    <w:uiPriority w:val="99"/>
    <w:unhideWhenUsed/>
    <w:rsid w:val="00EE30E4"/>
    <w:pPr>
      <w:tabs>
        <w:tab w:val="center" w:pos="4153"/>
        <w:tab w:val="right" w:pos="8306"/>
      </w:tabs>
    </w:pPr>
  </w:style>
  <w:style w:type="character" w:styleId="ZaglavljeChar" w:customStyle="true">
    <w:name w:val="Zaglavlje Char"/>
    <w:basedOn w:val="Zadanifontodlomka"/>
    <w:link w:val="Zaglavlje"/>
    <w:uiPriority w:val="99"/>
    <w:rsid w:val="00EE30E4"/>
    <w:rPr>
      <w:rFonts w:ascii="Times New Roman" w:hAnsi="Times New Roman" w:eastAsia="Times New Roman" w:cs="Times New Roman"/>
      <w:kern w:val="0"/>
      <w:sz w:val="20"/>
      <w:szCs w:val="20"/>
      <w:lang w:eastAsia="hr-HR"/>
    </w:rPr>
  </w:style>
  <w:style w:type="paragraph" w:styleId="Podnoje">
    <w:name w:val="footer"/>
    <w:basedOn w:val="Normal"/>
    <w:link w:val="PodnojeChar"/>
    <w:uiPriority w:val="99"/>
    <w:unhideWhenUsed/>
    <w:rsid w:val="004013C8"/>
    <w:pPr>
      <w:tabs>
        <w:tab w:val="center" w:pos="4536"/>
        <w:tab w:val="right" w:pos="9072"/>
      </w:tabs>
    </w:pPr>
  </w:style>
  <w:style w:type="character" w:styleId="PodnojeChar" w:customStyle="true">
    <w:name w:val="Podnožje Char"/>
    <w:basedOn w:val="Zadanifontodlomka"/>
    <w:link w:val="Podnoje"/>
    <w:uiPriority w:val="99"/>
    <w:rsid w:val="004013C8"/>
    <w:rPr>
      <w:rFonts w:ascii="Times New Roman" w:hAnsi="Times New Roman" w:eastAsia="Times New Roman" w:cs="Times New Roman"/>
      <w:kern w:val="0"/>
      <w:sz w:val="20"/>
      <w:szCs w:val="20"/>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34105183">
      <w:bodyDiv w:val="true"/>
      <w:marLeft w:val="0"/>
      <w:marRight w:val="0"/>
      <w:marTop w:val="0"/>
      <w:marBottom w:val="0"/>
      <w:divBdr>
        <w:top w:val="none" w:color="auto" w:sz="0" w:space="0"/>
        <w:left w:val="none" w:color="auto" w:sz="0" w:space="0"/>
        <w:bottom w:val="none" w:color="auto" w:sz="0" w:space="0"/>
        <w:right w:val="none" w:color="auto" w:sz="0" w:space="0"/>
      </w:divBdr>
    </w:div>
    <w:div w:id="1108542552">
      <w:bodyDiv w:val="true"/>
      <w:marLeft w:val="0"/>
      <w:marRight w:val="0"/>
      <w:marTop w:val="0"/>
      <w:marBottom w:val="0"/>
      <w:divBdr>
        <w:top w:val="none" w:color="auto" w:sz="0" w:space="0"/>
        <w:left w:val="none" w:color="auto" w:sz="0" w:space="0"/>
        <w:bottom w:val="none" w:color="auto" w:sz="0" w:space="0"/>
        <w:right w:val="none" w:color="auto" w:sz="0" w:space="0"/>
      </w:divBdr>
    </w:div>
    <w:div w:id="1151485444">
      <w:bodyDiv w:val="true"/>
      <w:marLeft w:val="0"/>
      <w:marRight w:val="0"/>
      <w:marTop w:val="0"/>
      <w:marBottom w:val="0"/>
      <w:divBdr>
        <w:top w:val="none" w:color="auto" w:sz="0" w:space="0"/>
        <w:left w:val="none" w:color="auto" w:sz="0" w:space="0"/>
        <w:bottom w:val="none" w:color="auto" w:sz="0" w:space="0"/>
        <w:right w:val="none" w:color="auto" w:sz="0" w:space="0"/>
      </w:divBdr>
    </w:div>
    <w:div w:id="1222864629">
      <w:bodyDiv w:val="true"/>
      <w:marLeft w:val="0"/>
      <w:marRight w:val="0"/>
      <w:marTop w:val="0"/>
      <w:marBottom w:val="0"/>
      <w:divBdr>
        <w:top w:val="none" w:color="auto" w:sz="0" w:space="0"/>
        <w:left w:val="none" w:color="auto" w:sz="0" w:space="0"/>
        <w:bottom w:val="none" w:color="auto" w:sz="0" w:space="0"/>
        <w:right w:val="none" w:color="auto" w:sz="0" w:space="0"/>
      </w:divBdr>
    </w:div>
    <w:div w:id="129683477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webSettings.xml" Type="http://schemas.openxmlformats.org/officeDocument/2006/relationships/webSettings" Id="rId3"/><Relationship Target="embeddings/oleObject1.bin" Type="http://schemas.openxmlformats.org/officeDocument/2006/relationships/oleObject" Id="rId7"/><Relationship Target="settings.xml" Type="http://schemas.openxmlformats.org/officeDocument/2006/relationships/settings" Id="rId2"/><Relationship Target="styles.xml" Type="http://schemas.openxmlformats.org/officeDocument/2006/relationships/styles" Id="rId1"/><Relationship Target="media/image1.wmf" Type="http://schemas.openxmlformats.org/officeDocument/2006/relationships/image" Id="rId6"/><Relationship Target="endnotes.xml" Type="http://schemas.openxmlformats.org/officeDocument/2006/relationships/endnotes" Id="rId5"/><Relationship Target="theme/theme1.xml" Type="http://schemas.openxmlformats.org/officeDocument/2006/relationships/theme" Id="rId10"/><Relationship Target="footnotes.xml" Type="http://schemas.openxmlformats.org/officeDocument/2006/relationships/footnotes" Id="rId4"/><Relationship Target="fontTable.xml" Type="http://schemas.openxmlformats.org/officeDocument/2006/relationships/fontTable" Id="rId9"/><Relationship Target="../customXml/item1.xml" Type="http://schemas.openxmlformats.org/officeDocument/2006/relationships/customXml" Id="rId1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MPU</properties:Company>
  <properties:Pages>4</properties:Pages>
  <properties:Words>1471</properties:Words>
  <properties:Characters>8387</properties:Characters>
  <properties:Lines>69</properties:Lines>
  <properties:Paragraphs>19</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9839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2026-06-11T08:38:00Z</dcterms:created>
  <dc:creator>Nina Lukić</dc:creator>
  <dc:description/>
  <cp:keywords/>
  <cp:lastModifiedBy>Snježana Vidoš</cp:lastModifiedBy>
  <dcterms:modified xmlns:xsi="http://www.w3.org/2001/XMLSchema-instance" xsi:type="dcterms:W3CDTF">2026-06-11T12:19:00Z</dcterms:modified>
  <cp:revision>9</cp:revision>
  <dc:subject/>
  <dc:title/>
</cp:coreProperties>
</file>