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8A77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9671F6C" wp14:editId="442D4A8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BB7754">
        <w:rPr>
          <w:rFonts w:ascii="Arial" w:hAnsi="Arial" w:cs="Arial"/>
          <w:b/>
          <w:sz w:val="24"/>
          <w:szCs w:val="24"/>
          <w:lang w:val="hr-HR"/>
        </w:rPr>
        <w:t>9653/2024</w:t>
      </w:r>
    </w:p>
    <w:p w14:paraId="2153CB27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26A55B6E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30B150A5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1D6FA0F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E7DC63E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1A2B151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01D3C6CE" w14:textId="6FCC5F58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BB7754">
        <w:rPr>
          <w:rFonts w:ascii="Arial" w:hAnsi="Arial" w:cs="Arial"/>
          <w:sz w:val="24"/>
          <w:szCs w:val="24"/>
        </w:rPr>
        <w:t xml:space="preserve">Tea Begović, </w:t>
      </w:r>
      <w:r w:rsidR="00812883">
        <w:rPr>
          <w:rFonts w:ascii="Arial" w:hAnsi="Arial" w:cs="Arial"/>
          <w:sz w:val="24"/>
          <w:szCs w:val="24"/>
        </w:rPr>
        <w:t>OIB:</w:t>
      </w:r>
      <w:r w:rsidR="00BB7754">
        <w:rPr>
          <w:rFonts w:ascii="Arial" w:hAnsi="Arial" w:cs="Arial"/>
          <w:sz w:val="24"/>
          <w:szCs w:val="24"/>
        </w:rPr>
        <w:t>58672796458, Širolina ulica 1, 52100 Pula, Ana Ostović rođ. Begović, OIB: 16862378272, Širolina 1, 52100 Pula i Iva Begović pok. Ivice, OIB: 43370602555, Rizzijeva 2, 52100 Pula,</w:t>
      </w:r>
      <w:r w:rsidR="00812883">
        <w:rPr>
          <w:rFonts w:ascii="Arial" w:hAnsi="Arial" w:cs="Arial"/>
          <w:sz w:val="24"/>
          <w:szCs w:val="24"/>
        </w:rPr>
        <w:t xml:space="preserve"> 20230 Ston</w:t>
      </w:r>
      <w:r w:rsidR="00154B4B">
        <w:rPr>
          <w:rFonts w:ascii="Arial" w:hAnsi="Arial" w:cs="Arial"/>
          <w:sz w:val="24"/>
          <w:szCs w:val="24"/>
        </w:rPr>
        <w:t xml:space="preserve">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</w:t>
      </w:r>
      <w:r w:rsidR="00BB7754">
        <w:rPr>
          <w:rFonts w:ascii="Arial" w:hAnsi="Arial" w:cs="Arial"/>
          <w:sz w:val="24"/>
          <w:szCs w:val="24"/>
        </w:rPr>
        <w:t>n</w:t>
      </w:r>
      <w:r w:rsidR="00BB7754" w:rsidRPr="001E7B9B">
        <w:rPr>
          <w:rFonts w:ascii="Arial" w:hAnsi="Arial" w:cs="Arial"/>
          <w:sz w:val="24"/>
          <w:szCs w:val="24"/>
        </w:rPr>
        <w:t>a</w:t>
      </w:r>
      <w:r w:rsidR="00615F0A" w:rsidRPr="001E7B9B">
        <w:rPr>
          <w:rFonts w:ascii="Arial" w:hAnsi="Arial" w:cs="Arial"/>
          <w:sz w:val="24"/>
          <w:szCs w:val="24"/>
        </w:rPr>
        <w:t xml:space="preserve">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9E36D4">
        <w:rPr>
          <w:rFonts w:ascii="Arial" w:hAnsi="Arial" w:cs="Arial"/>
          <w:sz w:val="24"/>
          <w:szCs w:val="24"/>
        </w:rPr>
        <w:t xml:space="preserve"> </w:t>
      </w:r>
      <w:r w:rsidR="00BB7754">
        <w:rPr>
          <w:rFonts w:ascii="Arial" w:hAnsi="Arial" w:cs="Arial"/>
          <w:sz w:val="24"/>
          <w:szCs w:val="24"/>
        </w:rPr>
        <w:t xml:space="preserve">1023, 1547 i 1549 sve </w:t>
      </w:r>
      <w:r w:rsidR="00793EBF">
        <w:rPr>
          <w:rFonts w:ascii="Arial" w:hAnsi="Arial" w:cs="Arial"/>
          <w:sz w:val="24"/>
          <w:szCs w:val="24"/>
        </w:rPr>
        <w:t xml:space="preserve">k.o. Brijesta, </w:t>
      </w:r>
      <w:r w:rsidR="00C9746E" w:rsidRPr="001E7B9B">
        <w:rPr>
          <w:rFonts w:ascii="Arial" w:hAnsi="Arial" w:cs="Arial"/>
          <w:sz w:val="24"/>
          <w:szCs w:val="24"/>
        </w:rPr>
        <w:t>dana</w:t>
      </w:r>
      <w:r w:rsidR="00BB7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5376">
        <w:rPr>
          <w:rFonts w:ascii="Arial" w:hAnsi="Arial" w:cs="Arial"/>
          <w:sz w:val="24"/>
          <w:szCs w:val="24"/>
        </w:rPr>
        <w:t>25</w:t>
      </w:r>
      <w:proofErr w:type="gramEnd"/>
      <w:r w:rsidR="00F55376">
        <w:rPr>
          <w:rFonts w:ascii="Arial" w:hAnsi="Arial" w:cs="Arial"/>
          <w:sz w:val="24"/>
          <w:szCs w:val="24"/>
        </w:rPr>
        <w:t>. veljače</w:t>
      </w:r>
      <w:r w:rsidR="00BB7754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347E84F5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74BF86B7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72A017E8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2C2222F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6CA62523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3CEB952C" w14:textId="2A71E43E" w:rsidR="00406104" w:rsidRPr="00BB775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B7754" w:rsidRPr="00BB7754">
        <w:rPr>
          <w:rFonts w:ascii="Arial" w:hAnsi="Arial" w:cs="Arial"/>
          <w:b/>
          <w:sz w:val="24"/>
          <w:szCs w:val="24"/>
          <w:u w:val="single"/>
          <w:lang w:val="hr-HR"/>
        </w:rPr>
        <w:t>10.travnja 2026</w:t>
      </w:r>
      <w:r w:rsidR="000E04F0" w:rsidRPr="00BB775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E41EB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09:15 </w:t>
      </w:r>
      <w:r w:rsidR="00FA0AF7" w:rsidRPr="00BB7754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B775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B775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34C6814B" w14:textId="77777777" w:rsidR="002B2574" w:rsidRPr="002B2574" w:rsidRDefault="00154B4B" w:rsidP="00BB7754">
      <w:pPr>
        <w:tabs>
          <w:tab w:val="center" w:pos="4680"/>
          <w:tab w:val="left" w:pos="7380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 w:rsidR="00BB7754" w:rsidRP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>kč.br. 1073 Pod Košarom, šuma 248 m2, kč.br. 1074 Pod Košarom, gomila 65 m2, kč.br. 1006 Na Gustirni, oranica 108 m2 Kč.br. 1009 Na Gustirni, oranica 14 m2 kč.br. 1042</w:t>
      </w:r>
      <w:r w:rsid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  <w:r w:rsidR="00BB7754" w:rsidRP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>Đonta, pašnjak 2521 m2 u 3/9 dijela kč.br. 1043 Đonta, voćnjak 1082 m2, pašnjak 1083 m2,</w:t>
      </w:r>
      <w:r w:rsid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  <w:r w:rsidR="00BB7754" w:rsidRP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>ukupne površine 2165 m2 upisane u zk.ul. 1023 k.o. Hodilje; kč.br. 985 Jaketina, voćnjak 600</w:t>
      </w:r>
      <w:r w:rsid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  <w:r w:rsidR="00BB7754" w:rsidRP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>m2, pašnjak 936 m2, ukupne površine 1536 m2., upisana u zk.ul. 1547 k.o. Hodilje te kč.br.</w:t>
      </w:r>
      <w:r w:rsid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  <w:r w:rsidR="00BB7754" w:rsidRPr="00BB7754">
        <w:rPr>
          <w:rFonts w:ascii="Arial" w:hAnsi="Arial" w:cs="Arial"/>
          <w:b/>
          <w:i/>
          <w:sz w:val="24"/>
          <w:szCs w:val="24"/>
          <w:u w:val="single"/>
          <w:lang w:val="hr-HR"/>
        </w:rPr>
        <w:t>980 Žal, pašnjak 56669 m2 upisana u z.ul. 1549 k.o. Hodilje</w:t>
      </w:r>
    </w:p>
    <w:p w14:paraId="3E5AD896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3E33D121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64EAA246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180FD9">
        <w:rPr>
          <w:rFonts w:ascii="Arial" w:hAnsi="Arial" w:cs="Arial"/>
          <w:sz w:val="24"/>
          <w:szCs w:val="24"/>
        </w:rPr>
        <w:t>i</w:t>
      </w:r>
      <w:r w:rsidR="00BB7754">
        <w:rPr>
          <w:rFonts w:ascii="Arial" w:hAnsi="Arial" w:cs="Arial"/>
          <w:sz w:val="24"/>
          <w:szCs w:val="24"/>
        </w:rPr>
        <w:t>ce</w:t>
      </w:r>
      <w:r w:rsidR="00853C1D">
        <w:rPr>
          <w:rFonts w:ascii="Arial" w:hAnsi="Arial" w:cs="Arial"/>
          <w:sz w:val="24"/>
          <w:szCs w:val="24"/>
        </w:rPr>
        <w:t>,</w:t>
      </w:r>
      <w:r w:rsidR="00BB7754">
        <w:rPr>
          <w:rFonts w:ascii="Arial" w:hAnsi="Arial" w:cs="Arial"/>
          <w:sz w:val="24"/>
          <w:szCs w:val="24"/>
        </w:rPr>
        <w:t xml:space="preserve"> osobno </w:t>
      </w:r>
    </w:p>
    <w:p w14:paraId="0C55660C" w14:textId="3E00271D" w:rsidR="0090662E" w:rsidRPr="0090662E" w:rsidRDefault="0090662E" w:rsidP="0090662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90662E">
        <w:rPr>
          <w:rFonts w:ascii="Arial" w:hAnsi="Arial" w:cs="Arial"/>
          <w:sz w:val="24"/>
          <w:szCs w:val="24"/>
        </w:rPr>
        <w:t>Franušić Mišo, Rusan 6, Luka, 20230 Ston</w:t>
      </w:r>
      <w:r w:rsidR="00E41EB8">
        <w:rPr>
          <w:rFonts w:ascii="Arial" w:hAnsi="Arial" w:cs="Arial"/>
          <w:sz w:val="24"/>
          <w:szCs w:val="24"/>
        </w:rPr>
        <w:t xml:space="preserve"> zastupan po punomoćniku Ante Kačić, odvjetnik u Dubrovniku</w:t>
      </w:r>
    </w:p>
    <w:p w14:paraId="3D2FBCDA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6B6CBB74" w14:textId="77777777" w:rsidR="00CC41F0" w:rsidRPr="00172932" w:rsidRDefault="0090662E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vještak Stjepan Grmoljez </w:t>
      </w:r>
      <w:r w:rsidR="00CC41F0" w:rsidRPr="00172932">
        <w:rPr>
          <w:rFonts w:ascii="Arial" w:hAnsi="Arial" w:cs="Arial"/>
          <w:sz w:val="24"/>
          <w:szCs w:val="24"/>
        </w:rPr>
        <w:t xml:space="preserve"> </w:t>
      </w:r>
    </w:p>
    <w:p w14:paraId="45603D30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8183195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7332DE1E" w14:textId="77777777" w:rsidR="009E36D4" w:rsidRPr="00E41EB8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E41EB8">
        <w:rPr>
          <w:rFonts w:ascii="Arial" w:hAnsi="Arial" w:cs="Arial"/>
          <w:b/>
          <w:bCs/>
          <w:sz w:val="24"/>
          <w:szCs w:val="24"/>
          <w:lang w:val="hr-HR"/>
        </w:rPr>
        <w:t xml:space="preserve">Poziva se predlagatelj da u roku od 8 dana od dana primitka ovog rješenja uplati iznos od  </w:t>
      </w:r>
      <w:r w:rsidR="00BB7754" w:rsidRPr="00E41EB8">
        <w:rPr>
          <w:rFonts w:ascii="Arial" w:hAnsi="Arial" w:cs="Arial"/>
          <w:b/>
          <w:bCs/>
          <w:sz w:val="24"/>
          <w:szCs w:val="24"/>
          <w:lang w:val="hr-HR"/>
        </w:rPr>
        <w:t xml:space="preserve">98,59€ </w:t>
      </w:r>
      <w:r w:rsidRPr="00E41EB8">
        <w:rPr>
          <w:rFonts w:ascii="Arial" w:hAnsi="Arial" w:cs="Arial"/>
          <w:b/>
          <w:bCs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01801F8F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2B4771C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EE42440" w14:textId="23119D83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E41EB8">
        <w:rPr>
          <w:rFonts w:ascii="Arial" w:hAnsi="Arial" w:cs="Arial"/>
          <w:b/>
          <w:sz w:val="24"/>
          <w:szCs w:val="24"/>
          <w:lang w:val="hr-HR"/>
        </w:rPr>
        <w:t>16.ožujka</w:t>
      </w:r>
      <w:r w:rsidR="00BB7754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414F8B7F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2E94F73" w14:textId="77777777" w:rsidR="00E41EB8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</w:t>
      </w:r>
    </w:p>
    <w:p w14:paraId="23A75A16" w14:textId="26E9658B" w:rsidR="00CC41F0" w:rsidRPr="001E7B9B" w:rsidRDefault="0026272B" w:rsidP="00E41EB8">
      <w:pPr>
        <w:ind w:left="6372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 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6637B463" w14:textId="51C13673" w:rsidR="00B244E0" w:rsidRDefault="00AB49B3" w:rsidP="00E41EB8">
      <w:pPr>
        <w:ind w:left="5664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0E314A03" w14:textId="77777777" w:rsidR="00E41EB8" w:rsidRDefault="00E41EB8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210353A" w14:textId="7C52C3DF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42D69DD4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3E71AADB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29B46010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07D60AC0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76848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283274">
    <w:abstractNumId w:val="10"/>
  </w:num>
  <w:num w:numId="3" w16cid:durableId="530803297">
    <w:abstractNumId w:val="1"/>
  </w:num>
  <w:num w:numId="4" w16cid:durableId="2096701618">
    <w:abstractNumId w:val="10"/>
  </w:num>
  <w:num w:numId="5" w16cid:durableId="545720960">
    <w:abstractNumId w:val="11"/>
  </w:num>
  <w:num w:numId="6" w16cid:durableId="1109546191">
    <w:abstractNumId w:val="4"/>
  </w:num>
  <w:num w:numId="7" w16cid:durableId="797451612">
    <w:abstractNumId w:val="5"/>
  </w:num>
  <w:num w:numId="8" w16cid:durableId="1868711047">
    <w:abstractNumId w:val="9"/>
  </w:num>
  <w:num w:numId="9" w16cid:durableId="1380398515">
    <w:abstractNumId w:val="0"/>
  </w:num>
  <w:num w:numId="10" w16cid:durableId="316498602">
    <w:abstractNumId w:val="10"/>
  </w:num>
  <w:num w:numId="11" w16cid:durableId="1662806474">
    <w:abstractNumId w:val="7"/>
  </w:num>
  <w:num w:numId="12" w16cid:durableId="1898777993">
    <w:abstractNumId w:val="8"/>
  </w:num>
  <w:num w:numId="13" w16cid:durableId="1430466854">
    <w:abstractNumId w:val="6"/>
  </w:num>
  <w:num w:numId="14" w16cid:durableId="62096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327AE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3578B"/>
    <w:rsid w:val="00641B19"/>
    <w:rsid w:val="00673C54"/>
    <w:rsid w:val="00674DB0"/>
    <w:rsid w:val="0069357E"/>
    <w:rsid w:val="006D3B50"/>
    <w:rsid w:val="006E639B"/>
    <w:rsid w:val="00717526"/>
    <w:rsid w:val="00722CFC"/>
    <w:rsid w:val="00760119"/>
    <w:rsid w:val="00793EBF"/>
    <w:rsid w:val="007C085A"/>
    <w:rsid w:val="007C250A"/>
    <w:rsid w:val="00805578"/>
    <w:rsid w:val="00812883"/>
    <w:rsid w:val="00853C1D"/>
    <w:rsid w:val="00871C83"/>
    <w:rsid w:val="00884BD0"/>
    <w:rsid w:val="008C6222"/>
    <w:rsid w:val="008D6985"/>
    <w:rsid w:val="0090662E"/>
    <w:rsid w:val="009107FB"/>
    <w:rsid w:val="009357D8"/>
    <w:rsid w:val="00954B31"/>
    <w:rsid w:val="00966FF0"/>
    <w:rsid w:val="009A1F68"/>
    <w:rsid w:val="009B079C"/>
    <w:rsid w:val="009B24C1"/>
    <w:rsid w:val="009C1539"/>
    <w:rsid w:val="009E36D4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B7754"/>
    <w:rsid w:val="00BC6389"/>
    <w:rsid w:val="00C5097C"/>
    <w:rsid w:val="00C612F3"/>
    <w:rsid w:val="00C9746E"/>
    <w:rsid w:val="00CC41F0"/>
    <w:rsid w:val="00CE4CDE"/>
    <w:rsid w:val="00CE79AD"/>
    <w:rsid w:val="00D52B56"/>
    <w:rsid w:val="00D56E1F"/>
    <w:rsid w:val="00D65C5B"/>
    <w:rsid w:val="00DB11CA"/>
    <w:rsid w:val="00DB5253"/>
    <w:rsid w:val="00E249B6"/>
    <w:rsid w:val="00E41EB8"/>
    <w:rsid w:val="00E639B8"/>
    <w:rsid w:val="00E76AB9"/>
    <w:rsid w:val="00E97D57"/>
    <w:rsid w:val="00EA00E9"/>
    <w:rsid w:val="00EC626F"/>
    <w:rsid w:val="00EE06A4"/>
    <w:rsid w:val="00F402DE"/>
    <w:rsid w:val="00F4197B"/>
    <w:rsid w:val="00F50CE5"/>
    <w:rsid w:val="00F55376"/>
    <w:rsid w:val="00FA0AF7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9F16"/>
  <w15:docId w15:val="{F01CF30B-A1A2-4ADE-81CB-29D67E14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ADD2-9382-4B92-B221-66F7C2A4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15</cp:revision>
  <cp:lastPrinted>2026-03-16T09:41:00Z</cp:lastPrinted>
  <dcterms:created xsi:type="dcterms:W3CDTF">2026-02-25T12:56:00Z</dcterms:created>
  <dcterms:modified xsi:type="dcterms:W3CDTF">2026-03-16T09:41:00Z</dcterms:modified>
</cp:coreProperties>
</file>