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59BD" w:rsidR="00287C06">
        <w:tc>
          <w:tcPr>
            <w:tcW w:type="dxa" w:w="3060"/>
          </w:tcPr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bookmarkStart w:name="_GoBack" w:id="0"/>
            <w:bookmarkEnd w:id="0"/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-30480</wp:posOffset>
                  </wp:positionH>
                  <wp:positionV relativeFrom="paragraph">
                    <wp:posOffset>152400</wp:posOffset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</w:t>
            </w: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287C06" w:rsidP="00AA59BD" w:rsidR="00287C06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Trgovački sud u Zagrebu</w:t>
            </w:r>
          </w:p>
          <w:p w:rsidRDefault="00287C06" w:rsidP="00AA59BD" w:rsidR="00287C06">
            <w:pPr>
              <w:overflowPunct w:val="false"/>
              <w:autoSpaceDE w:val="false"/>
              <w:autoSpaceDN w:val="false"/>
              <w:adjustRightInd w:val="false"/>
              <w:rPr>
                <w:rFonts w:cs="Times New Roman" w:eastAsia="Times New Roman"/>
                <w:szCs w:val="24"/>
                <w:lang w:eastAsia="hr-HR"/>
              </w:rPr>
            </w:pPr>
            <w:r>
              <w:rPr>
                <w:rFonts w:cs="Times New Roman" w:eastAsia="Times New Roman"/>
                <w:szCs w:val="24"/>
                <w:lang w:eastAsia="hr-HR"/>
              </w:rPr>
              <w:t xml:space="preserve">    Zagreb, Amruševa 2/II</w:t>
            </w:r>
          </w:p>
        </w:tc>
      </w:tr>
      <w:tr w:rsidTr="00AA59BD" w:rsidR="00287C06">
        <w:tc>
          <w:tcPr>
            <w:tcW w:type="dxa" w:w="3060"/>
          </w:tcPr>
          <w:p w:rsidRDefault="00287C06" w:rsidP="00AA59BD" w:rsidR="00287C06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</w:p>
        </w:tc>
      </w:tr>
    </w:tbl>
    <w:p w14:textId="0ea2f08" w14:paraId="0ea2f08" w:rsidRDefault="00287C06" w:rsidP="00287C06" w:rsidR="00287C06">
      <w:pPr>
        <w:overflowPunct w:val="false"/>
        <w:autoSpaceDE w:val="false"/>
        <w:autoSpaceDN w:val="false"/>
        <w:adjustRightInd w:val="false"/>
        <w15:collapsed w:val="false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  <w:r>
        <w:rPr>
          <w:rFonts w:cs="Times New Roman" w:eastAsia="Times New Roman"/>
          <w:b/>
          <w:szCs w:val="20"/>
          <w:lang w:eastAsia="hr-HR"/>
        </w:rPr>
        <w:tab/>
      </w: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</w:t>
      </w: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R E P U B L I K A    H R V A T S K A                  </w:t>
      </w: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J E Š E N J E</w:t>
      </w: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Trgovački sud u Zagrebu po sudskom savjetniku  Mariju Žiškoviću u pravnoj stvari podnositelja zahtjeva Financijske agencije, Zagreb, Trg svibanjskih žrtava 1995. br. 1, za pokretanjem skraćenog stečajnog postupka nad dužnikom TEA d.o.o. MBS:080040750, OIB:54395666364, Zagreb, Debanićeva 5, dana 27. travnja 2016. </w:t>
      </w: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r i j e š i o    je</w:t>
      </w: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ind w:firstLine="12" w:left="708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Pokreće se skraćeni stečajni postupak nad dužnikom TEA d.o.o. MBS:080040750, OIB:54395666364, Zagreb, Debanićeva 5.</w:t>
      </w:r>
    </w:p>
    <w:p w:rsidRDefault="00287C06" w:rsidP="00287C06" w:rsidR="00287C06">
      <w:pPr>
        <w:ind w:firstLine="720"/>
        <w:jc w:val="both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Obrazloženje</w:t>
      </w: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ab/>
        <w:t xml:space="preserve">Zahtjev za provedbu skraćenog stečajnog postupka nad gore navedenom pravnom osobom podnijela je ovome sudu Financijska agencija, Zagreb, Trg svibanjskih žrtava 1995. br. 1,  (dalje: FINA), temeljem odredbe čl. 429. </w:t>
      </w:r>
      <w:r>
        <w:rPr>
          <w:rFonts w:cs="Times New Roman" w:eastAsia="Times New Roman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2079 dana te da ukupni iznos duga evidentiranog na temelju neizvršenih osnova za plaćanje iznosi 214.738,64 kuna na dan 01. rujna 2015.</w:t>
      </w: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</w:p>
    <w:p w:rsidRDefault="00287C06" w:rsidP="00287C06" w:rsidR="00287C0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ind w:firstLine="720"/>
        <w:jc w:val="both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ind w:firstLine="72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287C06" w:rsidP="00287C06" w:rsidR="00287C06">
      <w:pPr>
        <w:jc w:val="center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Zagrebu, 27. travnja 2016. </w:t>
      </w:r>
    </w:p>
    <w:p w:rsidRDefault="00287C06" w:rsidP="00287C06" w:rsidR="00287C06">
      <w:pPr>
        <w:jc w:val="center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SUDSKI SAVJETNIK:</w:t>
      </w:r>
    </w:p>
    <w:p w:rsidRDefault="00287C06" w:rsidP="00287C06" w:rsidR="00287C06">
      <w:pPr>
        <w:ind w:firstLine="720" w:left="5040"/>
        <w:jc w:val="center"/>
        <w:rPr>
          <w:rFonts w:cs="Times New Roman" w:eastAsia="Times New Roman"/>
          <w:szCs w:val="20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211AC2">
        <w:rPr>
          <w:rFonts w:cs="Times New Roman" w:eastAsia="Times New Roman"/>
          <w:szCs w:val="20"/>
          <w:lang w:eastAsia="hr-HR"/>
        </w:rPr>
        <w:t>, v.r.</w:t>
      </w:r>
      <w:r>
        <w:rPr>
          <w:rFonts w:cs="Times New Roman" w:eastAsia="Times New Roman"/>
          <w:szCs w:val="20"/>
          <w:lang w:eastAsia="hr-HR"/>
        </w:rPr>
        <w:t xml:space="preserve"> </w:t>
      </w: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UPUTA O PRAVNOM LIJEKU:</w:t>
      </w:r>
    </w:p>
    <w:p w:rsidRDefault="00287C06" w:rsidP="00287C06" w:rsidR="00287C06">
      <w:pPr>
        <w:jc w:val="both"/>
        <w:rPr>
          <w:rFonts w:cs="Times New Roman" w:eastAsia="Times New Roman"/>
          <w:i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Protiv ovog rješenja dopuštena je  žalba Visokom trgovačkom sudu RH, a koja se podnosi u roku od 8 dana ovome sudu u 3 primjerka.</w:t>
      </w:r>
      <w:r>
        <w:rPr>
          <w:rFonts w:cs="Times New Roman" w:eastAsia="Times New Roman"/>
          <w:i/>
          <w:szCs w:val="24"/>
          <w:lang w:eastAsia="hr-HR"/>
        </w:rPr>
        <w:t xml:space="preserve">  </w:t>
      </w:r>
    </w:p>
    <w:p w:rsidRDefault="00287C06" w:rsidP="00287C06" w:rsidR="00287C06">
      <w:pPr>
        <w:jc w:val="both"/>
        <w:rPr>
          <w:rFonts w:cs="Times New Roman" w:eastAsia="Times New Roman"/>
          <w:i/>
          <w:szCs w:val="24"/>
          <w:lang w:eastAsia="hr-HR"/>
        </w:rPr>
      </w:pPr>
    </w:p>
    <w:p w:rsidRDefault="00287C06" w:rsidP="00287C06" w:rsidR="00287C06">
      <w:pPr>
        <w:jc w:val="both"/>
        <w:rPr>
          <w:rFonts w:cs="Times New Roman" w:eastAsia="Times New Roman"/>
          <w:szCs w:val="20"/>
          <w:lang w:eastAsia="hr-HR" w:val="en-GB"/>
        </w:rPr>
      </w:pPr>
    </w:p>
    <w:p w:rsidRDefault="00211AC2" w:rsidP="00211AC2" w:rsidR="00287C06">
      <w:pPr>
        <w:ind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Za točnost otpravka – ovlašteni službenik:</w:t>
      </w:r>
    </w:p>
    <w:p w:rsidRDefault="00211AC2" w:rsidP="00211AC2" w:rsidR="00211AC2">
      <w:pPr>
        <w:ind w:firstLine="708" w:left="4956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Vlasta Bogović Milisavljević</w:t>
      </w:r>
    </w:p>
    <w:p w:rsidRDefault="00287C06" w:rsidP="00287C06" w:rsidR="00287C06">
      <w:pPr>
        <w:jc w:val="both"/>
        <w:rPr>
          <w:rFonts w:cs="Times New Roman" w:eastAsia="Times New Roman"/>
          <w:sz w:val="22"/>
          <w:szCs w:val="20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/>
          <w:sz w:val="32"/>
          <w:szCs w:val="20"/>
          <w:highlight w:val="green"/>
          <w:u w:val="single"/>
          <w:lang w:eastAsia="hr-HR"/>
        </w:rPr>
      </w:pPr>
    </w:p>
    <w:p w:rsidRDefault="00287C06" w:rsidP="00287C06" w:rsidR="00287C06">
      <w:pPr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287C06" w:rsidP="00287C06" w:rsidR="00287C06">
      <w:pPr>
        <w:rPr>
          <w:rFonts w:cs="Times New Roman" w:eastAsia="Times New Roman" w:hAnsi="Arial" w:ascii="Arial"/>
          <w:szCs w:val="20"/>
          <w:lang w:eastAsia="hr-HR" w:val="en-GB"/>
        </w:rPr>
      </w:pPr>
    </w:p>
    <w:p w:rsidRDefault="00287C06" w:rsidP="00287C06" w:rsidR="00287C06">
      <w:pPr>
        <w:spacing w:lineRule="auto" w:line="276" w:after="200"/>
        <w:rPr>
          <w:rFonts w:hAnsiTheme="minorHAnsi" w:asciiTheme="minorHAnsi"/>
          <w:sz w:val="22"/>
        </w:rPr>
      </w:pPr>
    </w:p>
    <w:p w:rsidRDefault="00287C06" w:rsidP="00287C06" w:rsidR="00287C06">
      <w:pPr>
        <w:spacing w:lineRule="auto" w:line="276" w:after="200"/>
        <w:rPr>
          <w:rFonts w:hAnsiTheme="minorHAnsi" w:asciiTheme="minorHAnsi"/>
          <w:sz w:val="22"/>
        </w:rPr>
      </w:pPr>
    </w:p>
    <w:p w:rsidRDefault="00287C06" w:rsidP="00287C06" w:rsidR="00287C06">
      <w:pPr>
        <w:spacing w:lineRule="auto" w:line="276" w:after="200"/>
        <w:rPr>
          <w:rFonts w:hAnsiTheme="minorHAnsi" w:asciiTheme="minorHAnsi"/>
          <w:sz w:val="22"/>
        </w:rPr>
      </w:pPr>
    </w:p>
    <w:p w:rsidRDefault="00287C06" w:rsidP="00287C06" w:rsidR="00287C06">
      <w:pPr>
        <w:spacing w:lineRule="auto" w:line="276" w:after="200"/>
        <w:rPr>
          <w:rFonts w:hAnsiTheme="minorHAnsi" w:asciiTheme="minorHAnsi"/>
          <w:sz w:val="22"/>
        </w:rPr>
      </w:pPr>
    </w:p>
    <w:p w:rsidRDefault="00287C06" w:rsidP="00287C06" w:rsidR="00287C06">
      <w:pPr>
        <w:spacing w:lineRule="auto" w:line="276" w:after="200"/>
        <w:rPr>
          <w:rFonts w:hAnsiTheme="minorHAnsi" w:asciiTheme="minorHAnsi"/>
          <w:sz w:val="22"/>
        </w:rPr>
      </w:pPr>
    </w:p>
    <w:p w:rsidRDefault="00287C06" w:rsidP="00287C06" w:rsidR="00287C06"/>
    <w:p w:rsidRDefault="00287C06" w:rsidP="00287C06" w:rsidR="00287C06"/>
    <w:p w:rsidRDefault="00287C06" w:rsidP="00287C06" w:rsidR="00287C06"/>
    <w:p w:rsidRDefault="00287C06" w:rsidP="00287C06" w:rsidR="00287C06"/>
    <w:p w:rsidRDefault="00287C06" w:rsidP="00287C06" w:rsidR="00287C06"/>
    <w:p w:rsidRDefault="00287C06" w:rsidP="00287C06" w:rsidR="00287C06"/>
    <w:p w:rsidRDefault="00287C06" w:rsidP="00287C06" w:rsidR="00287C06"/>
    <w:p w:rsidRDefault="00287C06" w:rsidP="00287C06" w:rsidR="00287C06" w:rsidRPr="006A28A0"/>
    <w:p w:rsidRDefault="006C181C" w:rsidP="00287C06" w:rsidR="006C181C" w:rsidRPr="00287C06"/>
    <w:sectPr w:rsidR="006C181C" w:rsidRPr="00287C06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3F9" w:rsidP="00287C06" w:rsidR="00BA23F9">
      <w:r>
        <w:separator/>
      </w:r>
    </w:p>
  </w:endnote>
  <w:endnote w:id="0" w:type="continuationSeparator">
    <w:p w:rsidRDefault="00BA23F9" w:rsidP="00287C06" w:rsidR="00BA2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3F9" w:rsidP="00287C06" w:rsidR="00BA23F9">
      <w:r>
        <w:separator/>
      </w:r>
    </w:p>
  </w:footnote>
  <w:footnote w:id="0" w:type="continuationSeparator">
    <w:p w:rsidRDefault="00BA23F9" w:rsidP="00287C06" w:rsidR="00BA23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75807169"/>
      <w:docPartObj>
        <w:docPartGallery w:val="Page Numbers (Top of Page)"/>
        <w:docPartUnique/>
      </w:docPartObj>
    </w:sdtPr>
    <w:sdtEndPr/>
    <w:sdtContent>
      <w:p w:rsidRDefault="00287C06" w:rsidR="00287C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AC2">
          <w:rPr>
            <w:noProof/>
          </w:rPr>
          <w:t>1</w:t>
        </w:r>
        <w:r>
          <w:fldChar w:fldCharType="end"/>
        </w:r>
      </w:p>
    </w:sdtContent>
  </w:sdt>
  <w:p w:rsidRDefault="00287C06" w:rsidP="00C3595E" w:rsidR="00C3595E">
    <w:pPr>
      <w:pStyle w:val="Zaglavlje"/>
      <w:jc w:val="right"/>
    </w:pPr>
    <w:r>
      <w:t>81. St-4890/2015-5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C06"/>
    <w:rsid w:val="00211AC2"/>
    <w:rsid w:val="00287C06"/>
    <w:rsid w:val="006C181C"/>
    <w:rsid w:val="00AE295B"/>
    <w:rsid w:val="00BA2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C06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C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87C06"/>
  </w:style>
  <w:style w:styleId="Podnoje" w:type="paragraph">
    <w:name w:val="footer"/>
    <w:basedOn w:val="Normal"/>
    <w:link w:val="PodnojeChar"/>
    <w:uiPriority w:val="99"/>
    <w:unhideWhenUsed/>
    <w:rsid w:val="00287C0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87C06"/>
  </w:style>
  <w:style w:styleId="Tekstrezerviranogmjesta" w:type="character">
    <w:name w:val="Placeholder Text"/>
    <w:basedOn w:val="Zadanifontodlomka"/>
    <w:uiPriority w:val="99"/>
    <w:semiHidden/>
    <w:rsid w:val="00211A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1AC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11AC2"/>
    <w:rPr>
      <w:rFonts w:cs="Times New Roman" w:eastAsia="Times New Roman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11AC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11AC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C06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87C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87C06"/>
  </w:style>
  <w:style w:styleId="Podnoje" w:type="paragraph">
    <w:name w:val="footer"/>
    <w:basedOn w:val="Normal"/>
    <w:link w:val="PodnojeChar"/>
    <w:uiPriority w:val="99"/>
    <w:unhideWhenUsed/>
    <w:rsid w:val="00287C0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87C06"/>
  </w:style>
  <w:style w:styleId="Tekstrezerviranogmjesta" w:type="character">
    <w:name w:val="Placeholder Text"/>
    <w:basedOn w:val="Zadanifontodlomka"/>
    <w:uiPriority w:val="99"/>
    <w:semiHidden/>
    <w:rsid w:val="00211A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1A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11AC2"/>
    <w:rPr>
      <w:rFonts w:cs="Times New Roman" w:eastAsia="Times New Roman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11A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11AC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4890</izvorni_sadrzaj>
    <derivirana_varijabla naziv="DomainObject.Predmet.Broj_1">4890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St-4890/2015</izvorni_sadrzaj>
    <derivirana_varijabla naziv="DomainObject.Predmet.OznakaBroj_1">St-4890/2015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  d.o.o.</izvorni_sadrzaj>
    <derivirana_varijabla naziv="DomainObject.Predmet.ProtustrankaFormated_1">  TEA  d.o.o.</derivirana_varijabla>
  </DomainObject.Predmet.ProtustrankaFormated>
  <DomainObject.Predmet.ProtustrankaFormatedOIB>
    <izvorni_sadrzaj>  TEA  d.o.o., OIB 54395666364</izvorni_sadrzaj>
    <derivirana_varijabla naziv="DomainObject.Predmet.ProtustrankaFormatedOIB_1">  TEA  d.o.o., OIB 54395666364</derivirana_varijabla>
  </DomainObject.Predmet.ProtustrankaFormatedOIB>
  <DomainObject.Predmet.ProtustrankaFormatedWithAdress>
    <izvorni_sadrzaj> TEA  d.o.o., Debanićeva 5, 10000 Zagreb</izvorni_sadrzaj>
    <derivirana_varijabla naziv="DomainObject.Predmet.ProtustrankaFormatedWithAdress_1"> TEA  d.o.o., Debanićeva 5, 10000 Zagreb</derivirana_varijabla>
  </DomainObject.Predmet.ProtustrankaFormatedWithAdress>
  <DomainObject.Predmet.ProtustrankaFormatedWithAdressOIB>
    <izvorni_sadrzaj> TEA  d.o.o., OIB 54395666364, Debanićeva 5, 10000 Zagreb</izvorni_sadrzaj>
    <derivirana_varijabla naziv="DomainObject.Predmet.ProtustrankaFormatedWithAdressOIB_1"> TEA  d.o.o., OIB 54395666364, Debanićeva 5, 10000 Zagreb</derivirana_varijabla>
  </DomainObject.Predmet.ProtustrankaFormatedWithAdressOIB>
  <DomainObject.Predmet.ProtustrankaWithAdress>
    <izvorni_sadrzaj>TEA  d.o.o. Debanićeva 5, 10000 Zagreb</izvorni_sadrzaj>
    <derivirana_varijabla naziv="DomainObject.Predmet.ProtustrankaWithAdress_1">TEA  d.o.o. Debanićeva 5, 10000 Zagreb</derivirana_varijabla>
  </DomainObject.Predmet.ProtustrankaWithAdress>
  <DomainObject.Predmet.ProtustrankaWithAdressOIB>
    <izvorni_sadrzaj>TEA  d.o.o., OIB 54395666364, Debanićeva 5, 10000 Zagreb</izvorni_sadrzaj>
    <derivirana_varijabla naziv="DomainObject.Predmet.ProtustrankaWithAdressOIB_1">TEA  d.o.o., OIB 54395666364, Debanićeva 5, 10000 Zagreb</derivirana_varijabla>
  </DomainObject.Predmet.ProtustrankaWithAdressOIB>
  <DomainObject.Predmet.ProtustrankaNazivFormated>
    <izvorni_sadrzaj>TEA  d.o.o.</izvorni_sadrzaj>
    <derivirana_varijabla naziv="DomainObject.Predmet.ProtustrankaNazivFormated_1">TEA  d.o.o.</derivirana_varijabla>
  </DomainObject.Predmet.ProtustrankaNazivFormated>
  <DomainObject.Predmet.ProtustrankaNazivFormatedOIB>
    <izvorni_sadrzaj>TEA  d.o.o., OIB 54395666364</izvorni_sadrzaj>
    <derivirana_varijabla naziv="DomainObject.Predmet.ProtustrankaNazivFormatedOIB_1">TEA  d.o.o., OIB 54395666364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TEA  d.o.o.</item>
    </izvorni_sadrzaj>
    <derivirana_varijabla naziv="DomainObject.Predmet.ProtuStrankaListFormated_1">
      <item>TEA  d.o.o.</item>
    </derivirana_varijabla>
  </DomainObject.Predmet.ProtuStrankaListFormated>
  <DomainObject.Predmet.ProtuStrankaListFormatedOIB>
    <izvorni_sadrzaj>
      <item>TEA  d.o.o., OIB 54395666364</item>
    </izvorni_sadrzaj>
    <derivirana_varijabla naziv="DomainObject.Predmet.ProtuStrankaListFormatedOIB_1">
      <item>TEA  d.o.o., OIB 54395666364</item>
    </derivirana_varijabla>
  </DomainObject.Predmet.ProtuStrankaListFormatedOIB>
  <DomainObject.Predmet.ProtuStrankaListFormatedWithAdress>
    <izvorni_sadrzaj>
      <item>TEA  d.o.o., Debanićeva 5, 10000 Zagreb</item>
    </izvorni_sadrzaj>
    <derivirana_varijabla naziv="DomainObject.Predmet.ProtuStrankaListFormatedWithAdress_1">
      <item>TEA  d.o.o., Debanićeva 5, 10000 Zagreb</item>
    </derivirana_varijabla>
  </DomainObject.Predmet.ProtuStrankaListFormatedWithAdress>
  <DomainObject.Predmet.ProtuStrankaListFormatedWithAdressOIB>
    <izvorni_sadrzaj>
      <item>TEA  d.o.o., OIB 54395666364, Debanićeva 5, 10000 Zagreb</item>
    </izvorni_sadrzaj>
    <derivirana_varijabla naziv="DomainObject.Predmet.ProtuStrankaListFormatedWithAdressOIB_1">
      <item>TEA  d.o.o., OIB 54395666364, Debanićeva 5, 10000 Zagreb</item>
    </derivirana_varijabla>
  </DomainObject.Predmet.ProtuStrankaListFormatedWithAdressOIB>
  <DomainObject.Predmet.ProtuStrankaListNazivFormated>
    <izvorni_sadrzaj>
      <item>TEA  d.o.o.</item>
    </izvorni_sadrzaj>
    <derivirana_varijabla naziv="DomainObject.Predmet.ProtuStrankaListNazivFormated_1">
      <item>TEA  d.o.o.</item>
    </derivirana_varijabla>
  </DomainObject.Predmet.ProtuStrankaListNazivFormated>
  <DomainObject.Predmet.ProtuStrankaListNazivFormatedOIB>
    <izvorni_sadrzaj>
      <item>TEA  d.o.o., OIB 54395666364</item>
    </izvorni_sadrzaj>
    <derivirana_varijabla naziv="DomainObject.Predmet.ProtuStrankaListNazivFormatedOIB_1">
      <item>TEA  d.o.o., OIB 54395666364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TEA  d.o.o.</izvorni_sadrzaj>
    <derivirana_varijabla naziv="DomainObject.Predmet.ProtustrankaIDrugi_1">TEA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TEA  d.o.o., OIB 54395666364, Debanićeva 5, 10000 Zagreb</izvorni_sadrzaj>
    <derivirana_varijabla naziv="DomainObject.Predmet.ProtustrankaIDrugiAdressOIB_1">TEA  d.o.o., OIB 54395666364, Debanićeva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TEA  d.o.o.</item>
    </izvorni_sadrzaj>
    <derivirana_varijabla naziv="DomainObject.Predmet.SudioniciListNaziv_1">
      <item>FINA Regionalni centar Zagreb</item>
      <item>TEA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TEA  d.o.o., OIB 54395666364, Debanićeva 5,10000 Zagreb</item>
    </izvorni_sadrzaj>
    <derivirana_varijabla naziv="DomainObject.Predmet.SudioniciListAdressOIB_1">
      <item>FINA Regionalni centar Zagreb, OIB 85821130368, Trg svibanjskih žrtava 1995. 1,10000 Zagreb</item>
      <item>TEA  d.o.o., OIB 54395666364, Debanićeva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54395666364</item>
    </izvorni_sadrzaj>
    <derivirana_varijabla naziv="DomainObject.Predmet.SudioniciListNazivOIB_1">
      <item>, OIB 85821130368</item>
      <item>, OIB 54395666364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356</properties:Words>
  <properties:Characters>1915</properties:Characters>
  <properties:Lines>87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2016-04-27T11:40:00Z</dcterms:created>
  <dc:creator>Lidija Klinčić</dc:creator>
  <cp:lastModifiedBy>Lidija Klinčić</cp:lastModifiedBy>
  <dcterms:modified xmlns:xsi="http://www.w3.org/2001/XMLSchema-instance" xsi:type="dcterms:W3CDTF">2016-04-27T11:44:00Z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