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D31F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D31FA" w:rsidP="008F5996" w:rsidR="00FD31F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D31FA" w:rsidP="008F5996" w:rsidR="00FD31F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d08b35" w14:paraId="bd08b35" w:rsidRDefault="006F5244" w:rsidP="00FD31FA" w:rsidR="006F524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</w:t>
      </w:r>
      <w:r w:rsidR="00263966">
        <w:rPr>
          <w:rFonts w:hAnsi="Times New Roman" w:ascii="Times New Roman"/>
          <w:sz w:val="24"/>
          <w:szCs w:val="24"/>
        </w:rPr>
        <w:t>pn</w:t>
      </w:r>
      <w:r w:rsidRPr="00AD04CF">
        <w:rPr>
          <w:rFonts w:hAnsi="Times New Roman" w:ascii="Times New Roman"/>
          <w:sz w:val="24"/>
          <w:szCs w:val="24"/>
        </w:rPr>
        <w:t>-</w:t>
      </w:r>
      <w:r w:rsidR="00263966">
        <w:rPr>
          <w:rFonts w:hAnsi="Times New Roman" w:ascii="Times New Roman"/>
          <w:sz w:val="24"/>
          <w:szCs w:val="24"/>
        </w:rPr>
        <w:t>247/15</w:t>
      </w:r>
      <w:r w:rsidR="00106BFA">
        <w:rPr>
          <w:rFonts w:hAnsi="Times New Roman" w:ascii="Times New Roman"/>
          <w:sz w:val="24"/>
          <w:szCs w:val="24"/>
        </w:rPr>
        <w:t>-4</w:t>
      </w:r>
    </w:p>
    <w:p w:rsidRDefault="00FD31FA" w:rsidP="00FD31FA" w:rsidR="00FD31FA">
      <w:pPr>
        <w:jc w:val="right"/>
        <w:rPr>
          <w:rFonts w:hAnsi="Times New Roman" w:ascii="Times New Roman"/>
          <w:sz w:val="24"/>
          <w:szCs w:val="24"/>
        </w:rPr>
      </w:pPr>
    </w:p>
    <w:p w:rsidRDefault="00FD31FA" w:rsidP="006F5244" w:rsidR="00FD31FA" w:rsidRPr="00AD04CF">
      <w:pPr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E </w:t>
      </w:r>
      <w:r w:rsidR="00FD31FA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H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263966" w:rsidR="00CB4B49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</w:t>
      </w:r>
      <w:r w:rsidR="00FD31FA">
        <w:rPr>
          <w:rFonts w:hAnsi="Times New Roman" w:ascii="Times New Roman"/>
          <w:sz w:val="24"/>
          <w:szCs w:val="24"/>
        </w:rPr>
        <w:t>predstečajnom postupku na</w:t>
      </w:r>
      <w:r w:rsidRPr="00AD04CF">
        <w:rPr>
          <w:rFonts w:hAnsi="Times New Roman" w:ascii="Times New Roman"/>
          <w:sz w:val="24"/>
          <w:szCs w:val="24"/>
        </w:rPr>
        <w:t>d dužnikom</w:t>
      </w:r>
      <w:r w:rsidR="00FD31FA">
        <w:rPr>
          <w:rFonts w:hAnsi="Times New Roman" w:ascii="Times New Roman"/>
          <w:sz w:val="24"/>
          <w:szCs w:val="24"/>
        </w:rPr>
        <w:t xml:space="preserve"> </w:t>
      </w:r>
      <w:r w:rsidR="00263966">
        <w:rPr>
          <w:rFonts w:hAnsi="Times New Roman" w:ascii="Times New Roman"/>
          <w:sz w:val="24"/>
          <w:szCs w:val="24"/>
        </w:rPr>
        <w:t xml:space="preserve">COMAX j.d.o.o. Dugo Selo, Omladinska 5, OIB: 17062110062, kojega zastupa zakonska zastupnica Natalija Barišić, direktorica društva, </w:t>
      </w:r>
      <w:r w:rsidR="00CB4B49">
        <w:rPr>
          <w:rFonts w:hAnsi="Times New Roman" w:ascii="Times New Roman"/>
          <w:sz w:val="24"/>
          <w:szCs w:val="24"/>
        </w:rPr>
        <w:t xml:space="preserve">pokrenutom na </w:t>
      </w:r>
      <w:r w:rsidR="00263966">
        <w:rPr>
          <w:rFonts w:hAnsi="Times New Roman" w:ascii="Times New Roman"/>
          <w:sz w:val="24"/>
          <w:szCs w:val="24"/>
        </w:rPr>
        <w:t xml:space="preserve">vlastiti </w:t>
      </w:r>
      <w:r w:rsidR="00CB4B49">
        <w:rPr>
          <w:rFonts w:hAnsi="Times New Roman" w:ascii="Times New Roman"/>
          <w:sz w:val="24"/>
          <w:szCs w:val="24"/>
        </w:rPr>
        <w:t>prijedlog</w:t>
      </w:r>
      <w:r w:rsidR="00263966">
        <w:rPr>
          <w:rFonts w:hAnsi="Times New Roman" w:ascii="Times New Roman"/>
          <w:sz w:val="24"/>
          <w:szCs w:val="24"/>
        </w:rPr>
        <w:t xml:space="preserve">, 16. studenoga </w:t>
      </w:r>
      <w:r w:rsidR="00CB4B49">
        <w:rPr>
          <w:rFonts w:hAnsi="Times New Roman" w:ascii="Times New Roman"/>
          <w:sz w:val="24"/>
          <w:szCs w:val="24"/>
        </w:rPr>
        <w:t>2015.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FD31FA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263966">
        <w:rPr>
          <w:rFonts w:hAnsi="Times New Roman" w:ascii="Times New Roman"/>
          <w:sz w:val="24"/>
          <w:szCs w:val="24"/>
        </w:rPr>
        <w:tab/>
        <w:t xml:space="preserve">Prijedlog dužnika COMAX j.d.o.o. Dugo Selo, Omladinska 5, OIB: 17062110062 za otvaranjem (skraćenog) postupka predstečajne nagodbe se odbacuje.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B21005" w:rsidP="00835E0E" w:rsidR="00B21005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B21005" w:rsidP="00835E0E" w:rsidR="00B21005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FD31FA" w:rsidR="0094789D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263966">
        <w:rPr>
          <w:rFonts w:hAnsi="Times New Roman" w:ascii="Times New Roman"/>
          <w:sz w:val="24"/>
          <w:szCs w:val="24"/>
        </w:rPr>
        <w:t xml:space="preserve">Dužnik je </w:t>
      </w:r>
      <w:r w:rsidR="00F35358">
        <w:rPr>
          <w:rFonts w:hAnsi="Times New Roman" w:ascii="Times New Roman"/>
          <w:sz w:val="24"/>
          <w:szCs w:val="24"/>
        </w:rPr>
        <w:t xml:space="preserve">dana 10. studenoga 2015. ovome sudu </w:t>
      </w:r>
      <w:r w:rsidR="00263966">
        <w:rPr>
          <w:rFonts w:hAnsi="Times New Roman" w:ascii="Times New Roman"/>
          <w:sz w:val="24"/>
          <w:szCs w:val="24"/>
        </w:rPr>
        <w:t xml:space="preserve">podnio prijedlog za otvaranjem skraćenog postupka predstečajne nagodbe na obrascu koji se koristio prema odredbama Zakona o financijskom poslovanju i predstečajnoj nagodbi (NN 108/12, </w:t>
      </w:r>
      <w:r w:rsidR="00F35358">
        <w:rPr>
          <w:rFonts w:hAnsi="Times New Roman" w:ascii="Times New Roman"/>
          <w:sz w:val="24"/>
          <w:szCs w:val="24"/>
        </w:rPr>
        <w:t xml:space="preserve">81/13 i </w:t>
      </w:r>
      <w:r w:rsidR="00263966">
        <w:rPr>
          <w:rFonts w:hAnsi="Times New Roman" w:ascii="Times New Roman"/>
          <w:sz w:val="24"/>
          <w:szCs w:val="24"/>
        </w:rPr>
        <w:t>112/13</w:t>
      </w:r>
      <w:r w:rsidR="00F35358">
        <w:rPr>
          <w:rFonts w:hAnsi="Times New Roman" w:ascii="Times New Roman"/>
          <w:sz w:val="24"/>
          <w:szCs w:val="24"/>
        </w:rPr>
        <w:t>) i kojim se taj postupak provodio pred Financijskom agencijom.</w:t>
      </w:r>
    </w:p>
    <w:p w:rsidRDefault="00F35358" w:rsidP="00FD31FA" w:rsidR="00F35358">
      <w:pPr>
        <w:jc w:val="both"/>
        <w:rPr>
          <w:rFonts w:hAnsi="Times New Roman" w:ascii="Times New Roman"/>
          <w:sz w:val="24"/>
          <w:szCs w:val="24"/>
        </w:rPr>
      </w:pPr>
    </w:p>
    <w:p w:rsidRDefault="00F35358" w:rsidP="00FD31FA" w:rsidR="00F3535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da je prijedlog podnesen 10. studenoga 2015., za ovaj postupak imaju se primijeniti odredbe novog Stečajnog zakona, objavljenog u Narodnim novinama broj 71/15 koji je stupio na snagu 1. rujna 2015.</w:t>
      </w:r>
    </w:p>
    <w:p w:rsidRDefault="00F35358" w:rsidP="00FD31FA" w:rsidR="00F35358">
      <w:pPr>
        <w:jc w:val="both"/>
        <w:rPr>
          <w:rFonts w:hAnsi="Times New Roman" w:ascii="Times New Roman"/>
          <w:sz w:val="24"/>
          <w:szCs w:val="24"/>
        </w:rPr>
      </w:pPr>
    </w:p>
    <w:p w:rsidRDefault="00F35358" w:rsidP="00FD31FA" w:rsidR="00F3535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Taj zakon, prvenstveno, ne poznaje više "skraćeni" postupak predstečajne nagodbe, već se svi postupci provode po jedinstvenim pravilima, sukladno Glavi II. Stečajnog zakona (NN 71815; nastavno: SZ).</w:t>
      </w:r>
    </w:p>
    <w:p w:rsidRDefault="00F35358" w:rsidP="00FD31FA" w:rsidR="00F35358">
      <w:pPr>
        <w:jc w:val="both"/>
        <w:rPr>
          <w:rFonts w:hAnsi="Times New Roman" w:ascii="Times New Roman"/>
          <w:sz w:val="24"/>
          <w:szCs w:val="24"/>
        </w:rPr>
      </w:pPr>
    </w:p>
    <w:p w:rsidRDefault="00F35358" w:rsidP="00F35358" w:rsidR="00F35358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Nadalje, prema odredbi članka 13. stavak 1. i 2. SZ u</w:t>
      </w:r>
      <w:r w:rsidRPr="00F35358">
        <w:rPr>
          <w:rFonts w:hAnsi="Times New Roman" w:ascii="Times New Roman"/>
          <w:sz w:val="24"/>
          <w:szCs w:val="24"/>
        </w:rPr>
        <w:t xml:space="preserve"> predstečajnom i stečajnom postupku podnesci se podnose na propisanim obrascima, </w:t>
      </w:r>
      <w:r>
        <w:rPr>
          <w:rFonts w:hAnsi="Times New Roman" w:ascii="Times New Roman"/>
          <w:sz w:val="24"/>
          <w:szCs w:val="24"/>
        </w:rPr>
        <w:t xml:space="preserve">ako je to ovim Zakonom određeno. </w:t>
      </w:r>
      <w:r w:rsidRPr="00F35358">
        <w:rPr>
          <w:rFonts w:hAnsi="Times New Roman" w:ascii="Times New Roman"/>
          <w:sz w:val="24"/>
          <w:szCs w:val="24"/>
        </w:rPr>
        <w:t xml:space="preserve">Sadržaj i oblik obrazaca iz stavka 1. </w:t>
      </w:r>
      <w:r>
        <w:rPr>
          <w:rFonts w:hAnsi="Times New Roman" w:ascii="Times New Roman"/>
          <w:sz w:val="24"/>
          <w:szCs w:val="24"/>
        </w:rPr>
        <w:t>toga</w:t>
      </w:r>
      <w:r w:rsidRPr="00F35358">
        <w:rPr>
          <w:rFonts w:hAnsi="Times New Roman" w:ascii="Times New Roman"/>
          <w:sz w:val="24"/>
          <w:szCs w:val="24"/>
        </w:rPr>
        <w:t xml:space="preserve"> članka propisat će pravilnikom ministar nadležan za poslove pravosuđa.</w:t>
      </w:r>
      <w:r>
        <w:rPr>
          <w:rFonts w:hAnsi="Times New Roman" w:ascii="Times New Roman"/>
          <w:sz w:val="24"/>
          <w:szCs w:val="24"/>
        </w:rPr>
        <w:t xml:space="preserve"> Pravilnik o </w:t>
      </w:r>
      <w:r>
        <w:rPr>
          <w:rFonts w:hAnsi="Times New Roman" w:ascii="Times New Roman"/>
          <w:bCs/>
          <w:sz w:val="24"/>
          <w:szCs w:val="24"/>
        </w:rPr>
        <w:t xml:space="preserve">sadržaju i obliku obrazaca na kojima se podnose podnesci u predstečajnom i stečajnom postupku objavljen je u Narodnim novinama broj 107/15. </w:t>
      </w:r>
    </w:p>
    <w:p w:rsidRDefault="00F35358" w:rsidP="00F35358" w:rsidR="00F35358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F35358" w:rsidP="00F35358" w:rsidR="00F35358" w:rsidRPr="00F35358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Prijedlog za otvaranje postupka predstečajne nagodbe koji je podnio dužnik nije podnesen na pr</w:t>
      </w:r>
      <w:r w:rsidR="00B21005">
        <w:rPr>
          <w:rFonts w:hAnsi="Times New Roman" w:ascii="Times New Roman"/>
          <w:bCs/>
          <w:sz w:val="24"/>
          <w:szCs w:val="24"/>
        </w:rPr>
        <w:t xml:space="preserve">opisanom obrascu (Obrazac 1), stoga je takav prijedlog sukladno članku 13. </w:t>
      </w:r>
      <w:r w:rsidR="00B21005">
        <w:rPr>
          <w:rFonts w:hAnsi="Times New Roman" w:ascii="Times New Roman"/>
          <w:bCs/>
          <w:sz w:val="24"/>
          <w:szCs w:val="24"/>
        </w:rPr>
        <w:lastRenderedPageBreak/>
        <w:t>stavak 4. SZ valjalo odbaciti kao nedopušten, kako je to odlučeno izrekom ovog rješenja.</w:t>
      </w:r>
      <w:r>
        <w:rPr>
          <w:rFonts w:hAnsi="Times New Roman" w:ascii="Times New Roman"/>
          <w:bCs/>
          <w:sz w:val="24"/>
          <w:szCs w:val="24"/>
        </w:rPr>
        <w:tab/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B21005">
        <w:rPr>
          <w:rFonts w:hAnsi="Times New Roman" w:ascii="Times New Roman"/>
          <w:sz w:val="24"/>
          <w:szCs w:val="24"/>
        </w:rPr>
        <w:t xml:space="preserve">16. studenoga </w:t>
      </w:r>
      <w:r w:rsidR="00CB4B49">
        <w:rPr>
          <w:rFonts w:hAnsi="Times New Roman" w:ascii="Times New Roman"/>
          <w:sz w:val="24"/>
          <w:szCs w:val="24"/>
        </w:rPr>
        <w:t>2015.</w:t>
      </w:r>
    </w:p>
    <w:p w:rsidRDefault="00106BFA" w:rsidP="00835E0E" w:rsidR="00106BFA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CB4B49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106BFA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FD31FA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rješenja </w:t>
      </w:r>
      <w:r w:rsidR="00835E0E" w:rsidRPr="00AD04CF">
        <w:rPr>
          <w:rFonts w:hAnsi="Times New Roman" w:ascii="Times New Roman"/>
          <w:sz w:val="24"/>
          <w:szCs w:val="24"/>
        </w:rPr>
        <w:t xml:space="preserve">dopuštena je žalba </w:t>
      </w:r>
      <w:r>
        <w:rPr>
          <w:rFonts w:hAnsi="Times New Roman" w:ascii="Times New Roman"/>
          <w:sz w:val="24"/>
          <w:szCs w:val="24"/>
        </w:rPr>
        <w:t xml:space="preserve">koja se podnosi ovome sudu u roku od osam dana, u tri primjerka. 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FD31FA" w:rsidP="00835E0E" w:rsidR="00FD31FA">
      <w:pPr>
        <w:jc w:val="both"/>
        <w:rPr>
          <w:rFonts w:hAnsi="Times New Roman" w:ascii="Times New Roman"/>
          <w:sz w:val="24"/>
          <w:szCs w:val="24"/>
        </w:rPr>
      </w:pPr>
    </w:p>
    <w:p w:rsidRDefault="00106BFA" w:rsidP="00835E0E" w:rsidR="00106BF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106BFA" w:rsidP="00835E0E" w:rsidR="00106BFA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106BFA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06BFA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FD31FA" w:rsidP="00835E0E" w:rsidR="00FD31FA" w:rsidRPr="00106BFA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06BFA">
        <w:rPr>
          <w:rFonts w:hAnsi="Times New Roman" w:ascii="Times New Roman"/>
          <w:color w:themeColor="background1" w:val="FFFFFF"/>
          <w:sz w:val="24"/>
          <w:szCs w:val="24"/>
        </w:rPr>
        <w:t>Predlagatelju:</w:t>
      </w:r>
      <w:r w:rsidR="00B21005" w:rsidRPr="00106BFA">
        <w:rPr>
          <w:rFonts w:hAnsi="Times New Roman" w:ascii="Times New Roman"/>
          <w:color w:themeColor="background1" w:val="FFFFFF"/>
          <w:sz w:val="24"/>
          <w:szCs w:val="24"/>
        </w:rPr>
        <w:t xml:space="preserve"> COMAX j.d.o.o. Dugo Selo (Grad Dugo Selo), Omladinska 5</w:t>
      </w:r>
    </w:p>
    <w:p w:rsidRDefault="00FD31FA" w:rsidP="001B1120" w:rsidR="0029479C" w:rsidRPr="00106BFA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106BFA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106BFA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FD31FA" w:rsidP="00FD31FA" w:rsidR="00FD31FA" w:rsidRPr="00106BFA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D31FA" w:rsidP="00FD31FA" w:rsidR="00FD31FA" w:rsidRPr="00106BFA">
      <w:pPr>
        <w:jc w:val="both"/>
        <w:rPr>
          <w:rFonts w:hAnsi="Times New Roman" w:ascii="Times New Roman"/>
          <w:color w:themeColor="background1" w:val="FFFFFF"/>
        </w:rPr>
      </w:pPr>
      <w:r w:rsidRPr="00106BFA">
        <w:rPr>
          <w:rFonts w:hAnsi="Times New Roman" w:ascii="Times New Roman"/>
          <w:color w:themeColor="background1" w:val="FFFFFF"/>
        </w:rPr>
        <w:t>NK:</w:t>
      </w:r>
    </w:p>
    <w:p w:rsidRDefault="00FD31FA" w:rsidP="00FD31FA" w:rsidR="00FD31FA" w:rsidRPr="00106BFA">
      <w:pPr>
        <w:jc w:val="both"/>
        <w:rPr>
          <w:rFonts w:hAnsi="Times New Roman" w:ascii="Times New Roman"/>
          <w:color w:themeColor="background1" w:val="FFFFFF"/>
        </w:rPr>
      </w:pPr>
      <w:r w:rsidRPr="00106BFA">
        <w:rPr>
          <w:rFonts w:hAnsi="Times New Roman" w:ascii="Times New Roman"/>
          <w:color w:themeColor="background1" w:val="FFFFFF"/>
        </w:rPr>
        <w:t>1. Nepravomoćno</w:t>
      </w:r>
    </w:p>
    <w:p w:rsidRDefault="00FD31FA" w:rsidP="00FD31FA" w:rsidR="00FD31FA" w:rsidRPr="00106BFA">
      <w:pPr>
        <w:jc w:val="both"/>
        <w:rPr>
          <w:rFonts w:hAnsi="Times New Roman" w:ascii="Times New Roman"/>
          <w:color w:themeColor="background1" w:val="FFFFFF"/>
        </w:rPr>
      </w:pPr>
      <w:r w:rsidRPr="00106BFA">
        <w:rPr>
          <w:rFonts w:hAnsi="Times New Roman" w:ascii="Times New Roman"/>
          <w:color w:themeColor="background1" w:val="FFFFFF"/>
        </w:rPr>
        <w:t>2. kal. 20 d.</w:t>
      </w:r>
    </w:p>
    <w:p w:rsidRDefault="00FD31FA" w:rsidP="00FD31FA" w:rsidR="00FD31FA" w:rsidRPr="00106BFA">
      <w:pPr>
        <w:jc w:val="both"/>
        <w:rPr>
          <w:rFonts w:hAnsi="Times New Roman" w:ascii="Times New Roman"/>
          <w:color w:themeColor="background1" w:val="FFFFFF"/>
        </w:rPr>
      </w:pPr>
    </w:p>
    <w:p w:rsidRDefault="00FD31FA" w:rsidP="00FD31FA" w:rsidR="00FD31FA" w:rsidRPr="00106BFA">
      <w:pPr>
        <w:jc w:val="both"/>
        <w:rPr>
          <w:rFonts w:hAnsi="Times New Roman" w:ascii="Times New Roman"/>
          <w:color w:themeColor="background1" w:val="FFFFFF"/>
        </w:rPr>
      </w:pPr>
      <w:r w:rsidRPr="00106BFA">
        <w:rPr>
          <w:rFonts w:hAnsi="Times New Roman" w:ascii="Times New Roman"/>
          <w:color w:themeColor="background1" w:val="FFFFFF"/>
        </w:rPr>
        <w:t xml:space="preserve">         Z, </w:t>
      </w:r>
      <w:r w:rsidRPr="00106BFA">
        <w:rPr>
          <w:rFonts w:hAnsi="Times New Roman" w:ascii="Times New Roman"/>
          <w:color w:themeColor="background1" w:val="FFFFFF"/>
        </w:rPr>
        <w:fldChar w:fldCharType="begin"/>
      </w:r>
      <w:r w:rsidRPr="00106BFA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106BFA">
        <w:rPr>
          <w:rFonts w:hAnsi="Times New Roman" w:ascii="Times New Roman"/>
          <w:color w:themeColor="background1" w:val="FFFFFF"/>
        </w:rPr>
        <w:fldChar w:fldCharType="separate"/>
      </w:r>
      <w:r w:rsidR="00F751E1">
        <w:rPr>
          <w:rFonts w:hAnsi="Times New Roman" w:ascii="Times New Roman"/>
          <w:noProof/>
          <w:color w:themeColor="background1" w:val="FFFFFF"/>
        </w:rPr>
        <w:t>17.11.15.</w:t>
      </w:r>
      <w:r w:rsidRPr="00106BFA">
        <w:rPr>
          <w:rFonts w:hAnsi="Times New Roman" w:ascii="Times New Roman"/>
          <w:color w:themeColor="background1" w:val="FFFFFF"/>
        </w:rPr>
        <w:fldChar w:fldCharType="end"/>
      </w:r>
      <w:r w:rsidRPr="00106BFA">
        <w:rPr>
          <w:rFonts w:hAnsi="Times New Roman" w:ascii="Times New Roman"/>
          <w:color w:themeColor="background1" w:val="FFFFFF"/>
        </w:rPr>
        <w:t xml:space="preserve">   Sudac:</w:t>
      </w:r>
    </w:p>
    <w:sectPr w:rsidSect="00FD31FA" w:rsidR="00FD31FA" w:rsidRPr="00106BF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BC2" w:rsidR="005D6BC2">
      <w:r>
        <w:separator/>
      </w:r>
    </w:p>
  </w:endnote>
  <w:endnote w:id="0" w:type="continuationSeparator">
    <w:p w:rsidRDefault="005D6BC2" w:rsidR="005D6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BC2" w:rsidR="005D6BC2">
      <w:r>
        <w:separator/>
      </w:r>
    </w:p>
  </w:footnote>
  <w:footnote w:id="0" w:type="continuationSeparator">
    <w:p w:rsidRDefault="005D6BC2" w:rsidR="005D6B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F751E1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B21005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B21005">
      <w:rPr>
        <w:rFonts w:hAnsi="Times New Roman" w:ascii="Times New Roman"/>
      </w:rPr>
      <w:t>247/15</w:t>
    </w:r>
    <w:r w:rsidR="00106BFA">
      <w:rPr>
        <w:rFonts w:hAnsi="Times New Roman" w:ascii="Times New Roman"/>
      </w:rPr>
      <w:t>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BD1"/>
    <w:rsid w:val="00020BA4"/>
    <w:rsid w:val="00032919"/>
    <w:rsid w:val="0006417A"/>
    <w:rsid w:val="0006505A"/>
    <w:rsid w:val="00071D41"/>
    <w:rsid w:val="00082920"/>
    <w:rsid w:val="000F17DB"/>
    <w:rsid w:val="00106BFA"/>
    <w:rsid w:val="001B1120"/>
    <w:rsid w:val="001E4E5F"/>
    <w:rsid w:val="0022309E"/>
    <w:rsid w:val="00235AAE"/>
    <w:rsid w:val="00263966"/>
    <w:rsid w:val="00281E63"/>
    <w:rsid w:val="0028293E"/>
    <w:rsid w:val="0029479C"/>
    <w:rsid w:val="002D205C"/>
    <w:rsid w:val="002E06D4"/>
    <w:rsid w:val="00320107"/>
    <w:rsid w:val="00326DC7"/>
    <w:rsid w:val="003423A6"/>
    <w:rsid w:val="0036341C"/>
    <w:rsid w:val="00364979"/>
    <w:rsid w:val="00366457"/>
    <w:rsid w:val="003C0BD1"/>
    <w:rsid w:val="003C6959"/>
    <w:rsid w:val="003D787F"/>
    <w:rsid w:val="003E0B5A"/>
    <w:rsid w:val="003E367D"/>
    <w:rsid w:val="004155FA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6BC2"/>
    <w:rsid w:val="005D761C"/>
    <w:rsid w:val="00607B4B"/>
    <w:rsid w:val="006100D5"/>
    <w:rsid w:val="006235E3"/>
    <w:rsid w:val="006824AB"/>
    <w:rsid w:val="006E69A4"/>
    <w:rsid w:val="006F5244"/>
    <w:rsid w:val="00727277"/>
    <w:rsid w:val="007519B3"/>
    <w:rsid w:val="00764AEE"/>
    <w:rsid w:val="007C422F"/>
    <w:rsid w:val="007E4665"/>
    <w:rsid w:val="007F2918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B21005"/>
    <w:rsid w:val="00B34CEC"/>
    <w:rsid w:val="00B70980"/>
    <w:rsid w:val="00BA282E"/>
    <w:rsid w:val="00C04421"/>
    <w:rsid w:val="00C40EA5"/>
    <w:rsid w:val="00C83AC2"/>
    <w:rsid w:val="00C85527"/>
    <w:rsid w:val="00CA22FE"/>
    <w:rsid w:val="00CB4B49"/>
    <w:rsid w:val="00CD0C67"/>
    <w:rsid w:val="00CD14E5"/>
    <w:rsid w:val="00CE6259"/>
    <w:rsid w:val="00D12600"/>
    <w:rsid w:val="00D35AC6"/>
    <w:rsid w:val="00D373D4"/>
    <w:rsid w:val="00D575FC"/>
    <w:rsid w:val="00D74871"/>
    <w:rsid w:val="00DA0460"/>
    <w:rsid w:val="00E107B5"/>
    <w:rsid w:val="00EA1205"/>
    <w:rsid w:val="00EC6731"/>
    <w:rsid w:val="00F206F2"/>
    <w:rsid w:val="00F35358"/>
    <w:rsid w:val="00F60FAE"/>
    <w:rsid w:val="00F751E1"/>
    <w:rsid w:val="00F849E3"/>
    <w:rsid w:val="00FA7868"/>
    <w:rsid w:val="00FB64FF"/>
    <w:rsid w:val="00FD2099"/>
    <w:rsid w:val="00FD31FA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1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5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1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1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1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1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FD31F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1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5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1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1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1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1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Stpn-247/2015</izvorni_sadrzaj>
    <derivirana_varijabla naziv="DomainObject.Predmet.OznakaBroj_1">Stpn-247/2015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COMAX j.d.o.o.</izvorni_sadrzaj>
    <derivirana_varijabla naziv="DomainObject.Predmet.ProtustrankaFormated_1">  COMAX j.d.o.o.</derivirana_varijabla>
  </DomainObject.Predmet.ProtustrankaFormated>
  <DomainObject.Predmet.ProtustrankaFormatedOIB>
    <izvorni_sadrzaj>  COMAX j.d.o.o., OIB 17062110062</izvorni_sadrzaj>
    <derivirana_varijabla naziv="DomainObject.Predmet.ProtustrankaFormatedOIB_1">  COMAX j.d.o.o., OIB 17062110062</derivirana_varijabla>
  </DomainObject.Predmet.ProtustrankaFormatedOIB>
  <DomainObject.Predmet.ProtustrankaFormatedWithAdress>
    <izvorni_sadrzaj> COMAX j.d.o.o., Omladinska 5, 10370 Dugo Selo</izvorni_sadrzaj>
    <derivirana_varijabla naziv="DomainObject.Predmet.ProtustrankaFormatedWithAdress_1"> COMAX j.d.o.o., Omladinska 5, 10370 Dugo Selo</derivirana_varijabla>
  </DomainObject.Predmet.ProtustrankaFormatedWithAdress>
  <DomainObject.Predmet.ProtustrankaFormatedWithAdressOIB>
    <izvorni_sadrzaj> COMAX j.d.o.o., OIB 17062110062, Omladinska 5, 10370 Dugo Selo</izvorni_sadrzaj>
    <derivirana_varijabla naziv="DomainObject.Predmet.ProtustrankaFormatedWithAdressOIB_1"> COMAX j.d.o.o., OIB 17062110062, Omladinska 5, 10370 Dugo Selo</derivirana_varijabla>
  </DomainObject.Predmet.ProtustrankaFormatedWithAdressOIB>
  <DomainObject.Predmet.ProtustrankaWithAdress>
    <izvorni_sadrzaj>COMAX j.d.o.o. Omladinska 5, 10370 Dugo Selo</izvorni_sadrzaj>
    <derivirana_varijabla naziv="DomainObject.Predmet.ProtustrankaWithAdress_1">COMAX j.d.o.o. Omladinska 5, 10370 Dugo Selo</derivirana_varijabla>
  </DomainObject.Predmet.ProtustrankaWithAdress>
  <DomainObject.Predmet.ProtustrankaWithAdressOIB>
    <izvorni_sadrzaj>COMAX j.d.o.o., OIB 17062110062, Omladinska 5, 10370 Dugo Selo</izvorni_sadrzaj>
    <derivirana_varijabla naziv="DomainObject.Predmet.ProtustrankaWithAdressOIB_1">COMAX j.d.o.o., OIB 17062110062, Omladinska 5, 10370 Dugo Selo</derivirana_varijabla>
  </DomainObject.Predmet.ProtustrankaWithAdressOIB>
  <DomainObject.Predmet.ProtustrankaNazivFormated>
    <izvorni_sadrzaj>COMAX j.d.o.o.</izvorni_sadrzaj>
    <derivirana_varijabla naziv="DomainObject.Predmet.ProtustrankaNazivFormated_1">COMAX j.d.o.o.</derivirana_varijabla>
  </DomainObject.Predmet.ProtustrankaNazivFormated>
  <DomainObject.Predmet.ProtustrankaNazivFormatedOIB>
    <izvorni_sadrzaj>COMAX j.d.o.o., OIB 17062110062</izvorni_sadrzaj>
    <derivirana_varijabla naziv="DomainObject.Predmet.ProtustrankaNazivFormatedOIB_1">COMAX j.d.o.o., OIB 17062110062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COMAX j.d.o.o.</izvorni_sadrzaj>
    <derivirana_varijabla naziv="DomainObject.Predmet.StrankaFormated_1">  COMAX j.d.o.o.</derivirana_varijabla>
  </DomainObject.Predmet.StrankaFormated>
  <DomainObject.Predmet.StrankaFormatedOIB>
    <izvorni_sadrzaj>  COMAX j.d.o.o., OIB 17062110062</izvorni_sadrzaj>
    <derivirana_varijabla naziv="DomainObject.Predmet.StrankaFormatedOIB_1">  COMAX j.d.o.o., OIB 17062110062</derivirana_varijabla>
  </DomainObject.Predmet.StrankaFormatedOIB>
  <DomainObject.Predmet.StrankaFormatedWithAdress>
    <izvorni_sadrzaj> COMAX j.d.o.o., Omladinska 5, 10370 Dugo Selo</izvorni_sadrzaj>
    <derivirana_varijabla naziv="DomainObject.Predmet.StrankaFormatedWithAdress_1"> COMAX j.d.o.o., Omladinska 5, 10370 Dugo Selo</derivirana_varijabla>
  </DomainObject.Predmet.StrankaFormatedWithAdress>
  <DomainObject.Predmet.StrankaFormatedWithAdressOIB>
    <izvorni_sadrzaj> COMAX j.d.o.o., OIB 17062110062, Omladinska 5, 10370 Dugo Selo</izvorni_sadrzaj>
    <derivirana_varijabla naziv="DomainObject.Predmet.StrankaFormatedWithAdressOIB_1"> COMAX j.d.o.o., OIB 17062110062, Omladinska 5, 10370 Dugo Selo</derivirana_varijabla>
  </DomainObject.Predmet.StrankaFormatedWithAdressOIB>
  <DomainObject.Predmet.StrankaWithAdress>
    <izvorni_sadrzaj>COMAX j.d.o.o. Omladinska 5,10370 Dugo Selo</izvorni_sadrzaj>
    <derivirana_varijabla naziv="DomainObject.Predmet.StrankaWithAdress_1">COMAX j.d.o.o. Omladinska 5,10370 Dugo Selo</derivirana_varijabla>
  </DomainObject.Predmet.StrankaWithAdress>
  <DomainObject.Predmet.StrankaWithAdressOIB>
    <izvorni_sadrzaj>COMAX j.d.o.o., OIB 17062110062, Omladinska 5,10370 Dugo Selo</izvorni_sadrzaj>
    <derivirana_varijabla naziv="DomainObject.Predmet.StrankaWithAdressOIB_1">COMAX j.d.o.o., OIB 17062110062, Omladinska 5,10370 Dugo Selo</derivirana_varijabla>
  </DomainObject.Predmet.StrankaWithAdressOIB>
  <DomainObject.Predmet.StrankaNazivFormated>
    <izvorni_sadrzaj>COMAX j.d.o.o.</izvorni_sadrzaj>
    <derivirana_varijabla naziv="DomainObject.Predmet.StrankaNazivFormated_1">COMAX j.d.o.o.</derivirana_varijabla>
  </DomainObject.Predmet.StrankaNazivFormated>
  <DomainObject.Predmet.StrankaNazivFormatedOIB>
    <izvorni_sadrzaj>COMAX j.d.o.o., OIB 17062110062</izvorni_sadrzaj>
    <derivirana_varijabla naziv="DomainObject.Predmet.StrankaNazivFormatedOIB_1">COMAX j.d.o.o., OIB 17062110062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COMAX j.d.o.o.</item>
    </izvorni_sadrzaj>
    <derivirana_varijabla naziv="DomainObject.Predmet.StrankaListFormated_1">
      <item>COMAX j.d.o.o.</item>
    </derivirana_varijabla>
  </DomainObject.Predmet.StrankaListFormated>
  <DomainObject.Predmet.StrankaListFormatedOIB>
    <izvorni_sadrzaj>
      <item>COMAX j.d.o.o., OIB 17062110062</item>
    </izvorni_sadrzaj>
    <derivirana_varijabla naziv="DomainObject.Predmet.StrankaListFormatedOIB_1">
      <item>COMAX j.d.o.o., OIB 17062110062</item>
    </derivirana_varijabla>
  </DomainObject.Predmet.StrankaListFormatedOIB>
  <DomainObject.Predmet.StrankaListFormatedWithAdress>
    <izvorni_sadrzaj>
      <item>COMAX j.d.o.o., Omladinska 5, 10370 Dugo Selo</item>
    </izvorni_sadrzaj>
    <derivirana_varijabla naziv="DomainObject.Predmet.StrankaListFormatedWithAdress_1">
      <item>COMAX j.d.o.o., Omladinska 5, 10370 Dugo Selo</item>
    </derivirana_varijabla>
  </DomainObject.Predmet.StrankaListFormatedWithAdress>
  <DomainObject.Predmet.StrankaListFormatedWithAdressOIB>
    <izvorni_sadrzaj>
      <item>COMAX j.d.o.o., OIB 17062110062, Omladinska 5, 10370 Dugo Selo</item>
    </izvorni_sadrzaj>
    <derivirana_varijabla naziv="DomainObject.Predmet.StrankaListFormatedWithAdressOIB_1">
      <item>COMAX j.d.o.o., OIB 17062110062, Omladinska 5, 10370 Dugo Selo</item>
    </derivirana_varijabla>
  </DomainObject.Predmet.StrankaListFormatedWithAdressOIB>
  <DomainObject.Predmet.StrankaListNazivFormated>
    <izvorni_sadrzaj>
      <item>COMAX j.d.o.o.</item>
    </izvorni_sadrzaj>
    <derivirana_varijabla naziv="DomainObject.Predmet.StrankaListNazivFormated_1">
      <item>COMAX j.d.o.o.</item>
    </derivirana_varijabla>
  </DomainObject.Predmet.StrankaListNazivFormated>
  <DomainObject.Predmet.StrankaListNazivFormatedOIB>
    <izvorni_sadrzaj>
      <item>COMAX j.d.o.o., OIB 17062110062</item>
    </izvorni_sadrzaj>
    <derivirana_varijabla naziv="DomainObject.Predmet.StrankaListNazivFormatedOIB_1">
      <item>COMAX j.d.o.o., OIB 17062110062</item>
    </derivirana_varijabla>
  </DomainObject.Predmet.StrankaListNazivFormatedOIB>
  <DomainObject.Predmet.ProtuStrankaListFormated>
    <izvorni_sadrzaj>
      <item>COMAX j.d.o.o.</item>
    </izvorni_sadrzaj>
    <derivirana_varijabla naziv="DomainObject.Predmet.ProtuStrankaListFormated_1">
      <item>COMAX j.d.o.o.</item>
    </derivirana_varijabla>
  </DomainObject.Predmet.ProtuStrankaListFormated>
  <DomainObject.Predmet.ProtuStrankaListFormatedOIB>
    <izvorni_sadrzaj>
      <item>COMAX j.d.o.o., OIB 17062110062</item>
    </izvorni_sadrzaj>
    <derivirana_varijabla naziv="DomainObject.Predmet.ProtuStrankaListFormatedOIB_1">
      <item>COMAX j.d.o.o., OIB 17062110062</item>
    </derivirana_varijabla>
  </DomainObject.Predmet.ProtuStrankaListFormatedOIB>
  <DomainObject.Predmet.ProtuStrankaListFormatedWithAdress>
    <izvorni_sadrzaj>
      <item>COMAX j.d.o.o., Omladinska 5, 10370 Dugo Selo</item>
    </izvorni_sadrzaj>
    <derivirana_varijabla naziv="DomainObject.Predmet.ProtuStrankaListFormatedWithAdress_1">
      <item>COMAX j.d.o.o., Omladinska 5, 10370 Dugo Selo</item>
    </derivirana_varijabla>
  </DomainObject.Predmet.ProtuStrankaListFormatedWithAdress>
  <DomainObject.Predmet.ProtuStrankaListFormatedWithAdressOIB>
    <izvorni_sadrzaj>
      <item>COMAX j.d.o.o., OIB 17062110062, Omladinska 5, 10370 Dugo Selo</item>
    </izvorni_sadrzaj>
    <derivirana_varijabla naziv="DomainObject.Predmet.ProtuStrankaListFormatedWithAdressOIB_1">
      <item>COMAX j.d.o.o., OIB 17062110062, Omladinska 5, 10370 Dugo Selo</item>
    </derivirana_varijabla>
  </DomainObject.Predmet.ProtuStrankaListFormatedWithAdressOIB>
  <DomainObject.Predmet.ProtuStrankaListNazivFormated>
    <izvorni_sadrzaj>
      <item>COMAX j.d.o.o.</item>
    </izvorni_sadrzaj>
    <derivirana_varijabla naziv="DomainObject.Predmet.ProtuStrankaListNazivFormated_1">
      <item>COMAX j.d.o.o.</item>
    </derivirana_varijabla>
  </DomainObject.Predmet.ProtuStrankaListNazivFormated>
  <DomainObject.Predmet.ProtuStrankaListNazivFormatedOIB>
    <izvorni_sadrzaj>
      <item>COMAX j.d.o.o., OIB 17062110062</item>
    </izvorni_sadrzaj>
    <derivirana_varijabla naziv="DomainObject.Predmet.ProtuStrankaListNazivFormatedOIB_1">
      <item>COMAX j.d.o.o., OIB 17062110062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COMAX j.d.o.o.</izvorni_sadrzaj>
    <derivirana_varijabla naziv="DomainObject.Predmet.StrankaIDrugi_1">COMAX j.d.o.o.</derivirana_varijabla>
  </DomainObject.Predmet.StrankaIDrugi>
  <DomainObject.Predmet.ProtustrankaIDrugi>
    <izvorni_sadrzaj>COMAX j.d.o.o.</izvorni_sadrzaj>
    <derivirana_varijabla naziv="DomainObject.Predmet.ProtustrankaIDrugi_1">COMAX j.d.o.o.</derivirana_varijabla>
  </DomainObject.Predmet.ProtustrankaIDrugi>
  <DomainObject.Predmet.StrankaIDrugiAdressOIB>
    <izvorni_sadrzaj>COMAX j.d.o.o., OIB 17062110062, Omladinska 5, 10370 Dugo Selo</izvorni_sadrzaj>
    <derivirana_varijabla naziv="DomainObject.Predmet.StrankaIDrugiAdressOIB_1">COMAX j.d.o.o., OIB 17062110062, Omladinska 5, 10370 Dugo Selo</derivirana_varijabla>
  </DomainObject.Predmet.StrankaIDrugiAdressOIB>
  <DomainObject.Predmet.ProtustrankaIDrugiAdressOIB>
    <izvorni_sadrzaj>COMAX j.d.o.o., OIB 17062110062, Omladinska 5, 10370 Dugo Selo</izvorni_sadrzaj>
    <derivirana_varijabla naziv="DomainObject.Predmet.ProtustrankaIDrugiAdressOIB_1">COMAX j.d.o.o., OIB 17062110062, Omladinska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COMAX j.d.o.o.</item>
      <item>COMAX j.d.o.o.</item>
    </izvorni_sadrzaj>
    <derivirana_varijabla naziv="DomainObject.Predmet.SudioniciListNaziv_1">
      <item>COMAX j.d.o.o.</item>
      <item>COMAX j.d.o.o.</item>
    </derivirana_varijabla>
  </DomainObject.Predmet.SudioniciListNaziv>
  <DomainObject.Predmet.SudioniciListAdressOIB>
    <izvorni_sadrzaj>
      <item>COMAX j.d.o.o., OIB 17062110062, Omladinska 5,10370 Dugo Selo</item>
      <item>COMAX j.d.o.o., OIB 17062110062, Omladinska 5,10370 Dugo Selo</item>
    </izvorni_sadrzaj>
    <derivirana_varijabla naziv="DomainObject.Predmet.SudioniciListAdressOIB_1">
      <item>COMAX j.d.o.o., OIB 17062110062, Omladinska 5,10370 Dugo Selo</item>
      <item>COMAX j.d.o.o., OIB 17062110062, Omladinska 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17062110062</item>
      <item>, OIB 17062110062</item>
    </izvorni_sadrzaj>
    <derivirana_varijabla naziv="DomainObject.Predmet.SudioniciListNazivOIB_1">
      <item>, OIB 17062110062</item>
      <item>, OIB 17062110062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1996</properties:Characters>
  <properties:Lines>73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2015-11-17T07:11:00Z</dcterms:created>
  <dc:creator>Mihael Kovačić</dc:creator>
  <cp:lastModifiedBy>Sonja Pilić</cp:lastModifiedBy>
  <cp:lastPrinted>2015-11-17T07:14:00Z</cp:lastPrinted>
  <dcterms:modified xmlns:xsi="http://www.w3.org/2001/XMLSchema-instance" xsi:type="dcterms:W3CDTF">2015-11-17T07:16:00Z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