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fcb9" w14:paraId="064fcb9" w:rsidRDefault="002D02BB" w:rsidP="002D02BB" w:rsidR="002D02B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2BB" w:rsidP="002D02BB" w:rsidR="002D02BB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2BB" w:rsidP="002D02BB" w:rsidR="002D02B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stečajnom sucu Ivanu Vladiću,  odlučujući o  prijedlogu predlagatelja Financijske agencije, Regionalni centar Zagreb, za otvaranje stečajnog postupka nad dužnikom LUXECOMFORT j.d.o.o. Zagreb, Hribarov prilaz 6-A, OIB 46115134906, dana 13. veljače 2018.</w:t>
      </w:r>
    </w:p>
    <w:p w:rsidRDefault="002D02BB" w:rsidP="002D02BB" w:rsidR="002D02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2BB" w:rsidP="002D02BB" w:rsidR="002D02BB">
      <w:pPr>
        <w:jc w:val="both"/>
        <w:rPr>
          <w:rFonts w:hAnsi="Times New Roman" w:ascii="Times New Roman"/>
        </w:rPr>
      </w:pPr>
    </w:p>
    <w:p w:rsidRDefault="002D02BB" w:rsidP="002D02BB" w:rsidR="002D02B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2BB" w:rsidP="002D02BB" w:rsidR="002D02BB">
      <w:pPr>
        <w:jc w:val="both"/>
        <w:rPr>
          <w:rFonts w:hAnsi="Times New Roman" w:ascii="Times New Roman"/>
        </w:rPr>
      </w:pPr>
    </w:p>
    <w:p w:rsidRDefault="002D02BB" w:rsidP="002D02BB" w:rsidR="002D02BB">
      <w:pPr>
        <w:ind w:firstLine="708"/>
        <w:jc w:val="both"/>
        <w:rPr>
          <w:rFonts w:hAnsi="Times New Roman" w:ascii="Times New Roman"/>
        </w:rPr>
      </w:pPr>
    </w:p>
    <w:p w:rsidRDefault="002D02BB" w:rsidP="002D02BB" w:rsidR="002D02BB" w:rsidRPr="007367F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7367FF">
        <w:rPr>
          <w:rFonts w:hAnsi="Times New Roman" w:ascii="Times New Roman"/>
        </w:rPr>
        <w:t>Za privremenog stečajnog upravitelja imenu</w:t>
      </w:r>
      <w:r>
        <w:rPr>
          <w:rFonts w:hAnsi="Times New Roman" w:ascii="Times New Roman"/>
        </w:rPr>
        <w:t>je se VATROSLAV PLEJIĆ iz Zagreba, Kačićeva 9, OIB 75762425601.</w:t>
      </w:r>
    </w:p>
    <w:p w:rsidRDefault="002D02BB" w:rsidP="002D02BB" w:rsidR="002D02BB">
      <w:pPr>
        <w:jc w:val="both"/>
        <w:rPr>
          <w:rFonts w:hAnsi="Times New Roman" w:ascii="Times New Roman"/>
        </w:rPr>
      </w:pPr>
    </w:p>
    <w:p w:rsidRDefault="002D02BB" w:rsidP="002D02BB" w:rsidR="002D02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    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2D02BB" w:rsidP="002D02BB" w:rsidR="002D02BB">
      <w:pPr>
        <w:jc w:val="both"/>
        <w:rPr>
          <w:rFonts w:hAnsi="Times New Roman" w:ascii="Times New Roman"/>
        </w:rPr>
      </w:pPr>
    </w:p>
    <w:p w:rsidRDefault="002D02BB" w:rsidP="002D02BB" w:rsidR="002D02BB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     Privremeni stečajni upravitelj dužan je podnijeti izvješće o traženju u točci II. izreke rješenja u roku od 30 dana.  </w:t>
      </w: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Zagreb, podnijela je ovom sudu 24. kolovoza 2017. prijedlog za otvaranje stečajnog postupka nad dužnikom LUXECOMFORT j.d.o.o. Zagreb, Hribarov prilaz 6-A, OIB 46115134906.</w:t>
      </w:r>
    </w:p>
    <w:p w:rsidRDefault="002D02BB" w:rsidP="002D02BB" w:rsidR="002D02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St-2317/17 od 24. studenog 2017 pokrenut je prethodni postupak radi utvrđivanja uvjeta za otvaranje stečajnog postupka nad dužnikom LUXECOMFORT j.d.o.o. Zagreb, Hribarov prilaz 6-A, OIB 46115134906, a temeljem čl. 115. st. 1. SZ-a, a zakonski zastupnik dužnika nije dostavio prokazni popis imovine i nije pristupio na ročište radi utvrđivanja pretpostavki za otvaranje stečajnog postupka određeno za dan 13. veljače 2018.</w:t>
      </w:r>
    </w:p>
    <w:p w:rsidRDefault="002D02BB" w:rsidP="002D02BB" w:rsidR="002D02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Iz navoda predlagatelja proizlazi da dužnik u Očevidniku redoslijeda osnova za plaćanje na dan 21. kolovoza 2017. ima evidentirane neizvršene osnove za plaćanje u neprekinutom razdoblju od 120 dana u ukupnom iznosu od 49.541,77 kn te da ima 24 zaposlenika.</w:t>
      </w:r>
    </w:p>
    <w:p w:rsidRDefault="002D02BB" w:rsidP="002D02BB" w:rsidR="002D02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2D02BB" w:rsidP="002D02BB" w:rsidR="002D02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Izbor stečajno upravitelja obavljen je metodom slučajnog odabira s liste A stečajnog upravitelj temeljem čl. 84. st. 1. Stečajnog zakona.</w:t>
      </w:r>
    </w:p>
    <w:p w:rsidRDefault="002D02BB" w:rsidP="002D02BB" w:rsidR="002D02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13. veljače 2018. </w:t>
      </w:r>
    </w:p>
    <w:p w:rsidRDefault="002D02BB" w:rsidP="002D02BB" w:rsidR="002D02BB">
      <w:pPr>
        <w:ind w:firstLine="720"/>
        <w:jc w:val="both"/>
        <w:rPr>
          <w:rFonts w:hAnsi="Times New Roman" w:ascii="Times New Roman"/>
        </w:rPr>
      </w:pPr>
    </w:p>
    <w:p w:rsidRDefault="002D02BB" w:rsidP="002D02BB" w:rsidR="002D02BB">
      <w:pPr>
        <w:ind w:firstLine="720"/>
        <w:jc w:val="both"/>
        <w:rPr>
          <w:rFonts w:hAnsi="Times New Roman" w:ascii="Times New Roman"/>
        </w:rPr>
      </w:pPr>
    </w:p>
    <w:p w:rsidRDefault="002D02BB" w:rsidP="002D02BB" w:rsidR="002D02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2D02BB" w:rsidP="002D02BB" w:rsidR="002D02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 Vladić</w:t>
      </w:r>
      <w:r w:rsidR="0086618E">
        <w:rPr>
          <w:rFonts w:hAnsi="Times New Roman" w:ascii="Times New Roman"/>
        </w:rPr>
        <w:t>, v.r.</w:t>
      </w:r>
    </w:p>
    <w:p w:rsidRDefault="002D02BB" w:rsidP="002D02BB" w:rsidR="002D02BB">
      <w:pPr>
        <w:jc w:val="right"/>
        <w:rPr>
          <w:rFonts w:hAnsi="Times New Roman" w:ascii="Times New Roman"/>
        </w:rPr>
      </w:pPr>
    </w:p>
    <w:p w:rsidRDefault="002D02BB" w:rsidP="002D02BB" w:rsidR="002D02BB" w:rsidRPr="00B22578">
      <w:pPr>
        <w:jc w:val="both"/>
        <w:rPr>
          <w:rFonts w:hAnsi="Times New Roman" w:ascii="Times New Roman"/>
        </w:rPr>
      </w:pPr>
    </w:p>
    <w:p w:rsidRDefault="002D02BB" w:rsidP="002D02BB" w:rsidR="002D02BB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2D02BB" w:rsidP="002D02BB" w:rsidR="002D02BB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>
        <w:rPr>
          <w:rFonts w:hAnsi="Times New Roman" w:ascii="Times New Roman"/>
        </w:rPr>
        <w:t xml:space="preserve"> </w:t>
      </w:r>
    </w:p>
    <w:p w:rsidRDefault="002D02BB" w:rsidP="002D02BB" w:rsidR="002D02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86618E" w:rsidP="00E82D09" w:rsidR="0086618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</w:t>
      </w:r>
    </w:p>
    <w:p w:rsidRDefault="0086618E" w:rsidP="00E82D09" w:rsidR="0086618E" w:rsidRPr="00745AE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Monika Topolovec</w:t>
      </w:r>
    </w:p>
    <w:p w:rsidRDefault="002D02BB" w:rsidP="0086618E" w:rsidR="002D02BB" w:rsidRPr="0086618E">
      <w:pPr>
        <w:jc w:val="both"/>
        <w:rPr>
          <w:rFonts w:hAnsi="Times New Roman" w:ascii="Times New Roman"/>
        </w:rPr>
      </w:pPr>
    </w:p>
    <w:p w:rsidRDefault="002D02BB" w:rsidP="002D02BB" w:rsidR="002D02BB">
      <w:pPr>
        <w:jc w:val="both"/>
        <w:rPr>
          <w:rFonts w:hAnsi="Times New Roman" w:ascii="Times New Roman"/>
        </w:rPr>
      </w:pPr>
    </w:p>
    <w:p w:rsidRDefault="002D02BB" w:rsidP="002D02BB" w:rsidR="002D02BB">
      <w:pPr>
        <w:jc w:val="center"/>
        <w:rPr>
          <w:rFonts w:hAnsi="Times New Roman" w:ascii="Times New Roman"/>
        </w:rPr>
      </w:pPr>
    </w:p>
    <w:p w:rsidRDefault="002D02BB" w:rsidP="002D02BB" w:rsidR="002D02BB">
      <w:pPr>
        <w:jc w:val="right"/>
        <w:rPr>
          <w:rFonts w:hAnsi="Times New Roman" w:ascii="Times New Roman"/>
        </w:rPr>
      </w:pPr>
    </w:p>
    <w:p w:rsidRDefault="002D02BB" w:rsidP="002D02BB" w:rsidR="002D02BB">
      <w:pPr>
        <w:rPr>
          <w:rFonts w:hAnsi="Times New Roman" w:ascii="Times New Roman"/>
        </w:rPr>
      </w:pPr>
    </w:p>
    <w:p w:rsidRDefault="002D02BB" w:rsidP="002D02BB" w:rsidR="002D02BB"/>
    <w:p w:rsidRDefault="001717A4" w:rsidR="001717A4"/>
    <w:sectPr w:rsidSect="00296430" w:rsidR="001717A4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2BB" w:rsidP="002D02BB" w:rsidR="002D02BB">
      <w:r>
        <w:separator/>
      </w:r>
    </w:p>
  </w:endnote>
  <w:endnote w:id="0" w:type="continuationSeparator">
    <w:p w:rsidRDefault="002D02BB" w:rsidP="002D02BB" w:rsidR="002D0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2BB" w:rsidP="002D02BB" w:rsidR="002D02BB">
      <w:r>
        <w:separator/>
      </w:r>
    </w:p>
  </w:footnote>
  <w:footnote w:id="0" w:type="continuationSeparator">
    <w:p w:rsidRDefault="002D02BB" w:rsidP="002D02BB" w:rsidR="002D0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2D02BB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18E">
          <w:rPr>
            <w:noProof/>
          </w:rPr>
          <w:t>2</w:t>
        </w:r>
        <w:r>
          <w:fldChar w:fldCharType="end"/>
        </w:r>
      </w:p>
    </w:sdtContent>
  </w:sdt>
  <w:p w:rsidRDefault="002D02BB" w:rsidP="00E90DE4" w:rsidR="003301C5" w:rsidRPr="00E90DE4">
    <w:pPr>
      <w:pStyle w:val="Zaglavlje"/>
      <w:jc w:val="right"/>
      <w:rPr>
        <w:rFonts w:hAnsi="Times New Roman" w:ascii="Times New Roman"/>
        <w:b/>
      </w:rPr>
    </w:pPr>
    <w:r>
      <w:rPr>
        <w:rFonts w:hAnsi="Times New Roman" w:ascii="Times New Roman"/>
        <w:b/>
      </w:rPr>
      <w:t>28. St-2317/17</w:t>
    </w:r>
  </w:p>
  <w:p w:rsidRDefault="0086618E" w:rsidP="00E90DE4" w:rsidR="003301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493593"/>
      <w:docPartObj>
        <w:docPartGallery w:val="Page Numbers (Top of Page)"/>
        <w:docPartUnique/>
      </w:docPartObj>
    </w:sdtPr>
    <w:sdtEndPr/>
    <w:sdtContent>
      <w:p w:rsidRDefault="002D02BB" w:rsidR="00E90D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18E">
          <w:rPr>
            <w:noProof/>
          </w:rPr>
          <w:t>1</w:t>
        </w:r>
        <w:r>
          <w:fldChar w:fldCharType="end"/>
        </w:r>
      </w:p>
    </w:sdtContent>
  </w:sdt>
  <w:p w:rsidRDefault="002D02BB" w:rsidP="00E90DE4" w:rsidR="00E90DE4" w:rsidRPr="00E90DE4">
    <w:pPr>
      <w:pStyle w:val="Zaglavlje"/>
      <w:jc w:val="right"/>
      <w:rPr>
        <w:rFonts w:hAnsi="Times New Roman" w:ascii="Times New Roman"/>
        <w:b/>
      </w:rPr>
    </w:pPr>
    <w:r>
      <w:rPr>
        <w:rFonts w:hAnsi="Times New Roman" w:ascii="Times New Roman"/>
        <w:b/>
      </w:rPr>
      <w:t>28. St-2317/17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491E28"/>
    <w:multiLevelType w:val="hybridMultilevel"/>
    <w:tmpl w:val="7892ED32"/>
    <w:lvl w:tplc="2DAEBE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2BB"/>
    <w:rsid w:val="000C06B0"/>
    <w:rsid w:val="001717A4"/>
    <w:rsid w:val="001D3701"/>
    <w:rsid w:val="002C236F"/>
    <w:rsid w:val="002D02BB"/>
    <w:rsid w:val="003740C3"/>
    <w:rsid w:val="0086618E"/>
    <w:rsid w:val="00B8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2BB"/>
    <w:pPr>
      <w:spacing w:lineRule="auto" w:line="240" w:after="0"/>
    </w:pPr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02B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02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02BB"/>
    <w:rPr>
      <w:rFonts w:eastAsiaTheme="minorEastAsia" w:hAnsiTheme="minorHAnsi" w:asciiTheme="minorHAnsi" w:cs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2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2B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02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02BB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1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2BB"/>
    <w:pPr>
      <w:spacing w:after="0" w:line="240" w:lineRule="auto"/>
    </w:pPr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02B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02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02BB"/>
    <w:rPr>
      <w:rFonts w:asciiTheme="minorHAnsi" w:cs="Times New Roman" w:eastAsiaTheme="minorEastAsia" w:hAnsiTheme="minorHAnsi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2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2B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02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02BB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1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St-2317/2017</izvorni_sadrzaj>
    <derivirana_varijabla naziv="DomainObject.Predmet.OznakaBroj_1">St-2317/2017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LUXECOMFORT j.d.o.o.</izvorni_sadrzaj>
    <derivirana_varijabla naziv="DomainObject.Predmet.ProtustrankaFormated_1">  LUXECOMFORT j.d.o.o.</derivirana_varijabla>
  </DomainObject.Predmet.ProtustrankaFormated>
  <DomainObject.Predmet.ProtustrankaFormatedOIB>
    <izvorni_sadrzaj>  LUXECOMFORT j.d.o.o., OIB 46115134906</izvorni_sadrzaj>
    <derivirana_varijabla naziv="DomainObject.Predmet.ProtustrankaFormatedOIB_1">  LUXECOMFORT j.d.o.o., OIB 46115134906</derivirana_varijabla>
  </DomainObject.Predmet.ProtustrankaFormatedOIB>
  <DomainObject.Predmet.ProtustrankaFormatedWithAdress>
    <izvorni_sadrzaj> LUXECOMFORT j.d.o.o., Hribarov prilaz 6 A, 10000 Zagreb</izvorni_sadrzaj>
    <derivirana_varijabla naziv="DomainObject.Predmet.ProtustrankaFormatedWithAdress_1"> LUXECOMFORT j.d.o.o., Hribarov prilaz 6 A, 10000 Zagreb</derivirana_varijabla>
  </DomainObject.Predmet.ProtustrankaFormatedWithAdress>
  <DomainObject.Predmet.ProtustrankaFormatedWithAdressOIB>
    <izvorni_sadrzaj> LUXECOMFORT j.d.o.o., OIB 46115134906, Hribarov prilaz 6 A, 10000 Zagreb</izvorni_sadrzaj>
    <derivirana_varijabla naziv="DomainObject.Predmet.ProtustrankaFormatedWithAdressOIB_1"> LUXECOMFORT j.d.o.o., OIB 46115134906, Hribarov prilaz 6 A, 10000 Zagreb</derivirana_varijabla>
  </DomainObject.Predmet.ProtustrankaFormatedWithAdressOIB>
  <DomainObject.Predmet.ProtustrankaWithAdress>
    <izvorni_sadrzaj>LUXECOMFORT j.d.o.o. Hribarov prilaz 6 A, 10000 Zagreb</izvorni_sadrzaj>
    <derivirana_varijabla naziv="DomainObject.Predmet.ProtustrankaWithAdress_1">LUXECOMFORT j.d.o.o. Hribarov prilaz 6 A, 10000 Zagreb</derivirana_varijabla>
  </DomainObject.Predmet.ProtustrankaWithAdress>
  <DomainObject.Predmet.ProtustrankaWithAdressOIB>
    <izvorni_sadrzaj>LUXECOMFORT j.d.o.o., OIB 46115134906, Hribarov prilaz 6 A, 10000 Zagreb</izvorni_sadrzaj>
    <derivirana_varijabla naziv="DomainObject.Predmet.ProtustrankaWithAdressOIB_1">LUXECOMFORT j.d.o.o., OIB 46115134906, Hribarov prilaz 6 A, 10000 Zagreb</derivirana_varijabla>
  </DomainObject.Predmet.ProtustrankaWithAdressOIB>
  <DomainObject.Predmet.ProtustrankaNazivFormated>
    <izvorni_sadrzaj>LUXECOMFORT j.d.o.o.</izvorni_sadrzaj>
    <derivirana_varijabla naziv="DomainObject.Predmet.ProtustrankaNazivFormated_1">LUXECOMFORT j.d.o.o.</derivirana_varijabla>
  </DomainObject.Predmet.ProtustrankaNazivFormated>
  <DomainObject.Predmet.ProtustrankaNazivFormatedOIB>
    <izvorni_sadrzaj>LUXECOMFORT j.d.o.o., OIB 46115134906</izvorni_sadrzaj>
    <derivirana_varijabla naziv="DomainObject.Predmet.ProtustrankaNazivFormatedOIB_1">LUXECOMFORT j.d.o.o., OIB 46115134906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LUXECOMFORT j.d.o.o.</item>
    </izvorni_sadrzaj>
    <derivirana_varijabla naziv="DomainObject.Predmet.ProtuStrankaListFormated_1">
      <item>LUXECOMFORT j.d.o.o.</item>
    </derivirana_varijabla>
  </DomainObject.Predmet.ProtuStrankaListFormated>
  <DomainObject.Predmet.ProtuStrankaListFormatedOIB>
    <izvorni_sadrzaj>
      <item>LUXECOMFORT j.d.o.o., OIB 46115134906</item>
    </izvorni_sadrzaj>
    <derivirana_varijabla naziv="DomainObject.Predmet.ProtuStrankaListFormatedOIB_1">
      <item>LUXECOMFORT j.d.o.o., OIB 46115134906</item>
    </derivirana_varijabla>
  </DomainObject.Predmet.ProtuStrankaListFormatedOIB>
  <DomainObject.Predmet.ProtuStrankaListFormatedWithAdress>
    <izvorni_sadrzaj>
      <item>LUXECOMFORT j.d.o.o., Hribarov prilaz 6 A, 10000 Zagreb</item>
    </izvorni_sadrzaj>
    <derivirana_varijabla naziv="DomainObject.Predmet.ProtuStrankaListFormatedWithAdress_1">
      <item>LUXECOMFORT j.d.o.o., Hribarov prilaz 6 A, 10000 Zagreb</item>
    </derivirana_varijabla>
  </DomainObject.Predmet.ProtuStrankaListFormatedWithAdress>
  <DomainObject.Predmet.ProtuStrankaListFormatedWithAdressOIB>
    <izvorni_sadrzaj>
      <item>LUXECOMFORT j.d.o.o., OIB 46115134906, Hribarov prilaz 6 A, 10000 Zagreb</item>
    </izvorni_sadrzaj>
    <derivirana_varijabla naziv="DomainObject.Predmet.ProtuStrankaListFormatedWithAdressOIB_1">
      <item>LUXECOMFORT j.d.o.o., OIB 46115134906, Hribarov prilaz 6 A, 10000 Zagreb</item>
    </derivirana_varijabla>
  </DomainObject.Predmet.ProtuStrankaListFormatedWithAdressOIB>
  <DomainObject.Predmet.ProtuStrankaListNazivFormated>
    <izvorni_sadrzaj>
      <item>LUXECOMFORT j.d.o.o.</item>
    </izvorni_sadrzaj>
    <derivirana_varijabla naziv="DomainObject.Predmet.ProtuStrankaListNazivFormated_1">
      <item>LUXECOMFORT j.d.o.o.</item>
    </derivirana_varijabla>
  </DomainObject.Predmet.ProtuStrankaListNazivFormated>
  <DomainObject.Predmet.ProtuStrankaListNazivFormatedOIB>
    <izvorni_sadrzaj>
      <item>LUXECOMFORT j.d.o.o., OIB 46115134906</item>
    </izvorni_sadrzaj>
    <derivirana_varijabla naziv="DomainObject.Predmet.ProtuStrankaListNazivFormatedOIB_1">
      <item>LUXECOMFORT j.d.o.o., OIB 46115134906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LUXECOMFORT j.d.o.o.</izvorni_sadrzaj>
    <derivirana_varijabla naziv="DomainObject.Predmet.ProtustrankaIDrugi_1">LUXECOMFORT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LUXECOMFORT j.d.o.o., OIB 46115134906, Hribarov prilaz 6 A, 10000 Zagreb</izvorni_sadrzaj>
    <derivirana_varijabla naziv="DomainObject.Predmet.ProtustrankaIDrugiAdressOIB_1">LUXECOMFORT j.d.o.o., OIB 46115134906,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LUXECOMFORT j.d.o.o.</item>
      <item>FINA Regionalni centar Zagreb</item>
    </izvorni_sadrzaj>
    <derivirana_varijabla naziv="DomainObject.Predmet.SudioniciListNaziv_1">
      <item>LUXECOMFORT j.d.o.o.</item>
      <item>FINA Regionalni centar Zagreb</item>
    </derivirana_varijabla>
  </DomainObject.Predmet.SudioniciListNaziv>
  <DomainObject.Predmet.SudioniciListAdressOIB>
    <izvorni_sadrzaj>
      <item>LUXECOMFORT j.d.o.o., OIB 46115134906, Hribarov prilaz 6 A,10000 Zagreb</item>
      <item>FINA Regionalni centar Zagreb, OIB 85821130368, Trg svibanjskih žrtava 1995. 1,10000 Zagreb</item>
    </izvorni_sadrzaj>
    <derivirana_varijabla naziv="DomainObject.Predmet.SudioniciListAdressOIB_1">
      <item>LUXECOMFORT j.d.o.o., OIB 46115134906, Hribarov prilaz 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46115134906</item>
      <item>, OIB 85821130368</item>
    </izvorni_sadrzaj>
    <derivirana_varijabla naziv="DomainObject.Predmet.SudioniciListNazivOIB_1">
      <item>, OIB 46115134906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2275</properties:Characters>
  <properties:Lines>78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2018-02-13T10:41:00Z</dcterms:created>
  <dc:creator>Monika Topolovec</dc:creator>
  <cp:lastModifiedBy>Monika Topolovec</cp:lastModifiedBy>
  <dcterms:modified xmlns:xsi="http://www.w3.org/2001/XMLSchema-instance" xsi:type="dcterms:W3CDTF">2018-02-14T08:32:00Z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