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615a" w14:paraId="5b8615a"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7B6948">
      <w:pPr>
        <w:pStyle w:val="Bezproreda"/>
        <w:rPr>
          <w:rFonts w:hAnsi="Times New Roman" w:ascii="Times New Roman"/>
          <w:sz w:val="24"/>
          <w:szCs w:val="24"/>
        </w:rPr>
      </w:pPr>
    </w:p>
    <w:p w:rsidRDefault="00404F3C" w:rsidP="00985F74" w:rsidR="00404F3C" w:rsidRPr="006D3FF2">
      <w:pPr>
        <w:pStyle w:val="Bezproreda"/>
        <w:ind w:firstLine="708"/>
        <w:jc w:val="both"/>
        <w:rPr>
          <w:rStyle w:val="tabletextfield"/>
          <w:rFonts w:hAnsi="Times New Roman" w:ascii="Times New Roman"/>
          <w:sz w:val="24"/>
          <w:szCs w:val="24"/>
        </w:rPr>
      </w:pPr>
      <w:r w:rsidRPr="004F79F8">
        <w:rPr>
          <w:rFonts w:hAnsi="Times New Roman" w:ascii="Times New Roman"/>
          <w:sz w:val="24"/>
          <w:szCs w:val="24"/>
        </w:rPr>
        <w:t>Trgovački sud u Osijeku, po stečajno</w:t>
      </w:r>
      <w:r w:rsidR="002E2590" w:rsidRPr="004F79F8">
        <w:rPr>
          <w:rFonts w:hAnsi="Times New Roman" w:ascii="Times New Roman"/>
          <w:sz w:val="24"/>
          <w:szCs w:val="24"/>
        </w:rPr>
        <w:t>j</w:t>
      </w:r>
      <w:r w:rsidRPr="004F79F8">
        <w:rPr>
          <w:rFonts w:hAnsi="Times New Roman" w:ascii="Times New Roman"/>
          <w:sz w:val="24"/>
          <w:szCs w:val="24"/>
        </w:rPr>
        <w:t xml:space="preserve"> su</w:t>
      </w:r>
      <w:r w:rsidR="002E2590" w:rsidRPr="004F79F8">
        <w:rPr>
          <w:rFonts w:hAnsi="Times New Roman" w:ascii="Times New Roman"/>
          <w:sz w:val="24"/>
          <w:szCs w:val="24"/>
        </w:rPr>
        <w:t xml:space="preserve">tkinji </w:t>
      </w:r>
      <w:r w:rsidR="00F3298B" w:rsidRPr="004F79F8">
        <w:rPr>
          <w:rFonts w:hAnsi="Times New Roman" w:ascii="Times New Roman"/>
          <w:sz w:val="24"/>
          <w:szCs w:val="24"/>
        </w:rPr>
        <w:t>Nadi Roso</w:t>
      </w:r>
      <w:r w:rsidRPr="004F79F8">
        <w:rPr>
          <w:rFonts w:hAnsi="Times New Roman" w:ascii="Times New Roman"/>
          <w:sz w:val="24"/>
          <w:szCs w:val="24"/>
        </w:rPr>
        <w:t xml:space="preserve">, u stečajnom </w:t>
      </w:r>
      <w:r w:rsidR="00366B2D" w:rsidRPr="004F79F8">
        <w:rPr>
          <w:rFonts w:hAnsi="Times New Roman" w:ascii="Times New Roman"/>
          <w:sz w:val="24"/>
          <w:szCs w:val="24"/>
        </w:rPr>
        <w:t xml:space="preserve">postupku nad </w:t>
      </w:r>
      <w:r w:rsidR="00366B2D" w:rsidRPr="006D3FF2">
        <w:rPr>
          <w:rFonts w:hAnsi="Times New Roman" w:ascii="Times New Roman"/>
          <w:sz w:val="24"/>
          <w:szCs w:val="24"/>
        </w:rPr>
        <w:t>dužnikom</w:t>
      </w:r>
      <w:r w:rsidRPr="006D3FF2">
        <w:rPr>
          <w:rFonts w:hAnsi="Times New Roman" w:ascii="Times New Roman"/>
          <w:sz w:val="24"/>
          <w:szCs w:val="24"/>
        </w:rPr>
        <w:t xml:space="preserve"> </w:t>
      </w:r>
      <w:r w:rsidR="006D3FF2" w:rsidRPr="006D3FF2">
        <w:rPr>
          <w:rFonts w:hAnsi="Times New Roman" w:ascii="Times New Roman"/>
          <w:b/>
          <w:sz w:val="24"/>
          <w:szCs w:val="24"/>
        </w:rPr>
        <w:t>VETFARM   d.o.o. "u stečaju" Valpovo  Tina Ujevića 20 , OIB: 66024669033, MBS: 030014721</w:t>
      </w:r>
      <w:r w:rsidR="008F78B3" w:rsidRPr="006D3FF2">
        <w:rPr>
          <w:rFonts w:hAnsi="Times New Roman" w:ascii="Times New Roman"/>
          <w:b/>
          <w:sz w:val="24"/>
          <w:szCs w:val="24"/>
        </w:rPr>
        <w:t>,</w:t>
      </w:r>
      <w:r w:rsidR="004375CF" w:rsidRPr="006D3FF2">
        <w:rPr>
          <w:rFonts w:hAnsi="Times New Roman" w:ascii="Times New Roman"/>
          <w:b/>
          <w:sz w:val="24"/>
          <w:szCs w:val="24"/>
        </w:rPr>
        <w:t xml:space="preserve"> </w:t>
      </w:r>
      <w:r w:rsidRPr="006D3FF2">
        <w:rPr>
          <w:rStyle w:val="tabletextfield"/>
          <w:rFonts w:hAnsi="Times New Roman" w:ascii="Times New Roman"/>
          <w:sz w:val="24"/>
          <w:szCs w:val="24"/>
        </w:rPr>
        <w:t xml:space="preserve">dana </w:t>
      </w:r>
      <w:r w:rsidR="006D3FF2">
        <w:rPr>
          <w:rStyle w:val="tabletextfield"/>
          <w:rFonts w:hAnsi="Times New Roman" w:ascii="Times New Roman"/>
          <w:sz w:val="24"/>
          <w:szCs w:val="24"/>
        </w:rPr>
        <w:t>8. svibnja 2017. g.,</w:t>
      </w:r>
    </w:p>
    <w:p w:rsidRDefault="00B834B5" w:rsidP="00752475" w:rsidR="00B834B5" w:rsidRPr="006D3FF2">
      <w:pPr>
        <w:pStyle w:val="Bezproreda"/>
        <w:jc w:val="center"/>
        <w:rPr>
          <w:rStyle w:val="tabletextfield"/>
          <w:rFonts w:hAnsi="Times New Roman" w:ascii="Times New Roman"/>
          <w:sz w:val="24"/>
          <w:szCs w:val="24"/>
        </w:rPr>
      </w:pPr>
    </w:p>
    <w:p w:rsidRDefault="0095694F" w:rsidP="00752475" w:rsidR="0095694F" w:rsidRPr="008F78B3">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867923">
      <w:pPr>
        <w:pStyle w:val="Bezproreda"/>
        <w:jc w:val="center"/>
        <w:rPr>
          <w:rStyle w:val="tabletextfield"/>
          <w:rFonts w:hAnsi="Times New Roman" w:ascii="Times New Roman"/>
          <w:sz w:val="24"/>
          <w:szCs w:val="24"/>
        </w:rPr>
      </w:pPr>
    </w:p>
    <w:p w:rsidRDefault="00366B2D" w:rsidP="007C72F7" w:rsidR="007C72F7" w:rsidRPr="004E7902">
      <w:pPr>
        <w:pStyle w:val="Bezproreda"/>
        <w:numPr>
          <w:ilvl w:val="0"/>
          <w:numId w:val="1"/>
        </w:numPr>
        <w:jc w:val="both"/>
        <w:rPr>
          <w:rFonts w:hAnsi="Times New Roman" w:ascii="Times New Roman"/>
          <w:sz w:val="24"/>
          <w:szCs w:val="24"/>
        </w:rPr>
      </w:pPr>
      <w:r w:rsidRPr="004E7902">
        <w:rPr>
          <w:rFonts w:hAnsi="Times New Roman" w:ascii="Times New Roman"/>
          <w:sz w:val="24"/>
          <w:szCs w:val="24"/>
        </w:rPr>
        <w:t>ZAKLJUČUJE</w:t>
      </w:r>
      <w:r w:rsidR="00273331" w:rsidRPr="004E7902">
        <w:rPr>
          <w:rFonts w:hAnsi="Times New Roman" w:ascii="Times New Roman"/>
          <w:sz w:val="24"/>
          <w:szCs w:val="24"/>
        </w:rPr>
        <w:t xml:space="preserve"> SE</w:t>
      </w:r>
      <w:r w:rsidRPr="004E7902">
        <w:rPr>
          <w:rFonts w:hAnsi="Times New Roman" w:ascii="Times New Roman"/>
          <w:sz w:val="24"/>
          <w:szCs w:val="24"/>
        </w:rPr>
        <w:t xml:space="preserve"> stečajni postupak nad dužnikom </w:t>
      </w:r>
      <w:r w:rsidR="006D3FF2" w:rsidRPr="004E7902">
        <w:rPr>
          <w:rFonts w:hAnsi="Times New Roman" w:ascii="Times New Roman"/>
          <w:b/>
          <w:sz w:val="24"/>
          <w:szCs w:val="24"/>
        </w:rPr>
        <w:t>VETFARM d.o.o. "u stečaju" Valpovo  Tina Ujevića 20 , OIB: 66024669033, MBS: 030014721</w:t>
      </w:r>
      <w:r w:rsidRPr="004E7902">
        <w:rPr>
          <w:rFonts w:hAnsi="Times New Roman" w:ascii="Times New Roman"/>
          <w:sz w:val="24"/>
          <w:szCs w:val="24"/>
        </w:rPr>
        <w:t>.</w:t>
      </w:r>
    </w:p>
    <w:p w:rsidRDefault="00366B2D" w:rsidP="007C72F7" w:rsidR="007C72F7" w:rsidRPr="004E7902">
      <w:pPr>
        <w:pStyle w:val="Bezproreda"/>
        <w:numPr>
          <w:ilvl w:val="0"/>
          <w:numId w:val="1"/>
        </w:numPr>
        <w:jc w:val="both"/>
        <w:rPr>
          <w:rFonts w:hAnsi="Times New Roman" w:ascii="Times New Roman"/>
          <w:sz w:val="24"/>
          <w:szCs w:val="24"/>
        </w:rPr>
      </w:pPr>
      <w:r w:rsidRPr="004E7902">
        <w:rPr>
          <w:rFonts w:hAnsi="Times New Roman" w:ascii="Times New Roman"/>
          <w:sz w:val="24"/>
          <w:szCs w:val="24"/>
        </w:rPr>
        <w:t xml:space="preserve">Ovo rješenje objavit će se na </w:t>
      </w:r>
      <w:r w:rsidR="00097CC0" w:rsidRPr="004E7902">
        <w:rPr>
          <w:rFonts w:hAnsi="Times New Roman" w:ascii="Times New Roman"/>
          <w:sz w:val="24"/>
          <w:szCs w:val="24"/>
        </w:rPr>
        <w:t>e-</w:t>
      </w:r>
      <w:r w:rsidRPr="004E7902">
        <w:rPr>
          <w:rFonts w:hAnsi="Times New Roman" w:ascii="Times New Roman"/>
          <w:sz w:val="24"/>
          <w:szCs w:val="24"/>
        </w:rPr>
        <w:t>oglasnoj ploči suda</w:t>
      </w:r>
      <w:r w:rsidR="009B5376" w:rsidRPr="004E7902">
        <w:rPr>
          <w:rFonts w:hAnsi="Times New Roman" w:ascii="Times New Roman"/>
          <w:sz w:val="24"/>
          <w:szCs w:val="24"/>
        </w:rPr>
        <w:t xml:space="preserve"> Trgovačkog suda u Osijeku</w:t>
      </w:r>
      <w:r w:rsidRPr="004E7902">
        <w:rPr>
          <w:rFonts w:hAnsi="Times New Roman" w:ascii="Times New Roman"/>
          <w:sz w:val="24"/>
          <w:szCs w:val="24"/>
        </w:rPr>
        <w:t>.</w:t>
      </w:r>
    </w:p>
    <w:p w:rsidRDefault="004E7902" w:rsidP="004E7902" w:rsidR="004E7902" w:rsidRPr="004E7902">
      <w:pPr>
        <w:numPr>
          <w:ilvl w:val="0"/>
          <w:numId w:val="1"/>
        </w:numPr>
        <w:spacing w:lineRule="auto" w:line="240" w:after="0"/>
        <w:jc w:val="both"/>
        <w:rPr>
          <w:rFonts w:hAnsi="Times New Roman" w:ascii="Times New Roman"/>
          <w:sz w:val="24"/>
          <w:szCs w:val="24"/>
        </w:rPr>
      </w:pPr>
      <w:r w:rsidRPr="004E7902">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te o tome podnijeti izvješće stečajnoj sutkinji, podmirenje preostalih troškova stečajnog postupka – pristojba, te da dostavi u spis Zapisnik o arhiviranju poslovne dokumentacije dužnika.</w:t>
      </w:r>
    </w:p>
    <w:p w:rsidRDefault="00366B2D" w:rsidP="00A406C9" w:rsidR="00366B2D" w:rsidRPr="004E7902">
      <w:pPr>
        <w:pStyle w:val="Bezproreda"/>
        <w:numPr>
          <w:ilvl w:val="0"/>
          <w:numId w:val="1"/>
        </w:numPr>
        <w:jc w:val="both"/>
        <w:rPr>
          <w:rFonts w:hAnsi="Times New Roman" w:ascii="Times New Roman"/>
          <w:sz w:val="24"/>
          <w:szCs w:val="24"/>
        </w:rPr>
      </w:pPr>
      <w:r w:rsidRPr="004E7902">
        <w:rPr>
          <w:rFonts w:hAnsi="Times New Roman" w:ascii="Times New Roman"/>
          <w:sz w:val="24"/>
          <w:szCs w:val="24"/>
        </w:rPr>
        <w:t xml:space="preserve">Nakon pravomoćnosti, rješenje će se dostaviti </w:t>
      </w:r>
      <w:r w:rsidR="0095694F" w:rsidRPr="004E7902">
        <w:rPr>
          <w:rFonts w:hAnsi="Times New Roman" w:ascii="Times New Roman"/>
          <w:sz w:val="24"/>
          <w:szCs w:val="24"/>
        </w:rPr>
        <w:t>registru pravnih osoba Trgovačkog suda u Osijeku</w:t>
      </w:r>
      <w:r w:rsidRPr="004E7902">
        <w:rPr>
          <w:rFonts w:hAnsi="Times New Roman" w:ascii="Times New Roman"/>
          <w:sz w:val="24"/>
          <w:szCs w:val="24"/>
        </w:rPr>
        <w:t xml:space="preserve">, radi upisa brisanja </w:t>
      </w:r>
      <w:r w:rsidR="004C178A" w:rsidRPr="004E7902">
        <w:rPr>
          <w:rFonts w:hAnsi="Times New Roman" w:ascii="Times New Roman"/>
          <w:sz w:val="24"/>
          <w:szCs w:val="24"/>
        </w:rPr>
        <w:t xml:space="preserve">iz registra </w:t>
      </w:r>
      <w:r w:rsidR="0095694F" w:rsidRPr="004E7902">
        <w:rPr>
          <w:rFonts w:hAnsi="Times New Roman" w:ascii="Times New Roman"/>
          <w:sz w:val="24"/>
          <w:szCs w:val="24"/>
        </w:rPr>
        <w:t>pravnih osoba</w:t>
      </w:r>
      <w:r w:rsidR="004C178A" w:rsidRPr="004E7902">
        <w:rPr>
          <w:rFonts w:hAnsi="Times New Roman" w:ascii="Times New Roman"/>
          <w:sz w:val="24"/>
          <w:szCs w:val="24"/>
        </w:rPr>
        <w:t>.</w:t>
      </w:r>
    </w:p>
    <w:p w:rsidRDefault="0041605D" w:rsidP="00C316F8" w:rsidR="0041605D" w:rsidRPr="004E7902">
      <w:pPr>
        <w:pStyle w:val="Bezproreda"/>
        <w:jc w:val="both"/>
        <w:rPr>
          <w:rFonts w:hAnsi="Times New Roman" w:ascii="Times New Roman"/>
          <w:sz w:val="24"/>
          <w:szCs w:val="24"/>
        </w:rPr>
      </w:pPr>
    </w:p>
    <w:p w:rsidRDefault="0074522F" w:rsidP="00A875E2" w:rsidR="0074522F" w:rsidRPr="004E7902">
      <w:pPr>
        <w:pStyle w:val="Bezproreda"/>
        <w:rPr>
          <w:rFonts w:hAnsi="Times New Roman" w:ascii="Times New Roman"/>
          <w:b/>
          <w:sz w:val="24"/>
          <w:szCs w:val="24"/>
        </w:rPr>
      </w:pPr>
    </w:p>
    <w:p w:rsidRDefault="002C1423" w:rsidP="00A875E2" w:rsidR="002C1423" w:rsidRPr="00867923">
      <w:pPr>
        <w:pStyle w:val="Bezproreda"/>
        <w:rPr>
          <w:rFonts w:hAnsi="Times New Roman" w:ascii="Times New Roman"/>
          <w:b/>
          <w:sz w:val="24"/>
          <w:szCs w:val="24"/>
        </w:rPr>
      </w:pPr>
    </w:p>
    <w:p w:rsidRDefault="002C41A8" w:rsidP="002C41A8" w:rsidR="004C178A" w:rsidRPr="00867923">
      <w:pPr>
        <w:pStyle w:val="Bezproreda"/>
        <w:jc w:val="center"/>
        <w:rPr>
          <w:rFonts w:hAnsi="Times New Roman" w:ascii="Times New Roman"/>
          <w:b/>
          <w:sz w:val="24"/>
          <w:szCs w:val="24"/>
        </w:rPr>
      </w:pPr>
      <w:r w:rsidRPr="00867923">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6D3FF2" w:rsidP="006D3FF2" w:rsidR="006D3FF2">
      <w:pPr>
        <w:pStyle w:val="Bezproreda"/>
        <w:ind w:firstLine="708"/>
        <w:jc w:val="both"/>
        <w:rPr>
          <w:rFonts w:hAnsi="Times New Roman" w:ascii="Times New Roman"/>
          <w:sz w:val="24"/>
          <w:szCs w:val="24"/>
        </w:rPr>
      </w:pPr>
      <w:r>
        <w:rPr>
          <w:rFonts w:hAnsi="Times New Roman" w:ascii="Times New Roman"/>
          <w:sz w:val="24"/>
          <w:szCs w:val="24"/>
        </w:rPr>
        <w:t xml:space="preserve">Pravomoćnim rješenjem Trgovačkog suda u Osijeku broj St-349/14 od 4. prosinca 2014. g. otvoren je stečajni postupak nad dužnikom </w:t>
      </w:r>
      <w:r w:rsidRPr="006D3FF2">
        <w:rPr>
          <w:rFonts w:hAnsi="Times New Roman" w:ascii="Times New Roman"/>
          <w:b/>
          <w:sz w:val="24"/>
          <w:szCs w:val="24"/>
        </w:rPr>
        <w:t>VETFARM  d.o.o. "u stečaju" Valpovo  Tina Ujevića 20 , OIB: 66024669033, MBS: 030014721</w:t>
      </w:r>
      <w:r>
        <w:rPr>
          <w:rFonts w:hAnsi="Times New Roman" w:ascii="Times New Roman"/>
          <w:sz w:val="24"/>
          <w:szCs w:val="24"/>
        </w:rPr>
        <w:t>.</w:t>
      </w:r>
    </w:p>
    <w:p w:rsidRDefault="006D3FF2" w:rsidP="006D3FF2" w:rsidR="006D3FF2">
      <w:pPr>
        <w:pStyle w:val="Bezproreda"/>
        <w:ind w:firstLine="708"/>
        <w:jc w:val="both"/>
        <w:rPr>
          <w:rFonts w:hAnsi="Times New Roman" w:ascii="Times New Roman"/>
          <w:b/>
          <w:sz w:val="24"/>
          <w:szCs w:val="24"/>
        </w:rPr>
      </w:pPr>
      <w:r>
        <w:rPr>
          <w:rFonts w:hAnsi="Times New Roman" w:ascii="Times New Roman"/>
          <w:b/>
          <w:sz w:val="24"/>
          <w:szCs w:val="24"/>
        </w:rPr>
        <w:tab/>
      </w:r>
    </w:p>
    <w:p w:rsidRDefault="006D3FF2" w:rsidP="006D3FF2" w:rsidR="006D3FF2">
      <w:pPr>
        <w:pStyle w:val="Bezproreda"/>
        <w:ind w:firstLine="708"/>
        <w:jc w:val="both"/>
        <w:rPr>
          <w:rFonts w:hAnsi="Times New Roman" w:ascii="Times New Roman"/>
          <w:sz w:val="24"/>
          <w:szCs w:val="24"/>
        </w:rPr>
      </w:pPr>
      <w:r>
        <w:rPr>
          <w:rFonts w:hAnsi="Times New Roman" w:ascii="Times New Roman"/>
          <w:sz w:val="24"/>
          <w:szCs w:val="24"/>
        </w:rPr>
        <w:t xml:space="preserve">Poziv za završno ročište objavljen je na e-oglasnoj ploči Trgovačkog suda u Osijeku dana 27. ožujka 2017. g. te je završno ročište održano 3. svibnja 2017. g. na kojem je stečajna sutkinja objavila da će se raspraviti završno izvješće stečajne upraviteljice te završni račun. </w:t>
      </w:r>
    </w:p>
    <w:p w:rsidRDefault="006D3FF2" w:rsidP="006D3FF2" w:rsidR="006D3FF2">
      <w:pPr>
        <w:pStyle w:val="Bezproreda"/>
        <w:jc w:val="both"/>
        <w:rPr>
          <w:rFonts w:hAnsi="Times New Roman" w:ascii="Times New Roman"/>
          <w:sz w:val="24"/>
          <w:szCs w:val="24"/>
        </w:rPr>
      </w:pPr>
    </w:p>
    <w:p w:rsidRDefault="006D3FF2" w:rsidP="006D3FF2" w:rsidR="006D3FF2">
      <w:pPr>
        <w:pStyle w:val="Bezproreda"/>
        <w:ind w:firstLine="708"/>
        <w:jc w:val="both"/>
        <w:rPr>
          <w:rFonts w:hAnsi="Times New Roman" w:ascii="Times New Roman"/>
          <w:sz w:val="24"/>
          <w:szCs w:val="24"/>
        </w:rPr>
      </w:pPr>
      <w:r>
        <w:rPr>
          <w:rFonts w:hAnsi="Times New Roman" w:ascii="Times New Roman"/>
          <w:sz w:val="24"/>
          <w:szCs w:val="24"/>
        </w:rPr>
        <w:t>Na gore navedenom završnom ročištu stečajna upraviteljica podnijela je izvješće te je navela slijedeće podatke u odnosu na završni račun stečajnog dužnika te račun prihoda i rashoda tijekom stečajnog postupka i to:</w:t>
      </w:r>
    </w:p>
    <w:p w:rsidRDefault="004F79F8" w:rsidP="00273331" w:rsidR="004F79F8" w:rsidRPr="004F79F8">
      <w:pPr>
        <w:pStyle w:val="Bezproreda"/>
        <w:ind w:firstLine="708"/>
        <w:jc w:val="both"/>
        <w:rPr>
          <w:rFonts w:hAnsi="Times New Roman" w:ascii="Times New Roman"/>
          <w:sz w:val="24"/>
          <w:szCs w:val="24"/>
        </w:rPr>
      </w:pPr>
    </w:p>
    <w:p w:rsidRDefault="006D3FF2" w:rsidP="006D3FF2" w:rsidR="006D3FF2">
      <w:pPr>
        <w:jc w:val="center"/>
      </w:pPr>
      <w:r>
        <w:rPr>
          <w:rStyle w:val="Naglaeno"/>
        </w:rPr>
        <w:t>I RAČUN DOBITI I GUBITKA ZA RAZDOBLJE od 04.12.2014. do 20.03.2017.godine</w:t>
      </w:r>
    </w:p>
    <w:p w:rsidRDefault="006D3FF2" w:rsidP="006D3FF2" w:rsidR="006D3FF2"/>
    <w:tbl>
      <w:tblPr>
        <w:tblW w:type="auto" w:w="0"/>
        <w:tblInd w:type="dxa" w:w="-50"/>
        <w:tblLayout w:type="fixed"/>
        <w:tblLook w:val="04A0" w:noVBand="1" w:noHBand="0" w:lastColumn="0" w:firstColumn="1" w:lastRow="0" w:firstRow="1"/>
      </w:tblPr>
      <w:tblGrid>
        <w:gridCol w:w="4245"/>
        <w:gridCol w:w="759"/>
        <w:gridCol w:w="1071"/>
        <w:gridCol w:w="1071"/>
        <w:gridCol w:w="1071"/>
        <w:gridCol w:w="1171"/>
      </w:tblGrid>
      <w:tr w:rsidTr="006D3FF2" w:rsidR="006D3FF2">
        <w:trPr>
          <w:trHeight w:val="480"/>
          <w:tblHeader/>
        </w:trPr>
        <w:tc>
          <w:tcPr>
            <w:tcW w:type="dxa" w:w="4245"/>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Naziv pozicije</w:t>
            </w:r>
          </w:p>
        </w:tc>
        <w:tc>
          <w:tcPr>
            <w:tcW w:type="dxa" w:w="759"/>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AOP</w:t>
            </w:r>
            <w:r>
              <w:rPr>
                <w:b/>
                <w:bCs/>
              </w:rPr>
              <w:br/>
              <w:t>oznaka</w:t>
            </w:r>
          </w:p>
        </w:tc>
        <w:tc>
          <w:tcPr>
            <w:tcW w:type="dxa" w:w="107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04.12.2014-31.12.2014.</w:t>
            </w:r>
          </w:p>
        </w:tc>
        <w:tc>
          <w:tcPr>
            <w:tcW w:type="dxa" w:w="107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01.01.2015-31.12.2015.</w:t>
            </w:r>
          </w:p>
        </w:tc>
        <w:tc>
          <w:tcPr>
            <w:tcW w:type="dxa" w:w="107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01.01.2016-31.12.2016.</w:t>
            </w:r>
          </w:p>
        </w:tc>
        <w:tc>
          <w:tcPr>
            <w:tcW w:type="dxa" w:w="1171"/>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6D3FF2" w:rsidR="006D3FF2">
            <w:pPr>
              <w:spacing w:lineRule="atLeast" w:line="100"/>
              <w:jc w:val="center"/>
              <w:rPr>
                <w:sz w:val="24"/>
                <w:szCs w:val="24"/>
              </w:rPr>
            </w:pPr>
            <w:r>
              <w:rPr>
                <w:b/>
                <w:bCs/>
              </w:rPr>
              <w:t>01.01.2017-20.03.2017.</w:t>
            </w:r>
          </w:p>
        </w:tc>
      </w:tr>
      <w:tr w:rsidTr="006D3FF2" w:rsidR="006D3FF2">
        <w:trPr>
          <w:trHeight w:val="300"/>
          <w:tblHeader/>
        </w:trPr>
        <w:tc>
          <w:tcPr>
            <w:tcW w:type="dxa" w:w="4245"/>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1</w:t>
            </w:r>
          </w:p>
        </w:tc>
        <w:tc>
          <w:tcPr>
            <w:tcW w:type="dxa" w:w="759"/>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2</w:t>
            </w:r>
          </w:p>
        </w:tc>
        <w:tc>
          <w:tcPr>
            <w:tcW w:type="dxa" w:w="107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3</w:t>
            </w:r>
          </w:p>
        </w:tc>
        <w:tc>
          <w:tcPr>
            <w:tcW w:type="dxa" w:w="107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4</w:t>
            </w:r>
          </w:p>
        </w:tc>
        <w:tc>
          <w:tcPr>
            <w:tcW w:type="dxa" w:w="107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5</w:t>
            </w:r>
          </w:p>
        </w:tc>
        <w:tc>
          <w:tcPr>
            <w:tcW w:type="dxa" w:w="1171"/>
            <w:tcBorders>
              <w:top w:val="nil"/>
              <w:left w:space="0" w:sz="4" w:color="000000" w:val="single"/>
              <w:bottom w:space="0" w:sz="4" w:color="000000" w:val="single"/>
              <w:right w:space="0" w:sz="4" w:color="000000" w:val="single"/>
            </w:tcBorders>
            <w:shd w:fill="BFBFBF" w:color="auto" w:val="clear"/>
            <w:vAlign w:val="center"/>
            <w:hideMark/>
          </w:tcPr>
          <w:p w:rsidRDefault="006D3FF2" w:rsidR="006D3FF2">
            <w:pPr>
              <w:spacing w:lineRule="atLeast" w:line="100"/>
              <w:jc w:val="center"/>
              <w:rPr>
                <w:sz w:val="24"/>
                <w:szCs w:val="24"/>
              </w:rPr>
            </w:pPr>
            <w:r>
              <w:rPr>
                <w:b/>
                <w:bCs/>
              </w:rPr>
              <w:t>6</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I. POSLOVNI PRIHODI </w:t>
            </w:r>
            <w:r>
              <w:t>(112+113)</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111</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16.800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45.600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560.717</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1. Prihodi od prodaje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16.800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45.600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14.400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2. Ostali poslovni prihodi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546.317</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II. POSLOVNI RASHODI </w:t>
            </w:r>
            <w:r>
              <w:t>(115+116+120+124+125+126+129+130)</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33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59.944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143.934</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2.263</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1. Promjene vrijednosti zaliha proizvodnje u tijeku i gotovih proizvoda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2. Materijalni troškovi </w:t>
            </w:r>
            <w:r>
              <w:t>(117 do 119)</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33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26.295</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136.112</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2.122</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a) Troškovi sirovina i materijala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146</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22</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b) Troškovi prodane robe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c) Ostali vanjski troškovi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119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26.265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135.966</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2.100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3. Troškovi osoblja </w:t>
            </w:r>
            <w:r>
              <w:t>(121 do 123)</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a) Neto plaće i nadnice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b) Troškovi poreza i doprinosa iz plaća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c) Doprinosi na plaće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4. Amortizacija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14.470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7.235</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5. Ostali troškovi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585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587</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141</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6. Vrijednosno usklađivanje </w:t>
            </w:r>
            <w:r>
              <w:t>(127+128)</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a) dugotrajne imovine (osim financijske imovine)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b) kratkotrajne imovine (osim financijske imovine)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7. Rezerviranja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129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lastRenderedPageBreak/>
              <w:t xml:space="preserve">   8. Ostali poslovni rashodi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18.594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III. FINANCIJSKI PRIHODI </w:t>
            </w:r>
            <w:r>
              <w:t>(132 do 136)</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131</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24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5</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1. Kamate, tečajne razlike, dividende i slični prihodi iz odnosa s</w:t>
            </w:r>
            <w:r>
              <w:rPr>
                <w:b/>
                <w:bCs/>
              </w:rPr>
              <w:br/>
              <w:t xml:space="preserve">         povezanim poduzetnicima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2. Kamate, tečajne razlike, dividende, slični prihodi iz odnosa s</w:t>
            </w:r>
            <w:r>
              <w:rPr>
                <w:b/>
                <w:bCs/>
              </w:rPr>
              <w:br/>
              <w:t xml:space="preserve">          nepovezanim poduzetnicima i drugim osobama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24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16</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5</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3. Dio prihoda od pridruženih poduzetnika i sudjelujućih interesa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4. Nerealizirani dobici (prihodi) od financijske imovine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5. Ostali financijski prihodi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IV. FINANCIJSKI RASHODI </w:t>
            </w:r>
            <w:r>
              <w:t>(138 do 141)</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1. Kamate, tečajne razlike i drugi rashodi s povezanim poduzetnicima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2. Kamate, tečajne razlike i drugi rashodi iz odnosa s nepovezanim</w:t>
            </w:r>
            <w:r>
              <w:rPr>
                <w:b/>
                <w:bCs/>
              </w:rPr>
              <w:br/>
              <w:t xml:space="preserve">        poduzetnicima i drugim osobama</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139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3. Nerealizirani gubici (rashodi) od financijske imovine</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    4. Ostali financijski rashodi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V.    UDIO U DOBITI OD PRIDRUŽENIH PODUZETNIKA </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VI.   UDIO U GUBITKU OD PRIDRUŽENIH PODUZETNIKA </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VII.  IZVANREDNI - OSTALI PRIHODI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VIII. IZVANREDNI - OSTALI RASHODI</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IX.  UKUPNI PRIHODI </w:t>
            </w:r>
            <w:r>
              <w:t>(111+131+142 + 144)</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16.800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45.624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560.733</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5</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lastRenderedPageBreak/>
              <w:t xml:space="preserve">X.   UKUPNI RASHODI </w:t>
            </w:r>
            <w:r>
              <w:t>(114+137+143 + 145)</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33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59.944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143.934</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2.263</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XI.  DOBIT ILI GUBITAK PRIJE OPOREZIVANJA </w:t>
            </w:r>
            <w:r>
              <w:t>(146-147)</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148</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416.799</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-2.258</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 xml:space="preserve">  1. Dobit prije oporezivanja (146-147)</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149</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416.799</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 xml:space="preserve">  2. Gubitak prije oporezivanja (147-146)</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150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2.258</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XII.  POREZ NA DOBIT</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151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XIII. DOBIT ILI GUBITAK RAZDOBLJA </w:t>
            </w:r>
            <w:r>
              <w:t>(148-151)</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152</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416.799</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-2.258</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 xml:space="preserve">  1. Dobit razdoblja (149-151)</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153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416.799</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4245"/>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 xml:space="preserve">  2. Gubitak razdoblja (151-148)</w:t>
            </w:r>
          </w:p>
        </w:tc>
        <w:tc>
          <w:tcPr>
            <w:tcW w:type="dxa" w:w="759"/>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154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2.258</w:t>
            </w:r>
          </w:p>
        </w:tc>
      </w:tr>
    </w:tbl>
    <w:p w:rsidRDefault="006D3FF2" w:rsidP="006D3FF2" w:rsidR="006D3FF2"/>
    <w:p w:rsidRDefault="006D3FF2" w:rsidP="006D3FF2" w:rsidR="006D3FF2">
      <w:r>
        <w:rPr>
          <w:rStyle w:val="Naglaeno"/>
        </w:rPr>
        <w:t>II BILANCA ZA RAZDOBLJE od 04.12.2014 DO 31.12.2016. godine</w:t>
      </w:r>
    </w:p>
    <w:p w:rsidRDefault="006D3FF2" w:rsidP="006D3FF2" w:rsidR="006D3FF2"/>
    <w:tbl>
      <w:tblPr>
        <w:tblW w:type="auto" w:w="0"/>
        <w:tblInd w:type="dxa" w:w="-50"/>
        <w:tblLayout w:type="fixed"/>
        <w:tblLook w:val="04A0" w:noVBand="1" w:noHBand="0" w:lastColumn="0" w:firstColumn="1" w:lastRow="0" w:firstRow="1"/>
      </w:tblPr>
      <w:tblGrid>
        <w:gridCol w:w="5384"/>
        <w:gridCol w:w="691"/>
        <w:gridCol w:w="1071"/>
        <w:gridCol w:w="1071"/>
        <w:gridCol w:w="1171"/>
      </w:tblGrid>
      <w:tr w:rsidTr="006D3FF2" w:rsidR="006D3FF2">
        <w:trPr>
          <w:trHeight w:val="450"/>
          <w:tblHeader/>
        </w:trPr>
        <w:tc>
          <w:tcPr>
            <w:tcW w:type="dxa" w:w="5384"/>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Naziv pozicije</w:t>
            </w:r>
          </w:p>
        </w:tc>
        <w:tc>
          <w:tcPr>
            <w:tcW w:type="dxa" w:w="69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AOP</w:t>
            </w:r>
            <w:r>
              <w:rPr>
                <w:b/>
                <w:bCs/>
              </w:rPr>
              <w:br/>
              <w:t>oznaka</w:t>
            </w:r>
          </w:p>
        </w:tc>
        <w:tc>
          <w:tcPr>
            <w:tcW w:type="dxa" w:w="107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04.12.2014-31.12.2014.</w:t>
            </w:r>
          </w:p>
        </w:tc>
        <w:tc>
          <w:tcPr>
            <w:tcW w:type="dxa" w:w="1071"/>
            <w:tcBorders>
              <w:top w:space="0" w:sz="4" w:color="000000" w:val="single"/>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01.01.2015-31.12.2015.</w:t>
            </w:r>
          </w:p>
        </w:tc>
        <w:tc>
          <w:tcPr>
            <w:tcW w:type="dxa" w:w="1171"/>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6D3FF2" w:rsidR="006D3FF2">
            <w:pPr>
              <w:spacing w:lineRule="atLeast" w:line="100"/>
              <w:jc w:val="center"/>
              <w:rPr>
                <w:sz w:val="24"/>
                <w:szCs w:val="24"/>
              </w:rPr>
            </w:pPr>
            <w:r>
              <w:rPr>
                <w:b/>
                <w:bCs/>
              </w:rPr>
              <w:t>01.01.2016-31.12.2016</w:t>
            </w:r>
          </w:p>
        </w:tc>
      </w:tr>
      <w:tr w:rsidTr="006D3FF2" w:rsidR="006D3FF2">
        <w:trPr>
          <w:trHeight w:val="300"/>
          <w:tblHeader/>
        </w:trPr>
        <w:tc>
          <w:tcPr>
            <w:tcW w:type="dxa" w:w="5384"/>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1</w:t>
            </w:r>
          </w:p>
        </w:tc>
        <w:tc>
          <w:tcPr>
            <w:tcW w:type="dxa" w:w="69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2</w:t>
            </w:r>
          </w:p>
        </w:tc>
        <w:tc>
          <w:tcPr>
            <w:tcW w:type="dxa" w:w="107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3</w:t>
            </w:r>
          </w:p>
        </w:tc>
        <w:tc>
          <w:tcPr>
            <w:tcW w:type="dxa" w:w="1071"/>
            <w:tcBorders>
              <w:top w:val="nil"/>
              <w:left w:space="0" w:sz="4" w:color="000000" w:val="single"/>
              <w:bottom w:space="0" w:sz="4" w:color="000000" w:val="single"/>
              <w:right w:val="nil"/>
            </w:tcBorders>
            <w:shd w:fill="BFBFBF" w:color="auto" w:val="clear"/>
            <w:vAlign w:val="center"/>
            <w:hideMark/>
          </w:tcPr>
          <w:p w:rsidRDefault="006D3FF2" w:rsidR="006D3FF2">
            <w:pPr>
              <w:spacing w:lineRule="atLeast" w:line="100"/>
              <w:jc w:val="center"/>
              <w:rPr>
                <w:b/>
                <w:bCs/>
                <w:sz w:val="24"/>
                <w:szCs w:val="24"/>
              </w:rPr>
            </w:pPr>
            <w:r>
              <w:rPr>
                <w:b/>
                <w:bCs/>
              </w:rPr>
              <w:t>4</w:t>
            </w:r>
          </w:p>
        </w:tc>
        <w:tc>
          <w:tcPr>
            <w:tcW w:type="dxa" w:w="1171"/>
            <w:tcBorders>
              <w:top w:val="nil"/>
              <w:left w:space="0" w:sz="4" w:color="000000" w:val="single"/>
              <w:bottom w:space="0" w:sz="4" w:color="000000" w:val="single"/>
              <w:right w:space="0" w:sz="4" w:color="000000" w:val="single"/>
            </w:tcBorders>
            <w:shd w:fill="BFBFBF" w:color="auto" w:val="clear"/>
            <w:vAlign w:val="center"/>
            <w:hideMark/>
          </w:tcPr>
          <w:p w:rsidRDefault="006D3FF2" w:rsidR="006D3FF2">
            <w:pPr>
              <w:spacing w:lineRule="atLeast" w:line="100"/>
              <w:jc w:val="center"/>
              <w:rPr>
                <w:sz w:val="24"/>
                <w:szCs w:val="24"/>
              </w:rPr>
            </w:pPr>
            <w:r>
              <w:rPr>
                <w:b/>
                <w:bCs/>
              </w:rPr>
              <w:t>5</w:t>
            </w:r>
          </w:p>
        </w:tc>
      </w:tr>
      <w:tr w:rsidTr="006D3FF2" w:rsidR="006D3FF2">
        <w:trPr>
          <w:trHeight w:val="300"/>
        </w:trPr>
        <w:tc>
          <w:tcPr>
            <w:tcW w:type="dxa" w:w="8217"/>
            <w:gridSpan w:val="4"/>
            <w:tcBorders>
              <w:top w:space="0" w:sz="4" w:color="000000" w:val="single"/>
              <w:left w:space="0" w:sz="4" w:color="000000" w:val="single"/>
              <w:bottom w:space="0" w:sz="4" w:color="000000" w:val="single"/>
              <w:right w:val="nil"/>
            </w:tcBorders>
            <w:shd w:fill="C0C0C0" w:color="auto" w:val="clear"/>
            <w:vAlign w:val="center"/>
            <w:hideMark/>
          </w:tcPr>
          <w:p w:rsidRDefault="006D3FF2" w:rsidR="006D3FF2">
            <w:pPr>
              <w:spacing w:lineRule="atLeast" w:line="100"/>
              <w:rPr>
                <w:color w:val="000080"/>
                <w:sz w:val="24"/>
                <w:szCs w:val="24"/>
              </w:rPr>
            </w:pPr>
            <w:r>
              <w:rPr>
                <w:b/>
                <w:bCs/>
                <w:color w:val="000080"/>
              </w:rPr>
              <w:t>AKTIVA</w:t>
            </w:r>
          </w:p>
        </w:tc>
        <w:tc>
          <w:tcPr>
            <w:tcW w:type="dxa" w:w="1171"/>
            <w:tcBorders>
              <w:top w:val="nil"/>
              <w:left w:space="0" w:sz="4" w:color="000000" w:val="single"/>
              <w:bottom w:space="0" w:sz="4" w:color="000000" w:val="single"/>
              <w:right w:space="0" w:sz="4" w:color="000000" w:val="single"/>
            </w:tcBorders>
            <w:shd w:fill="C0C0C0" w:color="auto" w:val="clear"/>
            <w:vAlign w:val="center"/>
            <w:hideMark/>
          </w:tcPr>
          <w:p w:rsidRDefault="006D3FF2" w:rsidR="006D3FF2">
            <w:pPr>
              <w:spacing w:lineRule="atLeast" w:line="100"/>
              <w:rPr>
                <w:sz w:val="24"/>
                <w:szCs w:val="24"/>
              </w:rPr>
            </w:pPr>
            <w:r>
              <w:rPr>
                <w:color w:val="000080"/>
              </w:rP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A)  POTRAŽIVANJA ZA UPISANI A NEUPLAĆENI KAPITAL</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B)  DUGOTRAJNA IMOVINA </w:t>
            </w:r>
            <w:r>
              <w:t>(003+010+020+029+033)</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002</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112.966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98.497</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 NEMATERIJALNA IMOVINA (004 do 009)</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Izdaci za razvoj</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Koncesije, patenti, licencije, robne i uslužne marke, softver i ostala prava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w:t>
            </w:r>
            <w:proofErr w:type="spellStart"/>
            <w:r>
              <w:t>Goodwill</w:t>
            </w:r>
            <w:proofErr w:type="spellEnd"/>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Predujmovi za nabavu nematerijalne imovine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lastRenderedPageBreak/>
              <w:t xml:space="preserve">   5. Nematerijalna imovina u pripremi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Ostala nematerijalna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009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 MATERIJALNA IMOVINA (011 do 019)</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112.966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98.497</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Zemljište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32.347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32.347</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Građevinski objekti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80.619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66.150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Postrojenja i oprema </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Alati, pogonski inventar i transportna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Biološka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Predujmovi za materijalnu imovinu</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Materijalna imovina u pripremi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8. Ostala materijalna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9. Ulaganje u nekretnine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019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III. DUGOTRAJNA FINANCIJSKA IMOVINA (021 do 028)</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Udjeli (dionice) kod povezanih poduzetnika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Dani zajmovi povezanim poduzetnicima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Sudjelujući interesi (udjeli)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Zajmovi dani poduzetnicima u kojima postoje sudjelujući interesi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Ulaganja u vrijednosne papire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Dani zajmovi, depoziti i slično</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Ostala dugotrajna financijska imovina </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8.  Ulaganja koja se obračunavaju metodom udjela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IV. POTRAŽIVANJA (030 do 032)</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029</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Potraživanja od povezanih poduzetnika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Potraživanja po osnovi prodaje na kredit</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lastRenderedPageBreak/>
              <w:t xml:space="preserve">     3. Ostala potraživanja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V. ODGOĐENA POREZNA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C)  KRATKOTRAJNA IMOVINA </w:t>
            </w:r>
            <w:r>
              <w:t>(035+043+050+058)</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39.594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20.094</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156.151</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 ZALIHE (036 do 042)</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035</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Sirovine i materijal</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Proizvodnja u tijeku</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Gotovi proizvodi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Trgovačka roba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039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Predujmovi za zalihe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Dugotrajna imovina namijenjena prodaji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Biološka imovina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 POTRAŽIVANJA (044 do 049)</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39.594</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4.020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2.085</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Potraživanja od povezanih poduzetnika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Potraživanja od kupaca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39.594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3.500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500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Potraživanja od sudjelujućih poduzetnika </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Potraživanja od zaposlenika i članova poduzetnika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520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Potraživanja od države i drugih institucija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1.585</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Ostala potraživanja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049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III. KRATKOTRAJNA FINANCIJSKA IMOVINA (051 do 057)</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145.000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Udjeli (dionice) kod povezanih poduzetnika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Dani zajmovi povezanim poduzetnicima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Sudjelujući interesi (udjeli) </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Zajmovi dani poduzetnicima u kojima postoje sudjelujući interesi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Ulaganja u vrijednosne papire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lastRenderedPageBreak/>
              <w:t xml:space="preserve">     6. Dani zajmovi, depoziti i slično</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145.000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Ostala financijska imovina </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IV. NOVAC U BANCI I BLAGAJNI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16.074</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9.066</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D)  PLAĆENI TROŠKOVI BUDUĆEG RAZDOBLJA I OBRAČUNATI PRIHODI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059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E)  UKUPNO AKTIVA </w:t>
            </w:r>
            <w:r>
              <w:t>(001+002+034+059)</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152.560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118.591</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156.151</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F)  IZVANBILANČNI ZAPISI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8217"/>
            <w:gridSpan w:val="4"/>
            <w:tcBorders>
              <w:top w:space="0" w:sz="4" w:color="000000" w:val="single"/>
              <w:left w:space="0" w:sz="4" w:color="000000" w:val="single"/>
              <w:bottom w:space="0" w:sz="4" w:color="000000" w:val="single"/>
              <w:right w:val="nil"/>
            </w:tcBorders>
            <w:shd w:fill="C0C0C0" w:color="auto" w:val="clear"/>
            <w:vAlign w:val="center"/>
            <w:hideMark/>
          </w:tcPr>
          <w:p w:rsidRDefault="006D3FF2" w:rsidR="006D3FF2">
            <w:pPr>
              <w:spacing w:lineRule="atLeast" w:line="100"/>
              <w:rPr>
                <w:color w:val="000080"/>
                <w:sz w:val="24"/>
                <w:szCs w:val="24"/>
              </w:rPr>
            </w:pPr>
            <w:r>
              <w:rPr>
                <w:b/>
                <w:bCs/>
                <w:color w:val="000080"/>
              </w:rPr>
              <w:t>PASIVA</w:t>
            </w:r>
          </w:p>
        </w:tc>
        <w:tc>
          <w:tcPr>
            <w:tcW w:type="dxa" w:w="1171"/>
            <w:tcBorders>
              <w:top w:val="nil"/>
              <w:left w:space="0" w:sz="4" w:color="000000" w:val="single"/>
              <w:bottom w:space="0" w:sz="4" w:color="000000" w:val="single"/>
              <w:right w:space="0" w:sz="4" w:color="000000" w:val="single"/>
            </w:tcBorders>
            <w:shd w:fill="C0C0C0" w:color="auto" w:val="clear"/>
            <w:vAlign w:val="center"/>
            <w:hideMark/>
          </w:tcPr>
          <w:p w:rsidRDefault="006D3FF2" w:rsidR="006D3FF2">
            <w:pPr>
              <w:spacing w:lineRule="atLeast" w:line="100"/>
              <w:rPr>
                <w:sz w:val="24"/>
                <w:szCs w:val="24"/>
              </w:rPr>
            </w:pPr>
            <w:r>
              <w:rPr>
                <w:color w:val="000080"/>
              </w:rP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A)  KAPITAL I REZERVE </w:t>
            </w:r>
            <w:r>
              <w:t>(063+064+065+071+072+075+078)</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062</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-4.369.226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-4.400.313</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-3.983.514</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 TEMELJNI (UPISANI) KAPITAL</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20.000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20.000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20.000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 KAPITALNE REZERVE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III. REZERVE IZ DOBITI (066+067-068+069+070)</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065</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1. Zakonske rezerve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2. Rezerve za vlastite dionice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3. Vlastite dionice i udjeli (</w:t>
            </w:r>
            <w:proofErr w:type="spellStart"/>
            <w:r>
              <w:t>odbitna</w:t>
            </w:r>
            <w:proofErr w:type="spellEnd"/>
            <w:r>
              <w:t xml:space="preserve"> stavka)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4. Statutarne rezerve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069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5. Ostale rezerve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IV. REVALORIZACIJSKE REZERVE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V. ZADRŽANA DOBIT ILI PRENESENI GUBITAK (073-074)</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072</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-4.405.993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-4.405.993</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-4.420.313</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1. Zadržana dobit</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2. Preneseni gubitak</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4.405.993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4.405.993</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4.420.313</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VI. DOBIT ILI GUBITAK POSLOVNE GODINE (076-077)</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075</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-14.320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416.799</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lastRenderedPageBreak/>
              <w:t>1. Dobit poslovne godine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16.767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416.799</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ind w:firstLine="180"/>
              <w:rPr>
                <w:b/>
                <w:bCs/>
                <w:sz w:val="24"/>
                <w:szCs w:val="24"/>
              </w:rPr>
            </w:pPr>
            <w:r>
              <w:t>2. Gubitak poslovne godine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14.320</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color w:val="0000FF"/>
              </w:rPr>
              <w:t>VII. MANJINSKI INTERES</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B)  REZERVIRANJA </w:t>
            </w:r>
            <w:r>
              <w:t>(080 do 082)</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079</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Rezerviranja za mirovine, otpremnine i slične obveze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Rezerviranja za porezne obveze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Druga rezerviranja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C)  DUGOROČNE OBVEZE </w:t>
            </w:r>
            <w:r>
              <w:t>(084 do 092)</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0</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0</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Obveze prema povezanim poduzetnicima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Obveze za zajmove, depozite i slično</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Obveze prema bankama i drugim financijskim institucijama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Obveze za predujmove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5. Obveze prema dobavljačima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Obveze po vrijednosnim papirima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089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Obveze prema poduzetnicima u kojima postoje sudjelujući interesi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8. Ostale dugoročne obveze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9. Odgođena porezna obveza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D)  KRATKOROČNE OBVEZE </w:t>
            </w:r>
            <w:r>
              <w:t>(094 do 105)</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093</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4.521.786</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4.518.905</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4.139.665</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 Obveze prema povezanim poduzetnicima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2. Obveze za zajmove, depozite i slično</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3. Obveze prema bankama i drugim financijskim institucijama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4. Obveze za predujmove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097</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lastRenderedPageBreak/>
              <w:t xml:space="preserve">     5. Obveze prema dobavljačima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3.221.865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3.223.175</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2.843.935</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6. Obveze po vrijednosnim papirima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099</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7. Obveze prema poduzetnicima u kojima postoje sudjelujući interesi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100</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8. Obveze prema zaposlenicima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141.501</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141.501</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141.501</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9. Obveze za poreze, doprinose i slična davanja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1.072.642</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1.068.451</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1.068.451</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10. Obveze s osnove udjela u rezultatu</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103</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11. Obveze po osnovi dugotrajne imovine namijenjene prodaji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104</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t xml:space="preserve">   12. Ostale kratkoročne obveze</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105</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85.778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jc w:val="right"/>
              <w:rPr>
                <w:sz w:val="24"/>
                <w:szCs w:val="24"/>
              </w:rPr>
            </w:pPr>
            <w:r>
              <w:t>85.778</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t>85.778</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E) ODGOĐENO PLAĆANJE TROŠKOVA I PRIHOD BUDUĆEGA RAZDOBLJA</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106</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 xml:space="preserve">F) UKUPNO – PASIVA </w:t>
            </w:r>
            <w:r>
              <w:t>(062+079+083+093+106)</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107</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152.560</w:t>
            </w:r>
          </w:p>
        </w:tc>
        <w:tc>
          <w:tcPr>
            <w:tcW w:type="dxa" w:w="1071"/>
            <w:tcBorders>
              <w:top w:val="nil"/>
              <w:left w:space="0" w:sz="4" w:color="000000" w:val="single"/>
              <w:bottom w:space="0" w:sz="4" w:color="000000" w:val="single"/>
              <w:right w:val="nil"/>
            </w:tcBorders>
            <w:shd w:fill="EFEFEF" w:color="auto" w:val="clear"/>
            <w:vAlign w:val="center"/>
            <w:hideMark/>
          </w:tcPr>
          <w:p w:rsidRDefault="006D3FF2" w:rsidR="006D3FF2">
            <w:pPr>
              <w:spacing w:lineRule="atLeast" w:line="100"/>
              <w:jc w:val="right"/>
              <w:rPr>
                <w:sz w:val="24"/>
                <w:szCs w:val="24"/>
              </w:rPr>
            </w:pPr>
            <w:r>
              <w:t>118.592</w:t>
            </w:r>
          </w:p>
        </w:tc>
        <w:tc>
          <w:tcPr>
            <w:tcW w:type="dxa" w:w="1171"/>
            <w:tcBorders>
              <w:top w:val="nil"/>
              <w:left w:space="0" w:sz="4" w:color="000000" w:val="single"/>
              <w:bottom w:space="0" w:sz="4" w:color="000000" w:val="single"/>
              <w:right w:space="0" w:sz="4" w:color="000000" w:val="single"/>
            </w:tcBorders>
            <w:shd w:fill="EFEFEF" w:color="auto" w:val="clear"/>
            <w:vAlign w:val="center"/>
            <w:hideMark/>
          </w:tcPr>
          <w:p w:rsidRDefault="006D3FF2" w:rsidR="006D3FF2">
            <w:pPr>
              <w:spacing w:lineRule="atLeast" w:line="100"/>
              <w:jc w:val="right"/>
              <w:rPr>
                <w:sz w:val="24"/>
                <w:szCs w:val="24"/>
              </w:rPr>
            </w:pPr>
            <w:r>
              <w:t>156.151</w:t>
            </w:r>
          </w:p>
        </w:tc>
      </w:tr>
      <w:tr w:rsidTr="006D3FF2" w:rsidR="006D3FF2">
        <w:trPr>
          <w:trHeight w:val="300"/>
        </w:trPr>
        <w:tc>
          <w:tcPr>
            <w:tcW w:type="dxa" w:w="5384"/>
            <w:tcBorders>
              <w:top w:val="nil"/>
              <w:left w:space="0" w:sz="4" w:color="000000" w:val="single"/>
              <w:bottom w:space="0" w:sz="4" w:color="000000" w:val="single"/>
              <w:right w:val="nil"/>
            </w:tcBorders>
            <w:vAlign w:val="center"/>
            <w:hideMark/>
          </w:tcPr>
          <w:p w:rsidRDefault="006D3FF2" w:rsidR="006D3FF2">
            <w:pPr>
              <w:spacing w:lineRule="atLeast" w:line="100"/>
              <w:rPr>
                <w:b/>
                <w:bCs/>
                <w:sz w:val="24"/>
                <w:szCs w:val="24"/>
              </w:rPr>
            </w:pPr>
            <w:r>
              <w:rPr>
                <w:b/>
                <w:bCs/>
              </w:rPr>
              <w:t>G)  IZVANBILANČNI ZAPISI</w:t>
            </w:r>
          </w:p>
        </w:tc>
        <w:tc>
          <w:tcPr>
            <w:tcW w:type="dxa" w:w="691"/>
            <w:tcBorders>
              <w:top w:val="nil"/>
              <w:left w:space="0" w:sz="4" w:color="000000" w:val="single"/>
              <w:bottom w:space="0" w:sz="4" w:color="000000" w:val="single"/>
              <w:right w:val="nil"/>
            </w:tcBorders>
            <w:vAlign w:val="center"/>
            <w:hideMark/>
          </w:tcPr>
          <w:p w:rsidRDefault="006D3FF2" w:rsidR="006D3FF2">
            <w:pPr>
              <w:spacing w:lineRule="atLeast" w:line="100"/>
              <w:jc w:val="center"/>
              <w:rPr>
                <w:sz w:val="24"/>
                <w:szCs w:val="24"/>
              </w:rPr>
            </w:pPr>
            <w:r>
              <w:rPr>
                <w:b/>
                <w:bCs/>
              </w:rPr>
              <w:t>108</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071"/>
            <w:tcBorders>
              <w:top w:val="nil"/>
              <w:left w:space="0" w:sz="4" w:color="000000" w:val="single"/>
              <w:bottom w:space="0" w:sz="4" w:color="000000" w:val="single"/>
              <w:right w:val="nil"/>
            </w:tcBorders>
            <w:vAlign w:val="center"/>
            <w:hideMark/>
          </w:tcPr>
          <w:p w:rsidRDefault="006D3FF2" w:rsidR="006D3FF2">
            <w:pPr>
              <w:spacing w:lineRule="atLeast" w:line="100"/>
              <w:rPr>
                <w:sz w:val="24"/>
                <w:szCs w:val="24"/>
              </w:rPr>
            </w:pPr>
            <w:r>
              <w:t> </w:t>
            </w:r>
          </w:p>
        </w:tc>
        <w:tc>
          <w:tcPr>
            <w:tcW w:type="dxa" w:w="1171"/>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rPr>
                <w:sz w:val="24"/>
                <w:szCs w:val="24"/>
              </w:rPr>
            </w:pPr>
            <w:r>
              <w:t> </w:t>
            </w:r>
          </w:p>
        </w:tc>
      </w:tr>
    </w:tbl>
    <w:p w:rsidRDefault="006D3FF2" w:rsidP="006D3FF2" w:rsidR="006D3FF2">
      <w:pPr>
        <w:rPr>
          <w:b/>
          <w:bCs/>
        </w:rPr>
      </w:pPr>
    </w:p>
    <w:p w:rsidRDefault="006D3FF2" w:rsidP="006D3FF2" w:rsidR="006D3FF2" w:rsidRPr="006D3FF2">
      <w:pPr>
        <w:rPr>
          <w:b/>
        </w:rPr>
      </w:pPr>
      <w:r>
        <w:rPr>
          <w:b/>
          <w:bCs/>
        </w:rPr>
        <w:t xml:space="preserve">                          Pregled priljeva i odljeva</w:t>
      </w:r>
      <w:r>
        <w:rPr>
          <w:b/>
        </w:rPr>
        <w:t xml:space="preserve"> za razdoblje 04.12.2014. do okončanja stečajnog postupka</w:t>
      </w:r>
    </w:p>
    <w:p w:rsidRDefault="006D3FF2" w:rsidP="006D3FF2" w:rsidR="006D3FF2">
      <w:pPr>
        <w:widowControl w:val="false"/>
        <w:numPr>
          <w:ilvl w:val="0"/>
          <w:numId w:val="34"/>
        </w:numPr>
        <w:suppressAutoHyphens/>
        <w:spacing w:lineRule="auto" w:line="240" w:after="0"/>
      </w:pPr>
      <w:r>
        <w:t>PRILJEV NOVČANIH SREDSTAVA NA ŽIRO RAČUN</w:t>
      </w:r>
    </w:p>
    <w:p w:rsidRDefault="006D3FF2" w:rsidP="006D3FF2" w:rsidR="006D3FF2">
      <w:r>
        <w:rPr>
          <w:noProof/>
          <w:lang w:eastAsia="hr-HR"/>
        </w:rPr>
        <w:drawing>
          <wp:inline distR="0" distL="0" distB="0" distT="0">
            <wp:extent cy="1943100" cx="6219825"/>
            <wp:effectExtent b="0" r="9525" t="0" l="0"/>
            <wp:docPr name="Slika 4" id="4"/>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43100" cx="6219825"/>
                    </a:xfrm>
                    <a:prstGeom prst="rect">
                      <a:avLst/>
                    </a:prstGeom>
                    <a:solidFill>
                      <a:srgbClr val="FFFFFF"/>
                    </a:solidFill>
                    <a:ln>
                      <a:noFill/>
                    </a:ln>
                  </pic:spPr>
                </pic:pic>
              </a:graphicData>
            </a:graphic>
          </wp:inline>
        </w:drawing>
      </w:r>
    </w:p>
    <w:p w:rsidRDefault="006D3FF2" w:rsidP="006D3FF2" w:rsidR="006D3FF2">
      <w:pPr>
        <w:ind w:left="720"/>
      </w:pPr>
    </w:p>
    <w:p w:rsidRDefault="006D3FF2" w:rsidP="006D3FF2" w:rsidR="006D3FF2"/>
    <w:p w:rsidRDefault="006D3FF2" w:rsidP="006D3FF2" w:rsidR="006D3FF2">
      <w:pPr>
        <w:widowControl w:val="false"/>
        <w:numPr>
          <w:ilvl w:val="0"/>
          <w:numId w:val="34"/>
        </w:numPr>
        <w:suppressAutoHyphens/>
        <w:spacing w:lineRule="auto" w:line="240" w:after="0"/>
      </w:pPr>
      <w:r>
        <w:t>ODLJEV NOVČANIH SREDSTAVA SA ŽIRO RAČUNA</w:t>
      </w:r>
    </w:p>
    <w:p w:rsidRDefault="006D3FF2" w:rsidP="006D3FF2" w:rsidR="006D3FF2"/>
    <w:p w:rsidRDefault="006D3FF2" w:rsidP="006D3FF2" w:rsidR="006D3FF2">
      <w:r>
        <w:rPr>
          <w:noProof/>
          <w:lang w:eastAsia="hr-HR"/>
        </w:rPr>
        <w:drawing>
          <wp:inline distR="0" distL="0" distB="0" distT="0">
            <wp:extent cy="3743325" cx="6229350"/>
            <wp:effectExtent b="9525" r="0" t="0" l="0"/>
            <wp:docPr name="Slika 3" id="3"/>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43325" cx="6229350"/>
                    </a:xfrm>
                    <a:prstGeom prst="rect">
                      <a:avLst/>
                    </a:prstGeom>
                    <a:solidFill>
                      <a:srgbClr val="FFFFFF"/>
                    </a:solidFill>
                    <a:ln>
                      <a:noFill/>
                    </a:ln>
                  </pic:spPr>
                </pic:pic>
              </a:graphicData>
            </a:graphic>
          </wp:inline>
        </w:drawing>
      </w:r>
    </w:p>
    <w:p w:rsidRDefault="006D3FF2" w:rsidP="006D3FF2" w:rsidR="006D3FF2">
      <w:r>
        <w:t>REKAPITULACIJA PRILJEVA I ODLJEVA NOVČANIH SREDSTAVA</w:t>
      </w:r>
    </w:p>
    <w:p w:rsidRDefault="006D3FF2" w:rsidP="006D3FF2" w:rsidR="006D3FF2"/>
    <w:p w:rsidRDefault="006D3FF2" w:rsidP="006D3FF2" w:rsidR="006D3FF2">
      <w:r>
        <w:rPr>
          <w:noProof/>
          <w:lang w:eastAsia="hr-HR"/>
        </w:rPr>
        <w:drawing>
          <wp:inline distR="0" distL="0" distB="0" distT="0">
            <wp:extent cy="2047875" cx="6296025"/>
            <wp:effectExtent b="9525"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047875" cx="6296025"/>
                    </a:xfrm>
                    <a:prstGeom prst="rect">
                      <a:avLst/>
                    </a:prstGeom>
                    <a:solidFill>
                      <a:srgbClr val="FFFFFF"/>
                    </a:solidFill>
                    <a:ln>
                      <a:noFill/>
                    </a:ln>
                  </pic:spPr>
                </pic:pic>
              </a:graphicData>
            </a:graphic>
          </wp:inline>
        </w:drawing>
      </w:r>
    </w:p>
    <w:p w:rsidRDefault="006D3FF2" w:rsidP="006D3FF2" w:rsidR="006D3FF2"/>
    <w:p w:rsidRDefault="006D3FF2" w:rsidP="006D3FF2" w:rsidR="006D3FF2" w:rsidRPr="006D3FF2">
      <w:pPr>
        <w:pStyle w:val="Bezproreda"/>
        <w:rPr>
          <w:rFonts w:hAnsi="Times New Roman" w:ascii="Times New Roman"/>
          <w:sz w:val="24"/>
          <w:szCs w:val="24"/>
        </w:rPr>
      </w:pPr>
      <w:r w:rsidRPr="006D3FF2">
        <w:rPr>
          <w:rFonts w:hAnsi="Times New Roman" w:ascii="Times New Roman"/>
          <w:sz w:val="24"/>
          <w:szCs w:val="24"/>
        </w:rPr>
        <w:t xml:space="preserve">      Novčana sredstva na žiro računu na dan 20.ožujka 2017. godine iznose 54.340,26 kn.</w:t>
      </w:r>
    </w:p>
    <w:p w:rsidRDefault="006D3FF2" w:rsidP="006D3FF2" w:rsidR="006D3FF2" w:rsidRPr="006D3FF2">
      <w:pPr>
        <w:pStyle w:val="Bezproreda"/>
        <w:rPr>
          <w:rFonts w:hAnsi="Times New Roman" w:ascii="Times New Roman"/>
          <w:sz w:val="24"/>
          <w:szCs w:val="24"/>
        </w:rPr>
      </w:pPr>
    </w:p>
    <w:p w:rsidRDefault="006D3FF2" w:rsidP="006D3FF2" w:rsidR="006D3FF2" w:rsidRPr="006D3FF2">
      <w:pPr>
        <w:pStyle w:val="Bezproreda"/>
        <w:rPr>
          <w:rFonts w:hAnsi="Times New Roman" w:ascii="Times New Roman"/>
          <w:b/>
          <w:bCs/>
          <w:sz w:val="24"/>
          <w:szCs w:val="24"/>
        </w:rPr>
      </w:pPr>
    </w:p>
    <w:p w:rsidRDefault="006D3FF2" w:rsidP="006D3FF2" w:rsidR="006D3FF2" w:rsidRPr="006D3FF2">
      <w:pPr>
        <w:pStyle w:val="Bezproreda"/>
        <w:rPr>
          <w:rFonts w:hAnsi="Times New Roman" w:ascii="Times New Roman"/>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b/>
          <w:bCs/>
          <w:sz w:val="24"/>
          <w:szCs w:val="24"/>
        </w:rPr>
        <w:lastRenderedPageBreak/>
        <w:t xml:space="preserve">      </w:t>
      </w:r>
      <w:r w:rsidRPr="006D3FF2">
        <w:rPr>
          <w:rFonts w:hAnsi="Times New Roman" w:ascii="Times New Roman"/>
          <w:sz w:val="24"/>
          <w:szCs w:val="24"/>
        </w:rPr>
        <w:t>Rješenjem Trgovačkog suda u Osijeku 6 St349/14-3 od 14.</w:t>
      </w:r>
      <w:r w:rsidR="00046DB0">
        <w:rPr>
          <w:rFonts w:hAnsi="Times New Roman" w:ascii="Times New Roman"/>
          <w:sz w:val="24"/>
          <w:szCs w:val="24"/>
        </w:rPr>
        <w:t xml:space="preserve"> </w:t>
      </w:r>
      <w:r w:rsidRPr="006D3FF2">
        <w:rPr>
          <w:rFonts w:hAnsi="Times New Roman" w:ascii="Times New Roman"/>
          <w:sz w:val="24"/>
          <w:szCs w:val="24"/>
        </w:rPr>
        <w:t xml:space="preserve">studenog 2014. godine, </w:t>
      </w:r>
      <w:r w:rsidR="00046DB0">
        <w:rPr>
          <w:rFonts w:hAnsi="Times New Roman" w:ascii="Times New Roman"/>
          <w:sz w:val="24"/>
          <w:szCs w:val="24"/>
        </w:rPr>
        <w:t>za privremenu stečaju upraviteljicu imenovana je Nada Gagro iz Vinkovaca.</w:t>
      </w:r>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Tijekom prethodnog postupka utvrđeno postojanje stečajnih razloga, te je otvoren stečajni postupak rješenjem ovog suda broj 6St-349/14-10 od 04.prosinca 2015.godine.</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Dužnik je registriran kao društvo s ograničenom odgovornošću  kod Trgovačkog suda u Osijeku  s brojem subjekta 030014721,OIB 66024669033 i s upisanim temeljnim kapitalom u iznosu od 20.000,00 kn .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Osnivač društva i zakonski zastupnik društva je bio Krunoslav </w:t>
      </w:r>
      <w:proofErr w:type="spellStart"/>
      <w:r w:rsidRPr="006D3FF2">
        <w:rPr>
          <w:rFonts w:hAnsi="Times New Roman" w:ascii="Times New Roman"/>
          <w:sz w:val="24"/>
          <w:szCs w:val="24"/>
        </w:rPr>
        <w:t>Mužević</w:t>
      </w:r>
      <w:proofErr w:type="spellEnd"/>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Sjedište dužnika je u Valpovu, Tina Ujevića 20.</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Dužnik je  vodio poslovne knjige i predana su financijska izvješća za  2013.godinu.</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Dužnik  je obavljao poslovanje putem žiro račun broj:</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HR02 24120091138002337 Slatinska banka d.d. Slatina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HR06 23400091100050155 Privredna banka d.d.Zagreb</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HR35 25000091102054551 Hypo Alpe </w:t>
      </w:r>
      <w:proofErr w:type="spellStart"/>
      <w:r w:rsidRPr="006D3FF2">
        <w:rPr>
          <w:rFonts w:hAnsi="Times New Roman" w:ascii="Times New Roman"/>
          <w:sz w:val="24"/>
          <w:szCs w:val="24"/>
        </w:rPr>
        <w:t>Adria</w:t>
      </w:r>
      <w:proofErr w:type="spellEnd"/>
      <w:r w:rsidRPr="006D3FF2">
        <w:rPr>
          <w:rFonts w:hAnsi="Times New Roman" w:ascii="Times New Roman"/>
          <w:sz w:val="24"/>
          <w:szCs w:val="24"/>
        </w:rPr>
        <w:t xml:space="preserve"> Bank d.d. Zagreb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i navedeni računi  su u neprekidnoj blokadi u neprekidnoj blokadi se nalazi od 23.srpnja 2011. godine.  </w:t>
      </w:r>
    </w:p>
    <w:p w:rsidRDefault="00046DB0" w:rsidP="006D3FF2" w:rsidR="006D3FF2" w:rsidRPr="006D3FF2">
      <w:pPr>
        <w:pStyle w:val="Bezproreda"/>
        <w:jc w:val="both"/>
        <w:rPr>
          <w:rFonts w:hAnsi="Times New Roman" w:ascii="Times New Roman"/>
          <w:sz w:val="24"/>
          <w:szCs w:val="24"/>
        </w:rPr>
      </w:pPr>
      <w:r>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Prijedlog za pokretanje stečajnog postupka  podnio je vjerovnik RH MF Porezna uprava Područni ured Osijek.</w:t>
      </w:r>
    </w:p>
    <w:p w:rsidRDefault="006D3FF2" w:rsidP="006D3FF2" w:rsidR="006D3FF2" w:rsidRPr="006D3FF2">
      <w:pPr>
        <w:pStyle w:val="Bezproreda"/>
        <w:jc w:val="both"/>
        <w:rPr>
          <w:rFonts w:hAnsi="Times New Roman" w:ascii="Times New Roman"/>
          <w:sz w:val="24"/>
          <w:szCs w:val="24"/>
        </w:rPr>
      </w:pPr>
    </w:p>
    <w:p w:rsidRDefault="006D3FF2" w:rsidP="006D3FF2" w:rsidR="006D3FF2" w:rsidRPr="006D3FF2">
      <w:pPr>
        <w:pStyle w:val="Bezproreda"/>
        <w:jc w:val="both"/>
        <w:rPr>
          <w:rFonts w:hAnsi="Times New Roman" w:ascii="Times New Roman"/>
          <w:b/>
          <w:bCs/>
          <w:sz w:val="24"/>
          <w:szCs w:val="24"/>
        </w:rPr>
      </w:pPr>
      <w:r w:rsidRPr="006D3FF2">
        <w:rPr>
          <w:rFonts w:hAnsi="Times New Roman" w:ascii="Times New Roman"/>
          <w:sz w:val="24"/>
          <w:szCs w:val="24"/>
        </w:rPr>
        <w:t xml:space="preserve">     Dužnik je obavljao djelatnost ostala trgovina na malo  novom robom u specijalizirani prodavaonicama (veterinarske ljekarne). </w:t>
      </w:r>
    </w:p>
    <w:p w:rsidRDefault="006D3FF2" w:rsidP="006D3FF2" w:rsidR="006D3FF2" w:rsidRPr="006D3FF2">
      <w:pPr>
        <w:pStyle w:val="Bezproreda"/>
        <w:jc w:val="both"/>
        <w:rPr>
          <w:rFonts w:hAnsi="Times New Roman" w:ascii="Times New Roman"/>
          <w:b/>
          <w:bCs/>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Nakon otvaranja stečajnog postupka uz angažiranje knjigovodstvenog servisa FIDES ( s kojim </w:t>
      </w:r>
      <w:r w:rsidR="00046DB0">
        <w:rPr>
          <w:rFonts w:hAnsi="Times New Roman" w:ascii="Times New Roman"/>
          <w:sz w:val="24"/>
          <w:szCs w:val="24"/>
        </w:rPr>
        <w:t>je</w:t>
      </w:r>
      <w:r w:rsidRPr="006D3FF2">
        <w:rPr>
          <w:rFonts w:hAnsi="Times New Roman" w:ascii="Times New Roman"/>
          <w:sz w:val="24"/>
          <w:szCs w:val="24"/>
        </w:rPr>
        <w:t xml:space="preserve"> zaključ</w:t>
      </w:r>
      <w:r w:rsidR="00046DB0">
        <w:rPr>
          <w:rFonts w:hAnsi="Times New Roman" w:ascii="Times New Roman"/>
          <w:sz w:val="24"/>
          <w:szCs w:val="24"/>
        </w:rPr>
        <w:t>en</w:t>
      </w:r>
      <w:r w:rsidRPr="006D3FF2">
        <w:rPr>
          <w:rFonts w:hAnsi="Times New Roman" w:ascii="Times New Roman"/>
          <w:sz w:val="24"/>
          <w:szCs w:val="24"/>
        </w:rPr>
        <w:t xml:space="preserve"> ugovor</w:t>
      </w:r>
      <w:r w:rsidR="00046DB0">
        <w:rPr>
          <w:rFonts w:hAnsi="Times New Roman" w:ascii="Times New Roman"/>
          <w:sz w:val="24"/>
          <w:szCs w:val="24"/>
        </w:rPr>
        <w:t xml:space="preserve"> o</w:t>
      </w:r>
      <w:r w:rsidRPr="006D3FF2">
        <w:rPr>
          <w:rFonts w:hAnsi="Times New Roman" w:ascii="Times New Roman"/>
          <w:sz w:val="24"/>
          <w:szCs w:val="24"/>
        </w:rPr>
        <w:t xml:space="preserve"> obavljanju knjigovodstvenih usluga u stečaju uz naknadu od 1.000,00 kn uvećano za PDV mjesečno) pristupilo se preuzimanju poslovne dokumentacije  radi utvrđivanja stvarnog činjeničnog stanja i ažuriranja knjigovodstvenih podataka stečajnog dužnika.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Na ispitnom ročištu koje je održano 29.siječnja 2015. godine priznate tražbine prvog višeg </w:t>
      </w:r>
      <w:proofErr w:type="spellStart"/>
      <w:r w:rsidRPr="006D3FF2">
        <w:rPr>
          <w:rFonts w:hAnsi="Times New Roman" w:ascii="Times New Roman"/>
          <w:sz w:val="24"/>
          <w:szCs w:val="24"/>
        </w:rPr>
        <w:t>ispaltnog</w:t>
      </w:r>
      <w:proofErr w:type="spellEnd"/>
      <w:r w:rsidRPr="006D3FF2">
        <w:rPr>
          <w:rFonts w:hAnsi="Times New Roman" w:ascii="Times New Roman"/>
          <w:sz w:val="24"/>
          <w:szCs w:val="24"/>
        </w:rPr>
        <w:t xml:space="preserve">  reda u  iznosu od 579.308,34 kn i tražbine drugog višeg isplatnog reda u iznosu od 1.494.223,49 kn.</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Na izvještajnom  ročištu  koje je održano  istoga dana podnijela sam izvješće o stanje imovine  i obveza i  utvrđenim nepravilnostima glede trošenja novčanih  sredstva bez vjerodostojne dokumentacije.   </w:t>
      </w:r>
    </w:p>
    <w:p w:rsidRDefault="006D3FF2" w:rsidP="006D3FF2" w:rsidR="006D3FF2" w:rsidRPr="006D3FF2">
      <w:pPr>
        <w:pStyle w:val="Bezproreda"/>
        <w:jc w:val="both"/>
        <w:rPr>
          <w:rFonts w:hAnsi="Times New Roman" w:ascii="Times New Roman"/>
          <w:b/>
          <w:bCs/>
          <w:kern w:val="2"/>
          <w:sz w:val="24"/>
          <w:szCs w:val="24"/>
        </w:rPr>
      </w:pPr>
      <w:r w:rsidRPr="006D3FF2">
        <w:rPr>
          <w:rFonts w:hAnsi="Times New Roman" w:ascii="Times New Roman"/>
          <w:sz w:val="24"/>
          <w:szCs w:val="24"/>
        </w:rPr>
        <w:t xml:space="preserve">   Sukladno odluci Odbora vjerovnika svoje izvješće o utvrđenim nepravilnostima dostavila</w:t>
      </w:r>
      <w:r w:rsidR="00046DB0">
        <w:rPr>
          <w:rFonts w:hAnsi="Times New Roman" w:ascii="Times New Roman"/>
          <w:sz w:val="24"/>
          <w:szCs w:val="24"/>
        </w:rPr>
        <w:t xml:space="preserve"> je</w:t>
      </w:r>
      <w:r w:rsidRPr="006D3FF2">
        <w:rPr>
          <w:rFonts w:hAnsi="Times New Roman" w:ascii="Times New Roman"/>
          <w:sz w:val="24"/>
          <w:szCs w:val="24"/>
        </w:rPr>
        <w:t xml:space="preserve"> nadležnom državnom odvjetništvu na daljnje postupanje,</w:t>
      </w:r>
      <w:r w:rsidR="00046DB0">
        <w:rPr>
          <w:rFonts w:hAnsi="Times New Roman" w:ascii="Times New Roman"/>
          <w:sz w:val="24"/>
          <w:szCs w:val="24"/>
        </w:rPr>
        <w:t xml:space="preserve"> </w:t>
      </w:r>
      <w:r w:rsidRPr="006D3FF2">
        <w:rPr>
          <w:rFonts w:hAnsi="Times New Roman" w:ascii="Times New Roman"/>
          <w:sz w:val="24"/>
          <w:szCs w:val="24"/>
        </w:rPr>
        <w:t>ali nema nikakv</w:t>
      </w:r>
      <w:r w:rsidR="00046DB0">
        <w:rPr>
          <w:rFonts w:hAnsi="Times New Roman" w:ascii="Times New Roman"/>
          <w:sz w:val="24"/>
          <w:szCs w:val="24"/>
        </w:rPr>
        <w:t>ih</w:t>
      </w:r>
      <w:r w:rsidRPr="006D3FF2">
        <w:rPr>
          <w:rFonts w:hAnsi="Times New Roman" w:ascii="Times New Roman"/>
          <w:sz w:val="24"/>
          <w:szCs w:val="24"/>
        </w:rPr>
        <w:t xml:space="preserve"> daljnj</w:t>
      </w:r>
      <w:r w:rsidR="00046DB0">
        <w:rPr>
          <w:rFonts w:hAnsi="Times New Roman" w:ascii="Times New Roman"/>
          <w:sz w:val="24"/>
          <w:szCs w:val="24"/>
        </w:rPr>
        <w:t>ih</w:t>
      </w:r>
      <w:r w:rsidRPr="006D3FF2">
        <w:rPr>
          <w:rFonts w:hAnsi="Times New Roman" w:ascii="Times New Roman"/>
          <w:sz w:val="24"/>
          <w:szCs w:val="24"/>
        </w:rPr>
        <w:t xml:space="preserve"> saznanja u svezi toga.    </w:t>
      </w:r>
    </w:p>
    <w:p w:rsidRDefault="006D3FF2" w:rsidP="006D3FF2" w:rsidR="006D3FF2" w:rsidRPr="006D3FF2">
      <w:pPr>
        <w:pStyle w:val="Bezproreda"/>
        <w:rPr>
          <w:rFonts w:hAnsi="Times New Roman" w:ascii="Times New Roman"/>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Stečajnu  masu su  činile samo  nekretnine stečajnog dužnika opterećene </w:t>
      </w:r>
      <w:proofErr w:type="spellStart"/>
      <w:r w:rsidRPr="006D3FF2">
        <w:rPr>
          <w:rFonts w:hAnsi="Times New Roman" w:ascii="Times New Roman"/>
          <w:sz w:val="24"/>
          <w:szCs w:val="24"/>
        </w:rPr>
        <w:t>razlučnim</w:t>
      </w:r>
      <w:proofErr w:type="spellEnd"/>
      <w:r w:rsidRPr="006D3FF2">
        <w:rPr>
          <w:rFonts w:hAnsi="Times New Roman" w:ascii="Times New Roman"/>
          <w:sz w:val="24"/>
          <w:szCs w:val="24"/>
        </w:rPr>
        <w:t xml:space="preserve"> pravima i to:</w:t>
      </w:r>
    </w:p>
    <w:p w:rsidRDefault="006D3FF2" w:rsidP="006D3FF2" w:rsidR="006D3FF2" w:rsidRPr="006D3FF2">
      <w:pPr>
        <w:pStyle w:val="Bezproreda"/>
        <w:jc w:val="both"/>
        <w:rPr>
          <w:rFonts w:hAnsi="Times New Roman" w:ascii="Times New Roman"/>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nekretnina upisana u </w:t>
      </w:r>
      <w:proofErr w:type="spellStart"/>
      <w:r w:rsidRPr="006D3FF2">
        <w:rPr>
          <w:rFonts w:hAnsi="Times New Roman" w:ascii="Times New Roman"/>
          <w:b/>
          <w:bCs/>
          <w:sz w:val="24"/>
          <w:szCs w:val="24"/>
        </w:rPr>
        <w:t>zk.ul</w:t>
      </w:r>
      <w:proofErr w:type="spellEnd"/>
      <w:r w:rsidRPr="006D3FF2">
        <w:rPr>
          <w:rFonts w:hAnsi="Times New Roman" w:ascii="Times New Roman"/>
          <w:b/>
          <w:bCs/>
          <w:sz w:val="24"/>
          <w:szCs w:val="24"/>
        </w:rPr>
        <w:t>. 1719 k.o. Beli Manastir kč.br. 913/1 dvije zgrade s 566 m2</w:t>
      </w:r>
      <w:r w:rsidRPr="006D3FF2">
        <w:rPr>
          <w:rFonts w:hAnsi="Times New Roman" w:ascii="Times New Roman"/>
          <w:sz w:val="24"/>
          <w:szCs w:val="24"/>
        </w:rPr>
        <w:t xml:space="preserve">  procijenjena na iznos</w:t>
      </w:r>
      <w:r w:rsidRPr="006D3FF2">
        <w:rPr>
          <w:rFonts w:hAnsi="Times New Roman" w:ascii="Times New Roman"/>
          <w:b/>
          <w:bCs/>
          <w:sz w:val="24"/>
          <w:szCs w:val="24"/>
        </w:rPr>
        <w:t xml:space="preserve"> od 226.128,63 kn s </w:t>
      </w:r>
      <w:r w:rsidRPr="006D3FF2">
        <w:rPr>
          <w:rFonts w:hAnsi="Times New Roman" w:ascii="Times New Roman"/>
          <w:sz w:val="24"/>
          <w:szCs w:val="24"/>
        </w:rPr>
        <w:t xml:space="preserve"> upisanim založnim pravima za korist Izgradnja d.o.o. Tenja za iznos od 350.000,00 kn  i RH MF Porezna uprava za iznos od 397.085,90 kn uvećano za zatezne kamate koje teku od 16.travnja 2012. godine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i</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lastRenderedPageBreak/>
        <w:t>nekretnina upisana u zk.ul.</w:t>
      </w:r>
      <w:r w:rsidRPr="006D3FF2">
        <w:rPr>
          <w:rFonts w:hAnsi="Times New Roman" w:ascii="Times New Roman"/>
          <w:b/>
          <w:bCs/>
          <w:sz w:val="24"/>
          <w:szCs w:val="24"/>
        </w:rPr>
        <w:t>zk.ul.656 k.o.Bilje kč.br.1402 zgrada i dvorište ulica Rade</w:t>
      </w:r>
      <w:r w:rsidRPr="006D3FF2">
        <w:rPr>
          <w:rFonts w:hAnsi="Times New Roman" w:ascii="Times New Roman"/>
          <w:sz w:val="24"/>
          <w:szCs w:val="24"/>
        </w:rPr>
        <w:t xml:space="preserve"> </w:t>
      </w:r>
      <w:r w:rsidRPr="006D3FF2">
        <w:rPr>
          <w:rFonts w:hAnsi="Times New Roman" w:ascii="Times New Roman"/>
          <w:b/>
          <w:bCs/>
          <w:sz w:val="24"/>
          <w:szCs w:val="24"/>
        </w:rPr>
        <w:t xml:space="preserve">Končara s 1956 m2 </w:t>
      </w:r>
      <w:r w:rsidRPr="006D3FF2">
        <w:rPr>
          <w:rFonts w:hAnsi="Times New Roman" w:ascii="Times New Roman"/>
          <w:sz w:val="24"/>
          <w:szCs w:val="24"/>
        </w:rPr>
        <w:t>procijenjena  na iznos</w:t>
      </w:r>
      <w:r w:rsidRPr="006D3FF2">
        <w:rPr>
          <w:rFonts w:hAnsi="Times New Roman" w:ascii="Times New Roman"/>
          <w:b/>
          <w:bCs/>
          <w:sz w:val="24"/>
          <w:szCs w:val="24"/>
        </w:rPr>
        <w:t xml:space="preserve"> od 769.654,13 kn s </w:t>
      </w:r>
      <w:r w:rsidRPr="006D3FF2">
        <w:rPr>
          <w:rFonts w:hAnsi="Times New Roman" w:ascii="Times New Roman"/>
          <w:sz w:val="24"/>
          <w:szCs w:val="24"/>
        </w:rPr>
        <w:t xml:space="preserve">upisanim založnim pravima za korist  Medika d.d.Zagreb za iznos od 856.399,96 kn uvećano  za zakonske zatezne kamate  i za korist HR MF Porezna uprava za iznos od 397.085,90  kn uvećano za zakonske zatezne kamate koje teku od 16.travnja 2012.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Navedene nekretnine </w:t>
      </w:r>
      <w:r w:rsidR="00046DB0">
        <w:rPr>
          <w:rFonts w:hAnsi="Times New Roman" w:ascii="Times New Roman"/>
          <w:sz w:val="24"/>
          <w:szCs w:val="24"/>
        </w:rPr>
        <w:t>su</w:t>
      </w:r>
      <w:r w:rsidRPr="006D3FF2">
        <w:rPr>
          <w:rFonts w:hAnsi="Times New Roman" w:ascii="Times New Roman"/>
          <w:sz w:val="24"/>
          <w:szCs w:val="24"/>
        </w:rPr>
        <w:t xml:space="preserve"> se unovčavale u stečajnom postupku sukladno odredbi čl.164. Stečajnog zakona i obje su nekretnine  unovčene na 4.</w:t>
      </w:r>
      <w:r w:rsidR="00046DB0">
        <w:rPr>
          <w:rFonts w:hAnsi="Times New Roman" w:ascii="Times New Roman"/>
          <w:sz w:val="24"/>
          <w:szCs w:val="24"/>
        </w:rPr>
        <w:t xml:space="preserve"> </w:t>
      </w:r>
      <w:r w:rsidRPr="006D3FF2">
        <w:rPr>
          <w:rFonts w:hAnsi="Times New Roman" w:ascii="Times New Roman"/>
          <w:sz w:val="24"/>
          <w:szCs w:val="24"/>
        </w:rPr>
        <w:t xml:space="preserve">javnoj dražbi koja je održana 20. travnja 2016. godine.  </w:t>
      </w:r>
    </w:p>
    <w:p w:rsidRDefault="006D3FF2" w:rsidP="006D3FF2" w:rsidR="006D3FF2" w:rsidRPr="006D3FF2">
      <w:pPr>
        <w:pStyle w:val="Bezproreda"/>
        <w:jc w:val="both"/>
        <w:rPr>
          <w:rFonts w:hAnsi="Times New Roman" w:ascii="Times New Roman"/>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Nekretninu upisanu u </w:t>
      </w:r>
      <w:proofErr w:type="spellStart"/>
      <w:r w:rsidRPr="006D3FF2">
        <w:rPr>
          <w:rFonts w:hAnsi="Times New Roman" w:ascii="Times New Roman"/>
          <w:b/>
          <w:bCs/>
          <w:sz w:val="24"/>
          <w:szCs w:val="24"/>
        </w:rPr>
        <w:t>zk.ul</w:t>
      </w:r>
      <w:proofErr w:type="spellEnd"/>
      <w:r w:rsidRPr="006D3FF2">
        <w:rPr>
          <w:rFonts w:hAnsi="Times New Roman" w:ascii="Times New Roman"/>
          <w:b/>
          <w:bCs/>
          <w:sz w:val="24"/>
          <w:szCs w:val="24"/>
        </w:rPr>
        <w:t xml:space="preserve">. 1719 k.o. Beli Manastir </w:t>
      </w:r>
      <w:proofErr w:type="spellStart"/>
      <w:r w:rsidRPr="006D3FF2">
        <w:rPr>
          <w:rFonts w:hAnsi="Times New Roman" w:ascii="Times New Roman"/>
          <w:b/>
          <w:bCs/>
          <w:sz w:val="24"/>
          <w:szCs w:val="24"/>
        </w:rPr>
        <w:t>kč</w:t>
      </w:r>
      <w:proofErr w:type="spellEnd"/>
      <w:r w:rsidRPr="006D3FF2">
        <w:rPr>
          <w:rFonts w:hAnsi="Times New Roman" w:ascii="Times New Roman"/>
          <w:b/>
          <w:bCs/>
          <w:sz w:val="24"/>
          <w:szCs w:val="24"/>
        </w:rPr>
        <w:t>,br. 913/1 dvije zgrade s 566 m2</w:t>
      </w:r>
      <w:r w:rsidRPr="006D3FF2">
        <w:rPr>
          <w:rFonts w:hAnsi="Times New Roman" w:ascii="Times New Roman"/>
          <w:sz w:val="24"/>
          <w:szCs w:val="24"/>
        </w:rPr>
        <w:t xml:space="preserve">  kupio je kupac Drago Mihaljević -Jurić iz Belišća, Tomislava 41 za iznos od 145.000,00 kn.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Nekretninu upisanu u zk.ul.</w:t>
      </w:r>
      <w:r w:rsidRPr="006D3FF2">
        <w:rPr>
          <w:rFonts w:hAnsi="Times New Roman" w:ascii="Times New Roman"/>
          <w:b/>
          <w:bCs/>
          <w:sz w:val="24"/>
          <w:szCs w:val="24"/>
        </w:rPr>
        <w:t>zk.ul.656 k.o.Bilje kč.br.1402 zgrada i dvorište ulica Rade</w:t>
      </w:r>
      <w:r w:rsidRPr="006D3FF2">
        <w:rPr>
          <w:rFonts w:hAnsi="Times New Roman" w:ascii="Times New Roman"/>
          <w:sz w:val="24"/>
          <w:szCs w:val="24"/>
        </w:rPr>
        <w:t xml:space="preserve"> </w:t>
      </w:r>
      <w:r w:rsidRPr="006D3FF2">
        <w:rPr>
          <w:rFonts w:hAnsi="Times New Roman" w:ascii="Times New Roman"/>
          <w:b/>
          <w:bCs/>
          <w:sz w:val="24"/>
          <w:szCs w:val="24"/>
        </w:rPr>
        <w:t xml:space="preserve">Končara s 1956 m2 </w:t>
      </w:r>
      <w:r w:rsidRPr="006D3FF2">
        <w:rPr>
          <w:rFonts w:hAnsi="Times New Roman" w:ascii="Times New Roman"/>
          <w:sz w:val="24"/>
          <w:szCs w:val="24"/>
        </w:rPr>
        <w:t xml:space="preserve">kupio je </w:t>
      </w:r>
      <w:proofErr w:type="spellStart"/>
      <w:r w:rsidRPr="006D3FF2">
        <w:rPr>
          <w:rFonts w:hAnsi="Times New Roman" w:ascii="Times New Roman"/>
          <w:sz w:val="24"/>
          <w:szCs w:val="24"/>
        </w:rPr>
        <w:t>razlučni</w:t>
      </w:r>
      <w:proofErr w:type="spellEnd"/>
      <w:r w:rsidRPr="006D3FF2">
        <w:rPr>
          <w:rFonts w:hAnsi="Times New Roman" w:ascii="Times New Roman"/>
          <w:sz w:val="24"/>
          <w:szCs w:val="24"/>
        </w:rPr>
        <w:t xml:space="preserve"> vjerovnik Medika  d.d. Zagreb za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iznos od  492.579,00 kn i tražio je oslobađanje od plaćanja </w:t>
      </w:r>
      <w:proofErr w:type="spellStart"/>
      <w:r w:rsidRPr="006D3FF2">
        <w:rPr>
          <w:rFonts w:hAnsi="Times New Roman" w:ascii="Times New Roman"/>
          <w:sz w:val="24"/>
          <w:szCs w:val="24"/>
        </w:rPr>
        <w:t>kupovnine</w:t>
      </w:r>
      <w:proofErr w:type="spellEnd"/>
      <w:r w:rsidRPr="006D3FF2">
        <w:rPr>
          <w:rFonts w:hAnsi="Times New Roman" w:ascii="Times New Roman"/>
          <w:sz w:val="24"/>
          <w:szCs w:val="24"/>
        </w:rPr>
        <w:t xml:space="preserve"> jer mu je priznata tražbina viša s tim da ga je sud obvezao na uplatu troškova unovčenja sukladno odredbi  čl. 170. Stečajnog zakona u iznosu 116.129,22 kn i te troškove je kupac i uplatio i novčana sredstva su doznačena u stečajnu masu.</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Budući da su kako je već naznačeno </w:t>
      </w:r>
      <w:proofErr w:type="spellStart"/>
      <w:r w:rsidRPr="006D3FF2">
        <w:rPr>
          <w:rFonts w:hAnsi="Times New Roman" w:ascii="Times New Roman"/>
          <w:sz w:val="24"/>
          <w:szCs w:val="24"/>
        </w:rPr>
        <w:t>kupovnina</w:t>
      </w:r>
      <w:proofErr w:type="spellEnd"/>
      <w:r w:rsidRPr="006D3FF2">
        <w:rPr>
          <w:rFonts w:hAnsi="Times New Roman" w:ascii="Times New Roman"/>
          <w:sz w:val="24"/>
          <w:szCs w:val="24"/>
        </w:rPr>
        <w:t xml:space="preserve">  i troškovi unovčenja  uplaćeni  na račun suda, sud je  zaključkom naložio  upis prava vlasništva  i predao nekretnine u posjed kupcima.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Sudu </w:t>
      </w:r>
      <w:r w:rsidR="00046DB0">
        <w:rPr>
          <w:rFonts w:hAnsi="Times New Roman" w:ascii="Times New Roman"/>
          <w:sz w:val="24"/>
          <w:szCs w:val="24"/>
        </w:rPr>
        <w:t>je</w:t>
      </w:r>
      <w:r w:rsidRPr="006D3FF2">
        <w:rPr>
          <w:rFonts w:hAnsi="Times New Roman" w:ascii="Times New Roman"/>
          <w:sz w:val="24"/>
          <w:szCs w:val="24"/>
        </w:rPr>
        <w:t xml:space="preserve"> dostav</w:t>
      </w:r>
      <w:r w:rsidR="00046DB0">
        <w:rPr>
          <w:rFonts w:hAnsi="Times New Roman" w:ascii="Times New Roman"/>
          <w:sz w:val="24"/>
          <w:szCs w:val="24"/>
        </w:rPr>
        <w:t>ljen</w:t>
      </w:r>
      <w:r w:rsidRPr="006D3FF2">
        <w:rPr>
          <w:rFonts w:hAnsi="Times New Roman" w:ascii="Times New Roman"/>
          <w:sz w:val="24"/>
          <w:szCs w:val="24"/>
        </w:rPr>
        <w:t xml:space="preserve"> prijedlog  podjele </w:t>
      </w:r>
      <w:proofErr w:type="spellStart"/>
      <w:r w:rsidRPr="006D3FF2">
        <w:rPr>
          <w:rFonts w:hAnsi="Times New Roman" w:ascii="Times New Roman"/>
          <w:sz w:val="24"/>
          <w:szCs w:val="24"/>
        </w:rPr>
        <w:t>kupovnine</w:t>
      </w:r>
      <w:proofErr w:type="spellEnd"/>
      <w:r w:rsidRPr="006D3FF2">
        <w:rPr>
          <w:rFonts w:hAnsi="Times New Roman" w:ascii="Times New Roman"/>
          <w:sz w:val="24"/>
          <w:szCs w:val="24"/>
        </w:rPr>
        <w:t xml:space="preserve">  za prodanu nekretninu u Belom Manastiru,te je  17. studenog 2016. godine održano  ročište za podjelu </w:t>
      </w:r>
      <w:proofErr w:type="spellStart"/>
      <w:r w:rsidRPr="006D3FF2">
        <w:rPr>
          <w:rFonts w:hAnsi="Times New Roman" w:ascii="Times New Roman"/>
          <w:sz w:val="24"/>
          <w:szCs w:val="24"/>
        </w:rPr>
        <w:t>kupovnine</w:t>
      </w:r>
      <w:proofErr w:type="spellEnd"/>
      <w:r w:rsidRPr="006D3FF2">
        <w:rPr>
          <w:rFonts w:hAnsi="Times New Roman" w:ascii="Times New Roman"/>
          <w:sz w:val="24"/>
          <w:szCs w:val="24"/>
        </w:rPr>
        <w:t xml:space="preserve">. </w:t>
      </w:r>
    </w:p>
    <w:p w:rsidRDefault="006D3FF2" w:rsidP="006D3FF2" w:rsidR="006D3FF2" w:rsidRPr="006D3FF2">
      <w:pPr>
        <w:pStyle w:val="Bezproreda"/>
        <w:jc w:val="both"/>
        <w:rPr>
          <w:rFonts w:hAnsi="Times New Roman" w:ascii="Times New Roman"/>
          <w:sz w:val="24"/>
          <w:szCs w:val="24"/>
        </w:rPr>
      </w:pPr>
    </w:p>
    <w:p w:rsidRDefault="006D3FF2" w:rsidP="006D3FF2" w:rsidR="006D3FF2" w:rsidRPr="006D3FF2">
      <w:pPr>
        <w:pStyle w:val="Bezproreda"/>
        <w:jc w:val="both"/>
        <w:rPr>
          <w:rFonts w:hAnsi="Times New Roman" w:ascii="Times New Roman"/>
          <w:color w:val="000000"/>
          <w:sz w:val="24"/>
          <w:szCs w:val="24"/>
        </w:rPr>
      </w:pPr>
      <w:r w:rsidRPr="006D3FF2">
        <w:rPr>
          <w:rFonts w:hAnsi="Times New Roman" w:ascii="Times New Roman"/>
          <w:bCs/>
          <w:sz w:val="24"/>
          <w:szCs w:val="24"/>
        </w:rPr>
        <w:t xml:space="preserve">Nekretnina upisana u </w:t>
      </w:r>
      <w:proofErr w:type="spellStart"/>
      <w:r w:rsidRPr="006D3FF2">
        <w:rPr>
          <w:rFonts w:hAnsi="Times New Roman" w:ascii="Times New Roman"/>
          <w:bCs/>
          <w:sz w:val="24"/>
          <w:szCs w:val="24"/>
        </w:rPr>
        <w:t>zk.ul</w:t>
      </w:r>
      <w:proofErr w:type="spellEnd"/>
      <w:r w:rsidRPr="006D3FF2">
        <w:rPr>
          <w:rFonts w:hAnsi="Times New Roman" w:ascii="Times New Roman"/>
          <w:bCs/>
          <w:sz w:val="24"/>
          <w:szCs w:val="24"/>
        </w:rPr>
        <w:t>. 1719 k.o. Beli Manastir kč.br. 913/1 dvije zgrade s 566 m2</w:t>
      </w:r>
    </w:p>
    <w:p w:rsidRDefault="006D3FF2" w:rsidP="006D3FF2" w:rsidR="006D3FF2" w:rsidRPr="006D3FF2">
      <w:pPr>
        <w:pStyle w:val="Bezproreda"/>
        <w:jc w:val="both"/>
        <w:rPr>
          <w:rFonts w:hAnsi="Times New Roman" w:ascii="Times New Roman"/>
          <w:b/>
          <w:bCs/>
          <w:color w:val="000000"/>
          <w:sz w:val="24"/>
          <w:szCs w:val="24"/>
        </w:rPr>
      </w:pPr>
      <w:proofErr w:type="spellStart"/>
      <w:r w:rsidRPr="006D3FF2">
        <w:rPr>
          <w:rFonts w:hAnsi="Times New Roman" w:ascii="Times New Roman"/>
          <w:color w:val="000000"/>
          <w:sz w:val="24"/>
          <w:szCs w:val="24"/>
        </w:rPr>
        <w:t>Razlučni</w:t>
      </w:r>
      <w:proofErr w:type="spellEnd"/>
      <w:r w:rsidRPr="006D3FF2">
        <w:rPr>
          <w:rFonts w:hAnsi="Times New Roman" w:ascii="Times New Roman"/>
          <w:color w:val="000000"/>
          <w:sz w:val="24"/>
          <w:szCs w:val="24"/>
        </w:rPr>
        <w:t xml:space="preserve"> vjerovnik:</w:t>
      </w:r>
      <w:r w:rsidRPr="006D3FF2">
        <w:rPr>
          <w:rFonts w:hAnsi="Times New Roman" w:ascii="Times New Roman"/>
          <w:color w:val="000000"/>
          <w:sz w:val="24"/>
          <w:szCs w:val="24"/>
        </w:rPr>
        <w:tab/>
      </w:r>
    </w:p>
    <w:p w:rsidRDefault="006D3FF2" w:rsidP="006D3FF2" w:rsidR="006D3FF2" w:rsidRPr="006D3FF2">
      <w:pPr>
        <w:pStyle w:val="Bezproreda"/>
        <w:jc w:val="both"/>
        <w:rPr>
          <w:rFonts w:hAnsi="Times New Roman" w:ascii="Times New Roman"/>
          <w:b/>
          <w:bCs/>
          <w:color w:val="000000"/>
          <w:sz w:val="24"/>
          <w:szCs w:val="24"/>
        </w:rPr>
      </w:pPr>
      <w:r w:rsidRPr="006D3FF2">
        <w:rPr>
          <w:rFonts w:hAnsi="Times New Roman" w:ascii="Times New Roman"/>
          <w:b/>
          <w:bCs/>
          <w:color w:val="000000"/>
          <w:sz w:val="24"/>
          <w:szCs w:val="24"/>
        </w:rPr>
        <w:t xml:space="preserve">1.IZGRADNJA d.o.o. Tenja, Antuna Barca </w:t>
      </w:r>
      <w:proofErr w:type="spellStart"/>
      <w:r w:rsidRPr="006D3FF2">
        <w:rPr>
          <w:rFonts w:hAnsi="Times New Roman" w:ascii="Times New Roman"/>
          <w:b/>
          <w:bCs/>
          <w:color w:val="000000"/>
          <w:sz w:val="24"/>
          <w:szCs w:val="24"/>
        </w:rPr>
        <w:t>bb</w:t>
      </w:r>
      <w:proofErr w:type="spellEnd"/>
      <w:r w:rsidRPr="006D3FF2">
        <w:rPr>
          <w:rFonts w:hAnsi="Times New Roman" w:ascii="Times New Roman"/>
          <w:b/>
          <w:bCs/>
          <w:color w:val="000000"/>
          <w:sz w:val="24"/>
          <w:szCs w:val="24"/>
        </w:rPr>
        <w:t>, OIB 41488717007</w:t>
      </w:r>
    </w:p>
    <w:p w:rsidRDefault="006D3FF2" w:rsidP="006D3FF2" w:rsidR="006D3FF2" w:rsidRPr="006D3FF2">
      <w:pPr>
        <w:pStyle w:val="Bezproreda"/>
        <w:jc w:val="both"/>
        <w:rPr>
          <w:rFonts w:hAnsi="Times New Roman" w:ascii="Times New Roman"/>
          <w:color w:val="000000"/>
          <w:sz w:val="24"/>
          <w:szCs w:val="24"/>
        </w:rPr>
      </w:pPr>
      <w:r w:rsidRPr="006D3FF2">
        <w:rPr>
          <w:rFonts w:hAnsi="Times New Roman" w:ascii="Times New Roman"/>
          <w:b/>
          <w:bCs/>
          <w:color w:val="000000"/>
          <w:sz w:val="24"/>
          <w:szCs w:val="24"/>
        </w:rPr>
        <w:t>2.RH MINISTARSTVO FINANCIJA, POREZNA UPRAVA, OIB 52634238587</w:t>
      </w:r>
    </w:p>
    <w:p w:rsidRDefault="006D3FF2" w:rsidP="006D3FF2" w:rsidR="006D3FF2" w:rsidRPr="006D3FF2">
      <w:pPr>
        <w:pStyle w:val="Bezproreda"/>
        <w:rPr>
          <w:rFonts w:hAnsi="Times New Roman" w:ascii="Times New Roman"/>
          <w:color w:val="000000"/>
          <w:sz w:val="24"/>
          <w:szCs w:val="24"/>
        </w:rPr>
      </w:pPr>
      <w:r w:rsidRPr="006D3FF2">
        <w:rPr>
          <w:rFonts w:hAnsi="Times New Roman" w:ascii="Times New Roman"/>
          <w:color w:val="000000"/>
          <w:sz w:val="24"/>
          <w:szCs w:val="24"/>
        </w:rPr>
        <w:t xml:space="preserve">Iznos </w:t>
      </w:r>
      <w:proofErr w:type="spellStart"/>
      <w:r w:rsidRPr="006D3FF2">
        <w:rPr>
          <w:rFonts w:hAnsi="Times New Roman" w:ascii="Times New Roman"/>
          <w:color w:val="000000"/>
          <w:sz w:val="24"/>
          <w:szCs w:val="24"/>
        </w:rPr>
        <w:t>kupovnine</w:t>
      </w:r>
      <w:proofErr w:type="spellEnd"/>
      <w:r w:rsidRPr="006D3FF2">
        <w:rPr>
          <w:rFonts w:hAnsi="Times New Roman" w:ascii="Times New Roman"/>
          <w:color w:val="000000"/>
          <w:sz w:val="24"/>
          <w:szCs w:val="24"/>
        </w:rPr>
        <w:t xml:space="preserve">: </w:t>
      </w:r>
      <w:r w:rsidRPr="006D3FF2">
        <w:rPr>
          <w:rFonts w:hAnsi="Times New Roman" w:ascii="Times New Roman"/>
          <w:color w:val="000000"/>
          <w:sz w:val="24"/>
          <w:szCs w:val="24"/>
        </w:rPr>
        <w:tab/>
      </w:r>
      <w:r w:rsidRPr="006D3FF2">
        <w:rPr>
          <w:rFonts w:hAnsi="Times New Roman" w:ascii="Times New Roman"/>
          <w:sz w:val="24"/>
          <w:szCs w:val="24"/>
        </w:rPr>
        <w:t xml:space="preserve">     145.000,00 kn </w:t>
      </w:r>
    </w:p>
    <w:tbl>
      <w:tblPr>
        <w:tblW w:type="auto" w:w="0"/>
        <w:tblInd w:type="dxa" w:w="-155"/>
        <w:tblLayout w:type="fixed"/>
        <w:tblLook w:val="04A0" w:noVBand="1" w:noHBand="0" w:lastColumn="0" w:firstColumn="1" w:lastRow="0" w:firstRow="1"/>
      </w:tblPr>
      <w:tblGrid>
        <w:gridCol w:w="982"/>
        <w:gridCol w:w="5610"/>
        <w:gridCol w:w="3482"/>
      </w:tblGrid>
      <w:tr w:rsidTr="006D3FF2" w:rsidR="006D3FF2">
        <w:trPr>
          <w:trHeight w:val="330"/>
        </w:trPr>
        <w:tc>
          <w:tcPr>
            <w:tcW w:type="dxa" w:w="982"/>
            <w:tcBorders>
              <w:top w:space="0" w:sz="4" w:color="000000" w:val="single"/>
              <w:left w:space="0" w:sz="4" w:color="000000" w:val="single"/>
              <w:bottom w:space="0" w:sz="4" w:color="000000" w:val="single"/>
              <w:right w:val="nil"/>
            </w:tcBorders>
            <w:shd w:fill="B8CCE4" w:color="auto" w:val="clear"/>
            <w:vAlign w:val="center"/>
            <w:hideMark/>
          </w:tcPr>
          <w:p w:rsidRDefault="006D3FF2" w:rsidR="006D3FF2">
            <w:pPr>
              <w:spacing w:lineRule="atLeast" w:line="100"/>
              <w:jc w:val="center"/>
              <w:rPr>
                <w:color w:val="000000"/>
                <w:sz w:val="24"/>
                <w:szCs w:val="24"/>
              </w:rPr>
            </w:pPr>
            <w:bookmarkStart w:name="RANGE!A17" w:id="0"/>
            <w:r>
              <w:rPr>
                <w:color w:val="000000"/>
              </w:rPr>
              <w:t>Red.br.</w:t>
            </w:r>
            <w:bookmarkEnd w:id="0"/>
          </w:p>
        </w:tc>
        <w:tc>
          <w:tcPr>
            <w:tcW w:type="dxa" w:w="5610"/>
            <w:tcBorders>
              <w:top w:space="0" w:sz="4" w:color="000000" w:val="single"/>
              <w:left w:space="0" w:sz="4" w:color="000000" w:val="single"/>
              <w:bottom w:space="0" w:sz="4" w:color="000000" w:val="single"/>
              <w:right w:val="nil"/>
            </w:tcBorders>
            <w:shd w:fill="B8CCE4" w:color="auto" w:val="clear"/>
            <w:vAlign w:val="center"/>
            <w:hideMark/>
          </w:tcPr>
          <w:p w:rsidRDefault="006D3FF2" w:rsidR="006D3FF2">
            <w:pPr>
              <w:spacing w:lineRule="atLeast" w:line="100"/>
              <w:jc w:val="center"/>
              <w:rPr>
                <w:color w:val="000000"/>
                <w:sz w:val="24"/>
                <w:szCs w:val="24"/>
              </w:rPr>
            </w:pPr>
            <w:r>
              <w:rPr>
                <w:color w:val="000000"/>
              </w:rPr>
              <w:t>Opis</w:t>
            </w:r>
          </w:p>
        </w:tc>
        <w:tc>
          <w:tcPr>
            <w:tcW w:type="dxa" w:w="3482"/>
            <w:tcBorders>
              <w:top w:space="0" w:sz="4" w:color="000000" w:val="single"/>
              <w:left w:space="0" w:sz="4" w:color="000000" w:val="single"/>
              <w:bottom w:space="0" w:sz="4" w:color="000000" w:val="single"/>
              <w:right w:space="0" w:sz="4" w:color="000000" w:val="single"/>
            </w:tcBorders>
            <w:shd w:fill="B8CCE4" w:color="auto" w:val="clear"/>
            <w:vAlign w:val="center"/>
            <w:hideMark/>
          </w:tcPr>
          <w:p w:rsidRDefault="006D3FF2" w:rsidR="006D3FF2">
            <w:pPr>
              <w:spacing w:lineRule="atLeast" w:line="100"/>
              <w:jc w:val="center"/>
              <w:rPr>
                <w:sz w:val="24"/>
                <w:szCs w:val="24"/>
              </w:rPr>
            </w:pPr>
            <w:r>
              <w:rPr>
                <w:color w:val="000000"/>
              </w:rPr>
              <w:t xml:space="preserve">  Iznos  </w:t>
            </w:r>
          </w:p>
        </w:tc>
      </w:tr>
      <w:tr w:rsidTr="006D3FF2" w:rsidR="006D3FF2">
        <w:trPr>
          <w:trHeight w:val="330"/>
        </w:trPr>
        <w:tc>
          <w:tcPr>
            <w:tcW w:type="dxa" w:w="982"/>
            <w:tcBorders>
              <w:top w:val="nil"/>
              <w:left w:space="0" w:sz="4" w:color="000000" w:val="single"/>
              <w:bottom w:space="0" w:sz="4" w:color="000000" w:val="single"/>
              <w:right w:val="nil"/>
            </w:tcBorders>
            <w:shd w:fill="B8CCE4" w:color="auto" w:val="clear"/>
            <w:vAlign w:val="center"/>
            <w:hideMark/>
          </w:tcPr>
          <w:p w:rsidRDefault="006D3FF2" w:rsidR="006D3FF2">
            <w:pPr>
              <w:spacing w:lineRule="atLeast" w:line="100"/>
              <w:jc w:val="center"/>
              <w:rPr>
                <w:b/>
                <w:bCs/>
                <w:color w:val="000000"/>
                <w:sz w:val="24"/>
                <w:szCs w:val="24"/>
              </w:rPr>
            </w:pPr>
            <w:r>
              <w:rPr>
                <w:b/>
                <w:bCs/>
                <w:color w:val="000000"/>
              </w:rPr>
              <w:t>I.</w:t>
            </w:r>
          </w:p>
        </w:tc>
        <w:tc>
          <w:tcPr>
            <w:tcW w:type="dxa" w:w="5610"/>
            <w:tcBorders>
              <w:top w:val="nil"/>
              <w:left w:space="0" w:sz="4" w:color="000000" w:val="single"/>
              <w:bottom w:space="0" w:sz="4" w:color="000000" w:val="single"/>
              <w:right w:val="nil"/>
            </w:tcBorders>
            <w:shd w:fill="B8CCE4" w:color="auto" w:val="clear"/>
            <w:vAlign w:val="center"/>
            <w:hideMark/>
          </w:tcPr>
          <w:p w:rsidRDefault="006D3FF2" w:rsidR="006D3FF2">
            <w:pPr>
              <w:spacing w:lineRule="atLeast" w:line="100"/>
              <w:rPr>
                <w:b/>
                <w:bCs/>
                <w:color w:val="000000"/>
                <w:sz w:val="24"/>
                <w:szCs w:val="24"/>
              </w:rPr>
            </w:pPr>
            <w:r>
              <w:rPr>
                <w:b/>
                <w:bCs/>
                <w:color w:val="000000"/>
              </w:rPr>
              <w:t>Stvarni troškovi sukladno čl. 170. st. 2 SZ</w:t>
            </w:r>
          </w:p>
        </w:tc>
        <w:tc>
          <w:tcPr>
            <w:tcW w:type="dxa" w:w="3482"/>
            <w:tcBorders>
              <w:top w:val="nil"/>
              <w:left w:space="0" w:sz="4" w:color="000000" w:val="single"/>
              <w:bottom w:space="0" w:sz="4" w:color="000000" w:val="single"/>
              <w:right w:space="0" w:sz="4" w:color="000000" w:val="single"/>
            </w:tcBorders>
            <w:shd w:fill="B8CCE4" w:color="auto" w:val="clear"/>
            <w:vAlign w:val="center"/>
            <w:hideMark/>
          </w:tcPr>
          <w:p w:rsidRDefault="006D3FF2" w:rsidR="006D3FF2">
            <w:pPr>
              <w:spacing w:lineRule="atLeast" w:line="100"/>
              <w:jc w:val="center"/>
              <w:rPr>
                <w:b/>
                <w:bCs/>
                <w:color w:val="000000"/>
                <w:sz w:val="24"/>
                <w:szCs w:val="24"/>
              </w:rPr>
            </w:pPr>
            <w:r>
              <w:rPr>
                <w:b/>
                <w:bCs/>
                <w:color w:val="000000"/>
              </w:rPr>
              <w:t xml:space="preserve">                                </w:t>
            </w:r>
          </w:p>
          <w:p w:rsidRDefault="006D3FF2" w:rsidR="006D3FF2">
            <w:pPr>
              <w:spacing w:lineRule="atLeast" w:line="100"/>
              <w:jc w:val="center"/>
              <w:rPr>
                <w:sz w:val="24"/>
                <w:szCs w:val="24"/>
              </w:rPr>
            </w:pPr>
            <w:r>
              <w:rPr>
                <w:b/>
                <w:bCs/>
                <w:color w:val="000000"/>
              </w:rPr>
              <w:t xml:space="preserve">           42.124,29    </w:t>
            </w:r>
          </w:p>
        </w:tc>
      </w:tr>
      <w:tr w:rsidTr="006D3FF2" w:rsidR="006D3FF2">
        <w:trPr>
          <w:trHeight w:val="330"/>
        </w:trPr>
        <w:tc>
          <w:tcPr>
            <w:tcW w:type="dxa" w:w="982"/>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1.</w:t>
            </w:r>
          </w:p>
        </w:tc>
        <w:tc>
          <w:tcPr>
            <w:tcW w:type="dxa" w:w="5610"/>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Komunalna naknada i NUV</w:t>
            </w:r>
          </w:p>
        </w:tc>
        <w:tc>
          <w:tcPr>
            <w:tcW w:type="dxa" w:w="3482"/>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                                  8.835,59    </w:t>
            </w:r>
          </w:p>
        </w:tc>
      </w:tr>
      <w:tr w:rsidTr="006D3FF2" w:rsidR="006D3FF2">
        <w:trPr>
          <w:trHeight w:val="330"/>
        </w:trPr>
        <w:tc>
          <w:tcPr>
            <w:tcW w:type="dxa" w:w="982"/>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2.</w:t>
            </w:r>
          </w:p>
        </w:tc>
        <w:tc>
          <w:tcPr>
            <w:tcW w:type="dxa" w:w="5610"/>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Objave oglasa (iznos bez PDV-a) (5. javna dražba)</w:t>
            </w:r>
          </w:p>
        </w:tc>
        <w:tc>
          <w:tcPr>
            <w:tcW w:type="dxa" w:w="3482"/>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                                  6.600,00    </w:t>
            </w:r>
          </w:p>
        </w:tc>
      </w:tr>
      <w:tr w:rsidTr="006D3FF2" w:rsidR="006D3FF2">
        <w:trPr>
          <w:trHeight w:val="330"/>
        </w:trPr>
        <w:tc>
          <w:tcPr>
            <w:tcW w:type="dxa" w:w="982"/>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3.</w:t>
            </w:r>
          </w:p>
        </w:tc>
        <w:tc>
          <w:tcPr>
            <w:tcW w:type="dxa" w:w="5610"/>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Troškovi procjene</w:t>
            </w:r>
          </w:p>
        </w:tc>
        <w:tc>
          <w:tcPr>
            <w:tcW w:type="dxa" w:w="3482"/>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                                  3.448,28    </w:t>
            </w:r>
          </w:p>
        </w:tc>
      </w:tr>
      <w:tr w:rsidTr="006D3FF2" w:rsidR="006D3FF2">
        <w:trPr>
          <w:trHeight w:val="330"/>
        </w:trPr>
        <w:tc>
          <w:tcPr>
            <w:tcW w:type="dxa" w:w="982"/>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4.</w:t>
            </w:r>
          </w:p>
        </w:tc>
        <w:tc>
          <w:tcPr>
            <w:tcW w:type="dxa" w:w="5610"/>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Nagrada stečajnom upravitelju (neto 11.600,00 kn)</w:t>
            </w:r>
          </w:p>
        </w:tc>
        <w:tc>
          <w:tcPr>
            <w:tcW w:type="dxa" w:w="3482"/>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                                23.240,42    </w:t>
            </w:r>
          </w:p>
        </w:tc>
      </w:tr>
      <w:tr w:rsidTr="006D3FF2" w:rsidR="006D3FF2">
        <w:trPr>
          <w:trHeight w:val="330"/>
        </w:trPr>
        <w:tc>
          <w:tcPr>
            <w:tcW w:type="dxa" w:w="982"/>
            <w:tcBorders>
              <w:top w:val="nil"/>
              <w:left w:space="0" w:sz="4" w:color="000000" w:val="single"/>
              <w:bottom w:space="0" w:sz="4" w:color="000000" w:val="single"/>
              <w:right w:val="nil"/>
            </w:tcBorders>
            <w:shd w:fill="B8CCE4" w:color="auto" w:val="clear"/>
            <w:vAlign w:val="center"/>
            <w:hideMark/>
          </w:tcPr>
          <w:p w:rsidRDefault="006D3FF2" w:rsidR="006D3FF2">
            <w:pPr>
              <w:spacing w:lineRule="atLeast" w:line="100"/>
              <w:jc w:val="center"/>
              <w:rPr>
                <w:b/>
                <w:bCs/>
                <w:color w:val="000000"/>
                <w:sz w:val="24"/>
                <w:szCs w:val="24"/>
              </w:rPr>
            </w:pPr>
            <w:r>
              <w:rPr>
                <w:b/>
                <w:bCs/>
                <w:color w:val="000000"/>
              </w:rPr>
              <w:t>II.</w:t>
            </w:r>
          </w:p>
        </w:tc>
        <w:tc>
          <w:tcPr>
            <w:tcW w:type="dxa" w:w="5610"/>
            <w:tcBorders>
              <w:top w:val="nil"/>
              <w:left w:space="0" w:sz="4" w:color="000000" w:val="single"/>
              <w:bottom w:space="0" w:sz="4" w:color="000000" w:val="single"/>
              <w:right w:val="nil"/>
            </w:tcBorders>
            <w:shd w:fill="B8CCE4" w:color="auto" w:val="clear"/>
            <w:vAlign w:val="center"/>
            <w:hideMark/>
          </w:tcPr>
          <w:p w:rsidRDefault="006D3FF2" w:rsidR="006D3FF2">
            <w:pPr>
              <w:spacing w:lineRule="atLeast" w:line="100"/>
              <w:rPr>
                <w:b/>
                <w:bCs/>
                <w:color w:val="000000"/>
                <w:sz w:val="24"/>
                <w:szCs w:val="24"/>
              </w:rPr>
            </w:pPr>
            <w:r>
              <w:rPr>
                <w:b/>
                <w:bCs/>
                <w:color w:val="000000"/>
              </w:rPr>
              <w:t>Troškovi sukladno čl. 170. st. 1 SZ</w:t>
            </w:r>
          </w:p>
        </w:tc>
        <w:tc>
          <w:tcPr>
            <w:tcW w:type="dxa" w:w="3482"/>
            <w:tcBorders>
              <w:top w:val="nil"/>
              <w:left w:space="0" w:sz="4" w:color="000000" w:val="single"/>
              <w:bottom w:space="0" w:sz="4" w:color="000000" w:val="single"/>
              <w:right w:space="0" w:sz="4" w:color="000000" w:val="single"/>
            </w:tcBorders>
            <w:shd w:fill="B8CCE4" w:color="auto" w:val="clear"/>
            <w:vAlign w:val="center"/>
            <w:hideMark/>
          </w:tcPr>
          <w:p w:rsidRDefault="006D3FF2" w:rsidR="006D3FF2">
            <w:pPr>
              <w:spacing w:lineRule="atLeast" w:line="100"/>
              <w:jc w:val="right"/>
              <w:rPr>
                <w:sz w:val="24"/>
                <w:szCs w:val="24"/>
              </w:rPr>
            </w:pPr>
            <w:r>
              <w:rPr>
                <w:b/>
                <w:bCs/>
                <w:color w:val="000000"/>
              </w:rPr>
              <w:t xml:space="preserve">                                  7.250,00    </w:t>
            </w:r>
          </w:p>
        </w:tc>
      </w:tr>
      <w:tr w:rsidTr="006D3FF2" w:rsidR="006D3FF2">
        <w:trPr>
          <w:trHeight w:val="330"/>
        </w:trPr>
        <w:tc>
          <w:tcPr>
            <w:tcW w:type="dxa" w:w="982"/>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6.</w:t>
            </w:r>
          </w:p>
        </w:tc>
        <w:tc>
          <w:tcPr>
            <w:tcW w:type="dxa" w:w="5610"/>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5% sukladno čl.170.st.1 SZ (145.000,00 x 5%)</w:t>
            </w:r>
          </w:p>
        </w:tc>
        <w:tc>
          <w:tcPr>
            <w:tcW w:type="dxa" w:w="3482"/>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                                  7.250,00    </w:t>
            </w:r>
          </w:p>
        </w:tc>
      </w:tr>
      <w:tr w:rsidTr="006D3FF2" w:rsidR="006D3FF2">
        <w:trPr>
          <w:trHeight w:val="330"/>
        </w:trPr>
        <w:tc>
          <w:tcPr>
            <w:tcW w:type="dxa" w:w="982"/>
            <w:tcBorders>
              <w:top w:val="nil"/>
              <w:left w:space="0" w:sz="4" w:color="000000" w:val="single"/>
              <w:bottom w:space="0" w:sz="4" w:color="000000" w:val="single"/>
              <w:right w:val="nil"/>
            </w:tcBorders>
            <w:shd w:fill="DCE6F1" w:color="auto" w:val="clear"/>
            <w:vAlign w:val="center"/>
            <w:hideMark/>
          </w:tcPr>
          <w:p w:rsidRDefault="006D3FF2" w:rsidR="006D3FF2">
            <w:pPr>
              <w:spacing w:lineRule="atLeast" w:line="100"/>
              <w:jc w:val="center"/>
              <w:rPr>
                <w:color w:val="000000"/>
                <w:sz w:val="24"/>
                <w:szCs w:val="24"/>
              </w:rPr>
            </w:pPr>
            <w:r>
              <w:rPr>
                <w:color w:val="000000"/>
              </w:rPr>
              <w:t>7.</w:t>
            </w:r>
          </w:p>
        </w:tc>
        <w:tc>
          <w:tcPr>
            <w:tcW w:type="dxa" w:w="5610"/>
            <w:tcBorders>
              <w:top w:val="nil"/>
              <w:left w:space="0" w:sz="4" w:color="000000" w:val="single"/>
              <w:bottom w:space="0" w:sz="4" w:color="000000" w:val="single"/>
              <w:right w:val="nil"/>
            </w:tcBorders>
            <w:shd w:fill="DCE6F1" w:color="auto" w:val="clear"/>
            <w:vAlign w:val="center"/>
            <w:hideMark/>
          </w:tcPr>
          <w:p w:rsidRDefault="006D3FF2" w:rsidR="006D3FF2">
            <w:pPr>
              <w:spacing w:lineRule="atLeast" w:line="100"/>
              <w:rPr>
                <w:b/>
                <w:bCs/>
                <w:color w:val="000000"/>
                <w:sz w:val="24"/>
                <w:szCs w:val="24"/>
              </w:rPr>
            </w:pPr>
            <w:r>
              <w:rPr>
                <w:color w:val="000000"/>
              </w:rPr>
              <w:t>Ukupno troškovi unovčenja (I+II)</w:t>
            </w:r>
          </w:p>
        </w:tc>
        <w:tc>
          <w:tcPr>
            <w:tcW w:type="dxa" w:w="3482"/>
            <w:tcBorders>
              <w:top w:val="nil"/>
              <w:left w:space="0" w:sz="4" w:color="000000" w:val="single"/>
              <w:bottom w:space="0" w:sz="4" w:color="000000" w:val="single"/>
              <w:right w:space="0" w:sz="4" w:color="000000" w:val="single"/>
            </w:tcBorders>
            <w:shd w:fill="DCE6F1" w:color="auto" w:val="clear"/>
            <w:vAlign w:val="center"/>
            <w:hideMark/>
          </w:tcPr>
          <w:p w:rsidRDefault="006D3FF2" w:rsidR="006D3FF2">
            <w:pPr>
              <w:spacing w:lineRule="atLeast" w:line="100"/>
              <w:jc w:val="right"/>
              <w:rPr>
                <w:sz w:val="24"/>
                <w:szCs w:val="24"/>
              </w:rPr>
            </w:pPr>
            <w:r>
              <w:rPr>
                <w:b/>
                <w:bCs/>
                <w:color w:val="000000"/>
              </w:rPr>
              <w:t xml:space="preserve">                                49.374,29    </w:t>
            </w:r>
          </w:p>
        </w:tc>
      </w:tr>
      <w:tr w:rsidTr="006D3FF2" w:rsidR="006D3FF2">
        <w:trPr>
          <w:trHeight w:val="285"/>
        </w:trPr>
        <w:tc>
          <w:tcPr>
            <w:tcW w:type="dxa" w:w="982"/>
            <w:tcBorders>
              <w:top w:val="nil"/>
              <w:left w:space="0" w:sz="4" w:color="000000" w:val="single"/>
              <w:bottom w:space="0" w:sz="4" w:color="000000" w:val="single"/>
              <w:right w:val="nil"/>
            </w:tcBorders>
            <w:shd w:fill="B8CCE4" w:color="auto" w:val="clear"/>
            <w:vAlign w:val="bottom"/>
            <w:hideMark/>
          </w:tcPr>
          <w:p w:rsidRDefault="006D3FF2" w:rsidR="006D3FF2">
            <w:pPr>
              <w:spacing w:lineRule="atLeast" w:line="100"/>
              <w:jc w:val="center"/>
              <w:rPr>
                <w:b/>
                <w:bCs/>
                <w:sz w:val="24"/>
                <w:szCs w:val="24"/>
              </w:rPr>
            </w:pPr>
            <w:r>
              <w:rPr>
                <w:b/>
                <w:bCs/>
              </w:rPr>
              <w:t>III.</w:t>
            </w:r>
          </w:p>
        </w:tc>
        <w:tc>
          <w:tcPr>
            <w:tcW w:type="dxa" w:w="5610"/>
            <w:tcBorders>
              <w:top w:val="nil"/>
              <w:left w:space="0" w:sz="4" w:color="000000" w:val="single"/>
              <w:bottom w:space="0" w:sz="4" w:color="000000" w:val="single"/>
              <w:right w:val="nil"/>
            </w:tcBorders>
            <w:shd w:fill="B8CCE4" w:color="auto" w:val="clear"/>
            <w:vAlign w:val="bottom"/>
            <w:hideMark/>
          </w:tcPr>
          <w:p w:rsidRDefault="006D3FF2" w:rsidR="006D3FF2">
            <w:pPr>
              <w:spacing w:lineRule="atLeast" w:line="100"/>
              <w:rPr>
                <w:b/>
                <w:bCs/>
                <w:sz w:val="24"/>
                <w:szCs w:val="24"/>
              </w:rPr>
            </w:pPr>
            <w:r>
              <w:rPr>
                <w:b/>
                <w:bCs/>
              </w:rPr>
              <w:t xml:space="preserve">Namirenje </w:t>
            </w:r>
            <w:proofErr w:type="spellStart"/>
            <w:r>
              <w:rPr>
                <w:b/>
                <w:bCs/>
              </w:rPr>
              <w:t>razlučnog</w:t>
            </w:r>
            <w:proofErr w:type="spellEnd"/>
            <w:r>
              <w:rPr>
                <w:b/>
                <w:bCs/>
              </w:rPr>
              <w:t xml:space="preserve"> vjerovnika -Izgradnja d.o.o.- dio tražbine</w:t>
            </w:r>
          </w:p>
        </w:tc>
        <w:tc>
          <w:tcPr>
            <w:tcW w:type="dxa" w:w="3482"/>
            <w:tcBorders>
              <w:top w:val="nil"/>
              <w:left w:space="0" w:sz="4" w:color="000000" w:val="single"/>
              <w:bottom w:space="0" w:sz="4" w:color="000000" w:val="single"/>
              <w:right w:space="0" w:sz="4" w:color="000000" w:val="single"/>
            </w:tcBorders>
            <w:shd w:fill="B8CCE4" w:color="auto" w:val="clear"/>
            <w:vAlign w:val="bottom"/>
            <w:hideMark/>
          </w:tcPr>
          <w:p w:rsidRDefault="006D3FF2" w:rsidR="006D3FF2">
            <w:pPr>
              <w:spacing w:lineRule="atLeast" w:line="100"/>
              <w:rPr>
                <w:b/>
                <w:bCs/>
                <w:sz w:val="24"/>
                <w:szCs w:val="24"/>
              </w:rPr>
            </w:pPr>
            <w:r>
              <w:rPr>
                <w:b/>
                <w:bCs/>
              </w:rPr>
              <w:t xml:space="preserve">                                 </w:t>
            </w:r>
          </w:p>
          <w:p w:rsidRDefault="006D3FF2" w:rsidR="006D3FF2">
            <w:pPr>
              <w:spacing w:lineRule="atLeast" w:line="100"/>
              <w:rPr>
                <w:sz w:val="24"/>
                <w:szCs w:val="24"/>
              </w:rPr>
            </w:pPr>
            <w:r>
              <w:rPr>
                <w:b/>
                <w:bCs/>
              </w:rPr>
              <w:lastRenderedPageBreak/>
              <w:t xml:space="preserve">            95.625,72    </w:t>
            </w:r>
          </w:p>
        </w:tc>
      </w:tr>
    </w:tbl>
    <w:p w:rsidRDefault="006D3FF2" w:rsidP="006D3FF2" w:rsidR="006D3FF2"/>
    <w:p w:rsidRDefault="006D3FF2" w:rsidP="006D3FF2" w:rsidR="006D3FF2" w:rsidRPr="006D3FF2">
      <w:pPr>
        <w:pStyle w:val="Bezproreda"/>
        <w:jc w:val="both"/>
        <w:rPr>
          <w:rFonts w:hAnsi="Times New Roman" w:ascii="Times New Roman"/>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Iz pregleda  priljeva i odljeva razvidno je da se u stečajnoj masi nalazio ukupno iznos od  240.048,21 kn ,a ostvaren je od troškova po </w:t>
      </w:r>
      <w:proofErr w:type="spellStart"/>
      <w:r w:rsidRPr="006D3FF2">
        <w:rPr>
          <w:rFonts w:hAnsi="Times New Roman" w:ascii="Times New Roman"/>
          <w:sz w:val="24"/>
          <w:szCs w:val="24"/>
        </w:rPr>
        <w:t>čl</w:t>
      </w:r>
      <w:proofErr w:type="spellEnd"/>
      <w:r w:rsidRPr="006D3FF2">
        <w:rPr>
          <w:rFonts w:hAnsi="Times New Roman" w:ascii="Times New Roman"/>
          <w:sz w:val="24"/>
          <w:szCs w:val="24"/>
        </w:rPr>
        <w:t xml:space="preserve"> .170. Stečajnog  zakona i prihoda od zakupa.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Tijekom stečajnog postupka  namireni su svi troškovi stečajnog postupka  i ostale obveze ste</w:t>
      </w:r>
      <w:r w:rsidR="00046DB0">
        <w:rPr>
          <w:rFonts w:hAnsi="Times New Roman" w:ascii="Times New Roman"/>
          <w:sz w:val="24"/>
          <w:szCs w:val="24"/>
        </w:rPr>
        <w:t>ča</w:t>
      </w:r>
      <w:r w:rsidRPr="006D3FF2">
        <w:rPr>
          <w:rFonts w:hAnsi="Times New Roman" w:ascii="Times New Roman"/>
          <w:sz w:val="24"/>
          <w:szCs w:val="24"/>
        </w:rPr>
        <w:t xml:space="preserve">jne mase  čija je analitika dana u odljevu novčanih sredstava.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Na dan 20.ožujka 2017. godine na žiro računu se nalaze novčana sredstva u iznosu  od 54.340,26 kn.</w:t>
      </w:r>
    </w:p>
    <w:p w:rsidRDefault="006D3FF2" w:rsidP="006D3FF2" w:rsidR="006D3FF2" w:rsidRPr="006D3FF2">
      <w:pPr>
        <w:pStyle w:val="Bezproreda"/>
        <w:jc w:val="both"/>
        <w:rPr>
          <w:rFonts w:hAnsi="Times New Roman" w:ascii="Times New Roman"/>
          <w:b/>
          <w:bCs/>
          <w:sz w:val="24"/>
          <w:szCs w:val="24"/>
        </w:rPr>
      </w:pPr>
      <w:r w:rsidRPr="006D3FF2">
        <w:rPr>
          <w:rFonts w:hAnsi="Times New Roman" w:ascii="Times New Roman"/>
          <w:sz w:val="24"/>
          <w:szCs w:val="24"/>
        </w:rPr>
        <w:t xml:space="preserve">    Od toga iznosa, iznos od  13.788,68 kn </w:t>
      </w:r>
      <w:r w:rsidR="00046DB0">
        <w:rPr>
          <w:rFonts w:hAnsi="Times New Roman" w:ascii="Times New Roman"/>
          <w:sz w:val="24"/>
          <w:szCs w:val="24"/>
        </w:rPr>
        <w:t xml:space="preserve">za rezervaciju </w:t>
      </w:r>
      <w:r w:rsidRPr="006D3FF2">
        <w:rPr>
          <w:rFonts w:hAnsi="Times New Roman" w:ascii="Times New Roman"/>
          <w:sz w:val="24"/>
          <w:szCs w:val="24"/>
        </w:rPr>
        <w:t>za preostale troškove stečajnog postupka (naknada troškova stečajnoj upraviteljici, knjigovodstvene usluge, naknada članovima Odbora vjerovnika,pristojba za završnu diobu ,naknade banci,</w:t>
      </w:r>
      <w:proofErr w:type="spellStart"/>
      <w:r w:rsidRPr="006D3FF2">
        <w:rPr>
          <w:rFonts w:hAnsi="Times New Roman" w:ascii="Times New Roman"/>
          <w:sz w:val="24"/>
          <w:szCs w:val="24"/>
        </w:rPr>
        <w:t>troškvi</w:t>
      </w:r>
      <w:proofErr w:type="spellEnd"/>
      <w:r w:rsidRPr="006D3FF2">
        <w:rPr>
          <w:rFonts w:hAnsi="Times New Roman" w:ascii="Times New Roman"/>
          <w:sz w:val="24"/>
          <w:szCs w:val="24"/>
        </w:rPr>
        <w:t xml:space="preserve"> arhiviranja i sl.).</w:t>
      </w:r>
    </w:p>
    <w:p w:rsidRDefault="006D3FF2" w:rsidP="006D3FF2" w:rsidR="006D3FF2" w:rsidRPr="006D3FF2">
      <w:pPr>
        <w:pStyle w:val="Bezproreda"/>
        <w:jc w:val="both"/>
        <w:rPr>
          <w:rFonts w:hAnsi="Times New Roman" w:ascii="Times New Roman"/>
          <w:b/>
          <w:bCs/>
          <w:sz w:val="24"/>
          <w:szCs w:val="24"/>
        </w:rPr>
      </w:pP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b/>
          <w:bCs/>
          <w:sz w:val="24"/>
          <w:szCs w:val="24"/>
        </w:rPr>
        <w:t xml:space="preserve">     </w:t>
      </w:r>
      <w:r w:rsidRPr="006D3FF2">
        <w:rPr>
          <w:rFonts w:hAnsi="Times New Roman" w:ascii="Times New Roman"/>
          <w:sz w:val="24"/>
          <w:szCs w:val="24"/>
        </w:rPr>
        <w:t xml:space="preserve">Zakonom o arhivskom gradivu  i arhivima  svi imatelji arhivskog gradiva dužni su čuvati odnosno voditi brigu o arhivskom gradivu.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Cjelokupno dostupno arhivsko gradivo mora biti propisano te razvrstano u trajno arhivsko gradivo i gradivo za izlučivanje. Trajno arhivsko gradivo se čuva trajno, a gradivo za izlučivanje se izlučuje po isteku roka trajanja.</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S bivšim zakonskim zastupnikom </w:t>
      </w:r>
      <w:r w:rsidR="00046DB0">
        <w:rPr>
          <w:rFonts w:hAnsi="Times New Roman" w:ascii="Times New Roman"/>
          <w:sz w:val="24"/>
          <w:szCs w:val="24"/>
        </w:rPr>
        <w:t>je dogovoreno</w:t>
      </w:r>
      <w:r w:rsidRPr="006D3FF2">
        <w:rPr>
          <w:rFonts w:hAnsi="Times New Roman" w:ascii="Times New Roman"/>
          <w:sz w:val="24"/>
          <w:szCs w:val="24"/>
        </w:rPr>
        <w:t xml:space="preserve"> da će on čuvati poslovnu dokumentaciju do dana  otvaranja stečajnog postupka o čemu će se sačiniti zapisnik i dostaviti na spis. </w:t>
      </w:r>
    </w:p>
    <w:p w:rsidRDefault="006D3FF2" w:rsidP="006D3FF2" w:rsidR="006D3FF2" w:rsidRPr="006D3FF2">
      <w:pPr>
        <w:pStyle w:val="Bezproreda"/>
        <w:jc w:val="both"/>
        <w:rPr>
          <w:rFonts w:hAnsi="Times New Roman" w:ascii="Times New Roman"/>
          <w:sz w:val="24"/>
          <w:szCs w:val="24"/>
        </w:rPr>
      </w:pPr>
      <w:r w:rsidRPr="006D3FF2">
        <w:rPr>
          <w:rFonts w:hAnsi="Times New Roman" w:ascii="Times New Roman"/>
          <w:sz w:val="24"/>
          <w:szCs w:val="24"/>
        </w:rPr>
        <w:t xml:space="preserve">    Poslovn</w:t>
      </w:r>
      <w:r w:rsidR="00046DB0">
        <w:rPr>
          <w:rFonts w:hAnsi="Times New Roman" w:ascii="Times New Roman"/>
          <w:sz w:val="24"/>
          <w:szCs w:val="24"/>
        </w:rPr>
        <w:t>a</w:t>
      </w:r>
      <w:r w:rsidRPr="006D3FF2">
        <w:rPr>
          <w:rFonts w:hAnsi="Times New Roman" w:ascii="Times New Roman"/>
          <w:sz w:val="24"/>
          <w:szCs w:val="24"/>
        </w:rPr>
        <w:t xml:space="preserve"> dokumentacij</w:t>
      </w:r>
      <w:r w:rsidR="00046DB0">
        <w:rPr>
          <w:rFonts w:hAnsi="Times New Roman" w:ascii="Times New Roman"/>
          <w:sz w:val="24"/>
          <w:szCs w:val="24"/>
        </w:rPr>
        <w:t>a</w:t>
      </w:r>
      <w:r w:rsidRPr="006D3FF2">
        <w:rPr>
          <w:rFonts w:hAnsi="Times New Roman" w:ascii="Times New Roman"/>
          <w:sz w:val="24"/>
          <w:szCs w:val="24"/>
        </w:rPr>
        <w:t xml:space="preserve"> u stečaju </w:t>
      </w:r>
      <w:r w:rsidR="00046DB0">
        <w:rPr>
          <w:rFonts w:hAnsi="Times New Roman" w:ascii="Times New Roman"/>
          <w:sz w:val="24"/>
          <w:szCs w:val="24"/>
        </w:rPr>
        <w:t xml:space="preserve">će se </w:t>
      </w:r>
      <w:r w:rsidRPr="006D3FF2">
        <w:rPr>
          <w:rFonts w:hAnsi="Times New Roman" w:ascii="Times New Roman"/>
          <w:sz w:val="24"/>
          <w:szCs w:val="24"/>
        </w:rPr>
        <w:t xml:space="preserve"> pohraniti  u </w:t>
      </w:r>
      <w:proofErr w:type="spellStart"/>
      <w:r w:rsidRPr="006D3FF2">
        <w:rPr>
          <w:rFonts w:hAnsi="Times New Roman" w:ascii="Times New Roman"/>
          <w:sz w:val="24"/>
          <w:szCs w:val="24"/>
        </w:rPr>
        <w:t>Filmoteci</w:t>
      </w:r>
      <w:proofErr w:type="spellEnd"/>
      <w:r w:rsidRPr="006D3FF2">
        <w:rPr>
          <w:rFonts w:hAnsi="Times New Roman" w:ascii="Times New Roman"/>
          <w:sz w:val="24"/>
          <w:szCs w:val="24"/>
        </w:rPr>
        <w:t xml:space="preserve"> d.o.o. Osijek.</w:t>
      </w:r>
    </w:p>
    <w:p w:rsidRDefault="006D3FF2" w:rsidP="006D3FF2" w:rsidR="006D3FF2" w:rsidRPr="006D3FF2">
      <w:pPr>
        <w:pStyle w:val="Bezproreda"/>
        <w:jc w:val="both"/>
        <w:rPr>
          <w:rFonts w:hAnsi="Times New Roman" w:ascii="Times New Roman"/>
          <w:sz w:val="24"/>
          <w:szCs w:val="24"/>
        </w:rPr>
      </w:pPr>
    </w:p>
    <w:p w:rsidRDefault="006D3FF2" w:rsidP="00046DB0" w:rsidR="006D3FF2" w:rsidRPr="00046DB0">
      <w:pPr>
        <w:pStyle w:val="Bezproreda"/>
        <w:jc w:val="both"/>
        <w:rPr>
          <w:rFonts w:hAnsi="Times New Roman" w:ascii="Times New Roman"/>
          <w:sz w:val="24"/>
          <w:szCs w:val="24"/>
        </w:rPr>
      </w:pPr>
      <w:r w:rsidRPr="006D3FF2">
        <w:rPr>
          <w:rFonts w:hAnsi="Times New Roman" w:ascii="Times New Roman"/>
          <w:color w:val="000000"/>
          <w:sz w:val="24"/>
          <w:szCs w:val="24"/>
        </w:rPr>
        <w:t xml:space="preserve">    Raspoloživa sredstva za završnu  diobu iznose 40.551,58 kn, a iz njih će se namiriti vjerovnici prvog višeg isplatnog reda u iznosu od 40.551,58 kn  ili 7% ukupno priznatih tražbina I. višeg isplatnog reda i to kako slijedi:</w:t>
      </w:r>
    </w:p>
    <w:p w:rsidRDefault="006D3FF2" w:rsidP="006D3FF2" w:rsidR="006D3FF2">
      <w:pPr>
        <w:jc w:val="both"/>
        <w:rPr>
          <w:color w:val="000000"/>
        </w:rPr>
      </w:pPr>
      <w:r>
        <w:rPr>
          <w:b/>
          <w:bCs/>
          <w:color w:val="000000"/>
        </w:rPr>
        <w:t>I VIŠI ISPLATNI RED</w:t>
      </w:r>
    </w:p>
    <w:tbl>
      <w:tblPr>
        <w:tblW w:type="dxa" w:w="10453"/>
        <w:tblInd w:type="dxa" w:w="-684"/>
        <w:tblLayout w:type="fixed"/>
        <w:tblLook w:val="04A0" w:noVBand="1" w:noHBand="0" w:lastColumn="0" w:firstColumn="1" w:lastRow="0" w:firstRow="1"/>
      </w:tblPr>
      <w:tblGrid>
        <w:gridCol w:w="697"/>
        <w:gridCol w:w="1752"/>
        <w:gridCol w:w="1177"/>
        <w:gridCol w:w="1537"/>
        <w:gridCol w:w="1537"/>
        <w:gridCol w:w="817"/>
        <w:gridCol w:w="1297"/>
        <w:gridCol w:w="1639"/>
      </w:tblGrid>
      <w:tr w:rsidTr="006D3FF2" w:rsidR="006D3FF2">
        <w:trPr>
          <w:trHeight w:val="855"/>
        </w:trPr>
        <w:tc>
          <w:tcPr>
            <w:tcW w:type="dxa" w:w="69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 xml:space="preserve">Red. </w:t>
            </w:r>
            <w:proofErr w:type="spellStart"/>
            <w:r>
              <w:rPr>
                <w:color w:val="000000"/>
              </w:rPr>
              <w:t>br</w:t>
            </w:r>
            <w:proofErr w:type="spellEnd"/>
          </w:p>
        </w:tc>
        <w:tc>
          <w:tcPr>
            <w:tcW w:type="dxa" w:w="1752"/>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VJEROVNIK</w:t>
            </w:r>
          </w:p>
        </w:tc>
        <w:tc>
          <w:tcPr>
            <w:tcW w:type="dxa" w:w="117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Adresa</w:t>
            </w:r>
          </w:p>
        </w:tc>
        <w:tc>
          <w:tcPr>
            <w:tcW w:type="dxa" w:w="153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OIB</w:t>
            </w:r>
          </w:p>
        </w:tc>
        <w:tc>
          <w:tcPr>
            <w:tcW w:type="dxa" w:w="153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Iznos prijavljene i priznate tražbine</w:t>
            </w:r>
          </w:p>
        </w:tc>
        <w:tc>
          <w:tcPr>
            <w:tcW w:type="dxa" w:w="81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 diobe</w:t>
            </w:r>
          </w:p>
        </w:tc>
        <w:tc>
          <w:tcPr>
            <w:tcW w:type="dxa" w:w="1297"/>
            <w:tcBorders>
              <w:top w:space="0" w:sz="4" w:color="000000" w:val="single"/>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 xml:space="preserve"> Iznos za diobu </w:t>
            </w:r>
          </w:p>
        </w:tc>
        <w:tc>
          <w:tcPr>
            <w:tcW w:type="dxa" w:w="1639"/>
            <w:tcBorders>
              <w:top w:space="0" w:sz="4" w:color="000000" w:val="single"/>
              <w:left w:space="0" w:sz="4" w:color="000000" w:val="single"/>
              <w:bottom w:space="0" w:sz="4" w:color="000000" w:val="single"/>
              <w:right w:space="0" w:sz="4" w:color="000000" w:val="single"/>
            </w:tcBorders>
            <w:shd w:fill="DDEBF7" w:color="auto" w:val="clear"/>
            <w:vAlign w:val="center"/>
            <w:hideMark/>
          </w:tcPr>
          <w:p w:rsidRDefault="006D3FF2" w:rsidR="006D3FF2">
            <w:pPr>
              <w:spacing w:lineRule="atLeast" w:line="100"/>
              <w:jc w:val="center"/>
              <w:rPr>
                <w:sz w:val="24"/>
                <w:szCs w:val="24"/>
              </w:rPr>
            </w:pPr>
            <w:r>
              <w:rPr>
                <w:color w:val="000000"/>
              </w:rPr>
              <w:t xml:space="preserve"> Ostaje nenamireno </w:t>
            </w:r>
          </w:p>
        </w:tc>
      </w:tr>
      <w:tr w:rsidTr="006D3FF2" w:rsidR="006D3FF2">
        <w:trPr>
          <w:trHeight w:val="225"/>
        </w:trPr>
        <w:tc>
          <w:tcPr>
            <w:tcW w:type="dxa" w:w="69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1.</w:t>
            </w:r>
          </w:p>
        </w:tc>
        <w:tc>
          <w:tcPr>
            <w:tcW w:type="dxa" w:w="1752"/>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2.</w:t>
            </w:r>
          </w:p>
        </w:tc>
        <w:tc>
          <w:tcPr>
            <w:tcW w:type="dxa" w:w="117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3.</w:t>
            </w:r>
          </w:p>
        </w:tc>
        <w:tc>
          <w:tcPr>
            <w:tcW w:type="dxa" w:w="153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4.</w:t>
            </w:r>
          </w:p>
        </w:tc>
        <w:tc>
          <w:tcPr>
            <w:tcW w:type="dxa" w:w="153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5.</w:t>
            </w:r>
          </w:p>
        </w:tc>
        <w:tc>
          <w:tcPr>
            <w:tcW w:type="dxa" w:w="81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6.</w:t>
            </w:r>
          </w:p>
        </w:tc>
        <w:tc>
          <w:tcPr>
            <w:tcW w:type="dxa" w:w="129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color w:val="000000"/>
                <w:sz w:val="24"/>
                <w:szCs w:val="24"/>
              </w:rPr>
            </w:pPr>
            <w:r>
              <w:rPr>
                <w:color w:val="000000"/>
              </w:rPr>
              <w:t xml:space="preserve"> 7. (5x6) </w:t>
            </w:r>
          </w:p>
        </w:tc>
        <w:tc>
          <w:tcPr>
            <w:tcW w:type="dxa" w:w="1639"/>
            <w:tcBorders>
              <w:top w:val="nil"/>
              <w:left w:space="0" w:sz="4" w:color="000000" w:val="single"/>
              <w:bottom w:space="0" w:sz="4" w:color="000000" w:val="single"/>
              <w:right w:space="0" w:sz="4" w:color="000000" w:val="single"/>
            </w:tcBorders>
            <w:shd w:fill="DDEBF7" w:color="auto" w:val="clear"/>
            <w:vAlign w:val="center"/>
            <w:hideMark/>
          </w:tcPr>
          <w:p w:rsidRDefault="006D3FF2" w:rsidR="006D3FF2">
            <w:pPr>
              <w:spacing w:lineRule="atLeast" w:line="100"/>
              <w:jc w:val="center"/>
              <w:rPr>
                <w:sz w:val="24"/>
                <w:szCs w:val="24"/>
              </w:rPr>
            </w:pPr>
            <w:r>
              <w:rPr>
                <w:color w:val="000000"/>
              </w:rPr>
              <w:t xml:space="preserve"> 8. (5-7) </w:t>
            </w:r>
          </w:p>
        </w:tc>
      </w:tr>
      <w:tr w:rsidTr="006D3FF2" w:rsidR="006D3FF2">
        <w:trPr>
          <w:trHeight w:val="1200"/>
        </w:trPr>
        <w:tc>
          <w:tcPr>
            <w:tcW w:type="dxa" w:w="697"/>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1.</w:t>
            </w:r>
          </w:p>
        </w:tc>
        <w:tc>
          <w:tcPr>
            <w:tcW w:type="dxa" w:w="1752"/>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MUŽEVIĆ KRUNOSLAV</w:t>
            </w:r>
          </w:p>
        </w:tc>
        <w:tc>
          <w:tcPr>
            <w:tcW w:type="dxa" w:w="1177"/>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Valpovo, Tina Ujevića 20</w:t>
            </w:r>
          </w:p>
        </w:tc>
        <w:tc>
          <w:tcPr>
            <w:tcW w:type="dxa" w:w="153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20960979003</w:t>
            </w:r>
          </w:p>
        </w:tc>
        <w:tc>
          <w:tcPr>
            <w:tcW w:type="dxa" w:w="153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 xml:space="preserve">213.180,00    </w:t>
            </w:r>
          </w:p>
        </w:tc>
        <w:tc>
          <w:tcPr>
            <w:tcW w:type="dxa" w:w="81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7%</w:t>
            </w:r>
          </w:p>
        </w:tc>
        <w:tc>
          <w:tcPr>
            <w:tcW w:type="dxa" w:w="129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 xml:space="preserve">14.922,60    </w:t>
            </w:r>
          </w:p>
        </w:tc>
        <w:tc>
          <w:tcPr>
            <w:tcW w:type="dxa" w:w="1639"/>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198.257,40    </w:t>
            </w:r>
          </w:p>
        </w:tc>
      </w:tr>
      <w:tr w:rsidTr="006D3FF2" w:rsidR="006D3FF2">
        <w:trPr>
          <w:trHeight w:val="1020"/>
        </w:trPr>
        <w:tc>
          <w:tcPr>
            <w:tcW w:type="dxa" w:w="697"/>
            <w:tcBorders>
              <w:top w:val="nil"/>
              <w:left w:space="0" w:sz="4" w:color="000000" w:val="single"/>
              <w:bottom w:space="0" w:sz="4" w:color="000000" w:val="single"/>
              <w:right w:val="nil"/>
            </w:tcBorders>
            <w:vAlign w:val="center"/>
            <w:hideMark/>
          </w:tcPr>
          <w:p w:rsidRDefault="006D3FF2" w:rsidR="006D3FF2">
            <w:pPr>
              <w:spacing w:lineRule="atLeast" w:line="100"/>
              <w:jc w:val="center"/>
              <w:rPr>
                <w:color w:val="000000"/>
                <w:sz w:val="24"/>
                <w:szCs w:val="24"/>
              </w:rPr>
            </w:pPr>
            <w:r>
              <w:rPr>
                <w:color w:val="000000"/>
              </w:rPr>
              <w:t>2.</w:t>
            </w:r>
          </w:p>
        </w:tc>
        <w:tc>
          <w:tcPr>
            <w:tcW w:type="dxa" w:w="1752"/>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REPUBLIKA HRVATSKA zastupana po ŽDO u Osijeku</w:t>
            </w:r>
          </w:p>
        </w:tc>
        <w:tc>
          <w:tcPr>
            <w:tcW w:type="dxa" w:w="1177"/>
            <w:tcBorders>
              <w:top w:val="nil"/>
              <w:left w:space="0" w:sz="4" w:color="000000" w:val="single"/>
              <w:bottom w:space="0" w:sz="4" w:color="000000" w:val="single"/>
              <w:right w:val="nil"/>
            </w:tcBorders>
            <w:vAlign w:val="center"/>
            <w:hideMark/>
          </w:tcPr>
          <w:p w:rsidRDefault="006D3FF2" w:rsidR="006D3FF2">
            <w:pPr>
              <w:spacing w:lineRule="atLeast" w:line="100"/>
              <w:rPr>
                <w:color w:val="000000"/>
                <w:sz w:val="24"/>
                <w:szCs w:val="24"/>
              </w:rPr>
            </w:pPr>
            <w:r>
              <w:rPr>
                <w:color w:val="000000"/>
              </w:rPr>
              <w:t>Osijek</w:t>
            </w:r>
          </w:p>
        </w:tc>
        <w:tc>
          <w:tcPr>
            <w:tcW w:type="dxa" w:w="153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52634238587</w:t>
            </w:r>
          </w:p>
        </w:tc>
        <w:tc>
          <w:tcPr>
            <w:tcW w:type="dxa" w:w="153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 xml:space="preserve"> 366.128,34    </w:t>
            </w:r>
          </w:p>
        </w:tc>
        <w:tc>
          <w:tcPr>
            <w:tcW w:type="dxa" w:w="81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7%</w:t>
            </w:r>
          </w:p>
        </w:tc>
        <w:tc>
          <w:tcPr>
            <w:tcW w:type="dxa" w:w="1297"/>
            <w:tcBorders>
              <w:top w:val="nil"/>
              <w:left w:space="0" w:sz="4" w:color="000000" w:val="single"/>
              <w:bottom w:space="0" w:sz="4" w:color="000000" w:val="single"/>
              <w:right w:val="nil"/>
            </w:tcBorders>
            <w:vAlign w:val="center"/>
            <w:hideMark/>
          </w:tcPr>
          <w:p w:rsidRDefault="006D3FF2" w:rsidR="006D3FF2">
            <w:pPr>
              <w:spacing w:lineRule="atLeast" w:line="100"/>
              <w:jc w:val="right"/>
              <w:rPr>
                <w:color w:val="000000"/>
                <w:sz w:val="24"/>
                <w:szCs w:val="24"/>
              </w:rPr>
            </w:pPr>
            <w:r>
              <w:rPr>
                <w:color w:val="000000"/>
              </w:rPr>
              <w:t xml:space="preserve">25.628,98    </w:t>
            </w:r>
          </w:p>
        </w:tc>
        <w:tc>
          <w:tcPr>
            <w:tcW w:type="dxa" w:w="1639"/>
            <w:tcBorders>
              <w:top w:val="nil"/>
              <w:left w:space="0" w:sz="4" w:color="000000" w:val="single"/>
              <w:bottom w:space="0" w:sz="4" w:color="000000" w:val="single"/>
              <w:right w:space="0" w:sz="4" w:color="000000" w:val="single"/>
            </w:tcBorders>
            <w:vAlign w:val="center"/>
            <w:hideMark/>
          </w:tcPr>
          <w:p w:rsidRDefault="006D3FF2" w:rsidR="006D3FF2">
            <w:pPr>
              <w:spacing w:lineRule="atLeast" w:line="100"/>
              <w:jc w:val="right"/>
              <w:rPr>
                <w:sz w:val="24"/>
                <w:szCs w:val="24"/>
              </w:rPr>
            </w:pPr>
            <w:r>
              <w:rPr>
                <w:color w:val="000000"/>
              </w:rPr>
              <w:t xml:space="preserve">340.499,36    </w:t>
            </w:r>
          </w:p>
        </w:tc>
      </w:tr>
      <w:tr w:rsidTr="006D3FF2" w:rsidR="006D3FF2">
        <w:trPr>
          <w:trHeight w:val="300"/>
        </w:trPr>
        <w:tc>
          <w:tcPr>
            <w:tcW w:type="dxa" w:w="69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center"/>
              <w:rPr>
                <w:b/>
                <w:bCs/>
                <w:color w:val="000000"/>
                <w:sz w:val="24"/>
                <w:szCs w:val="24"/>
              </w:rPr>
            </w:pPr>
            <w:r>
              <w:rPr>
                <w:b/>
                <w:bCs/>
                <w:color w:val="000000"/>
              </w:rPr>
              <w:t>3.</w:t>
            </w:r>
          </w:p>
        </w:tc>
        <w:tc>
          <w:tcPr>
            <w:tcW w:type="dxa" w:w="1752"/>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rPr>
                <w:b/>
                <w:bCs/>
                <w:color w:val="000000"/>
                <w:sz w:val="24"/>
                <w:szCs w:val="24"/>
              </w:rPr>
            </w:pPr>
            <w:r>
              <w:rPr>
                <w:b/>
                <w:bCs/>
                <w:color w:val="000000"/>
              </w:rPr>
              <w:t xml:space="preserve">Ukupno </w:t>
            </w:r>
          </w:p>
        </w:tc>
        <w:tc>
          <w:tcPr>
            <w:tcW w:type="dxa" w:w="117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rPr>
                <w:b/>
                <w:bCs/>
                <w:color w:val="000000"/>
                <w:sz w:val="24"/>
                <w:szCs w:val="24"/>
              </w:rPr>
            </w:pPr>
            <w:r>
              <w:rPr>
                <w:b/>
                <w:bCs/>
                <w:color w:val="000000"/>
              </w:rPr>
              <w:t> </w:t>
            </w:r>
          </w:p>
        </w:tc>
        <w:tc>
          <w:tcPr>
            <w:tcW w:type="dxa" w:w="153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rPr>
                <w:b/>
                <w:bCs/>
                <w:color w:val="000000"/>
                <w:sz w:val="24"/>
                <w:szCs w:val="24"/>
              </w:rPr>
            </w:pPr>
            <w:r>
              <w:rPr>
                <w:b/>
                <w:bCs/>
                <w:color w:val="000000"/>
              </w:rPr>
              <w:t> </w:t>
            </w:r>
          </w:p>
        </w:tc>
        <w:tc>
          <w:tcPr>
            <w:tcW w:type="dxa" w:w="153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right"/>
              <w:rPr>
                <w:b/>
                <w:bCs/>
                <w:color w:val="000000"/>
                <w:sz w:val="24"/>
                <w:szCs w:val="24"/>
              </w:rPr>
            </w:pPr>
            <w:r>
              <w:rPr>
                <w:b/>
                <w:bCs/>
                <w:color w:val="000000"/>
              </w:rPr>
              <w:t>579.308,34</w:t>
            </w:r>
          </w:p>
        </w:tc>
        <w:tc>
          <w:tcPr>
            <w:tcW w:type="dxa" w:w="81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right"/>
              <w:rPr>
                <w:b/>
                <w:bCs/>
                <w:color w:val="000000"/>
                <w:sz w:val="24"/>
                <w:szCs w:val="24"/>
              </w:rPr>
            </w:pPr>
            <w:r>
              <w:rPr>
                <w:b/>
                <w:bCs/>
                <w:color w:val="000000"/>
              </w:rPr>
              <w:t> </w:t>
            </w:r>
          </w:p>
        </w:tc>
        <w:tc>
          <w:tcPr>
            <w:tcW w:type="dxa" w:w="1297"/>
            <w:tcBorders>
              <w:top w:val="nil"/>
              <w:left w:space="0" w:sz="4" w:color="000000" w:val="single"/>
              <w:bottom w:space="0" w:sz="4" w:color="000000" w:val="single"/>
              <w:right w:val="nil"/>
            </w:tcBorders>
            <w:shd w:fill="DDEBF7" w:color="auto" w:val="clear"/>
            <w:vAlign w:val="center"/>
            <w:hideMark/>
          </w:tcPr>
          <w:p w:rsidRDefault="006D3FF2" w:rsidR="006D3FF2">
            <w:pPr>
              <w:spacing w:lineRule="atLeast" w:line="100"/>
              <w:jc w:val="right"/>
              <w:rPr>
                <w:b/>
                <w:bCs/>
                <w:color w:val="000000"/>
                <w:sz w:val="24"/>
                <w:szCs w:val="24"/>
              </w:rPr>
            </w:pPr>
            <w:r>
              <w:rPr>
                <w:b/>
                <w:bCs/>
                <w:color w:val="000000"/>
              </w:rPr>
              <w:t xml:space="preserve">40.551,58    </w:t>
            </w:r>
          </w:p>
        </w:tc>
        <w:tc>
          <w:tcPr>
            <w:tcW w:type="dxa" w:w="1639"/>
            <w:tcBorders>
              <w:top w:val="nil"/>
              <w:left w:space="0" w:sz="4" w:color="000000" w:val="single"/>
              <w:bottom w:space="0" w:sz="4" w:color="000000" w:val="single"/>
              <w:right w:space="0" w:sz="4" w:color="000000" w:val="single"/>
            </w:tcBorders>
            <w:shd w:fill="DDEBF7" w:color="auto" w:val="clear"/>
            <w:vAlign w:val="center"/>
            <w:hideMark/>
          </w:tcPr>
          <w:p w:rsidRDefault="006D3FF2" w:rsidR="006D3FF2">
            <w:pPr>
              <w:spacing w:lineRule="atLeast" w:line="100"/>
              <w:jc w:val="right"/>
              <w:rPr>
                <w:sz w:val="24"/>
                <w:szCs w:val="24"/>
              </w:rPr>
            </w:pPr>
            <w:r>
              <w:rPr>
                <w:b/>
                <w:bCs/>
                <w:color w:val="000000"/>
              </w:rPr>
              <w:t xml:space="preserve"> 538.756,76    </w:t>
            </w:r>
          </w:p>
        </w:tc>
      </w:tr>
    </w:tbl>
    <w:p w:rsidRDefault="006D3FF2" w:rsidP="006D3FF2" w:rsidR="006D3FF2">
      <w:pPr>
        <w:jc w:val="both"/>
      </w:pPr>
    </w:p>
    <w:p w:rsidRDefault="006D3FF2" w:rsidP="006D3FF2" w:rsidR="006D3FF2">
      <w:pPr>
        <w:rPr>
          <w:bCs/>
        </w:rPr>
      </w:pPr>
    </w:p>
    <w:p w:rsidRDefault="006D3FF2" w:rsidP="006D3FF2" w:rsidR="006D3FF2">
      <w:pPr>
        <w:pStyle w:val="Bezproreda"/>
        <w:jc w:val="both"/>
        <w:rPr>
          <w:rFonts w:hAnsi="Times New Roman" w:ascii="Times New Roman"/>
          <w:sz w:val="24"/>
          <w:szCs w:val="24"/>
        </w:rPr>
      </w:pPr>
      <w:r>
        <w:rPr>
          <w:rFonts w:hAnsi="Times New Roman" w:ascii="Times New Roman"/>
          <w:sz w:val="24"/>
          <w:szCs w:val="24"/>
        </w:rPr>
        <w:lastRenderedPageBreak/>
        <w:t>Stečajna upraviteljica predl</w:t>
      </w:r>
      <w:r w:rsidR="00046DB0">
        <w:rPr>
          <w:rFonts w:hAnsi="Times New Roman" w:ascii="Times New Roman"/>
          <w:sz w:val="24"/>
          <w:szCs w:val="24"/>
        </w:rPr>
        <w:t>ožila je da se</w:t>
      </w:r>
      <w:r>
        <w:rPr>
          <w:rFonts w:hAnsi="Times New Roman" w:ascii="Times New Roman"/>
          <w:sz w:val="24"/>
          <w:szCs w:val="24"/>
        </w:rPr>
        <w:t xml:space="preserve"> zaključi stečajni postupak sukladno čl. 196 SZ.</w:t>
      </w:r>
    </w:p>
    <w:p w:rsidRDefault="00046DB0" w:rsidP="00867923" w:rsidR="00046DB0">
      <w:pPr>
        <w:pStyle w:val="Bezproreda"/>
        <w:tabs>
          <w:tab w:pos="708" w:val="left"/>
          <w:tab w:pos="1416" w:val="left"/>
          <w:tab w:pos="2124" w:val="left"/>
          <w:tab w:pos="2832" w:val="left"/>
          <w:tab w:pos="3540" w:val="left"/>
          <w:tab w:pos="4248" w:val="left"/>
          <w:tab w:pos="4956" w:val="left"/>
          <w:tab w:pos="5655" w:val="left"/>
        </w:tabs>
        <w:jc w:val="both"/>
        <w:rPr>
          <w:rFonts w:hAnsi="Times New Roman" w:ascii="Times New Roman"/>
          <w:sz w:val="24"/>
          <w:szCs w:val="24"/>
        </w:rPr>
      </w:pPr>
    </w:p>
    <w:p w:rsidRDefault="004F79F8" w:rsidP="00867923" w:rsidR="004F79F8" w:rsidRPr="004F79F8">
      <w:pPr>
        <w:pStyle w:val="Bezproreda"/>
        <w:tabs>
          <w:tab w:pos="708" w:val="left"/>
          <w:tab w:pos="1416" w:val="left"/>
          <w:tab w:pos="2124" w:val="left"/>
          <w:tab w:pos="2832" w:val="left"/>
          <w:tab w:pos="3540" w:val="left"/>
          <w:tab w:pos="4248" w:val="left"/>
          <w:tab w:pos="4956" w:val="left"/>
          <w:tab w:pos="5655" w:val="left"/>
        </w:tabs>
        <w:jc w:val="both"/>
        <w:rPr>
          <w:rFonts w:hAnsi="Times New Roman" w:ascii="Times New Roman"/>
          <w:sz w:val="24"/>
          <w:szCs w:val="24"/>
        </w:rPr>
      </w:pPr>
      <w:r w:rsidRPr="004F79F8">
        <w:rPr>
          <w:rFonts w:hAnsi="Times New Roman" w:ascii="Times New Roman"/>
          <w:sz w:val="24"/>
          <w:szCs w:val="24"/>
        </w:rPr>
        <w:tab/>
        <w:t xml:space="preserve">ŽDO </w:t>
      </w:r>
      <w:r w:rsidR="00867923">
        <w:rPr>
          <w:rFonts w:hAnsi="Times New Roman" w:ascii="Times New Roman"/>
          <w:sz w:val="24"/>
          <w:szCs w:val="24"/>
        </w:rPr>
        <w:t xml:space="preserve">se suglasio s </w:t>
      </w:r>
      <w:r w:rsidR="00046DB0">
        <w:rPr>
          <w:rFonts w:hAnsi="Times New Roman" w:ascii="Times New Roman"/>
          <w:sz w:val="24"/>
          <w:szCs w:val="24"/>
        </w:rPr>
        <w:t>izvješćem stečajne upraviteljice te s prijedlogom za zaključenjem stečajnog postupka nad dužnikom</w:t>
      </w:r>
      <w:r w:rsidR="00867923">
        <w:rPr>
          <w:rFonts w:hAnsi="Times New Roman" w:ascii="Times New Roman"/>
          <w:sz w:val="24"/>
          <w:szCs w:val="24"/>
        </w:rPr>
        <w:t>.</w:t>
      </w:r>
    </w:p>
    <w:p w:rsidRDefault="00273331" w:rsidP="004F79F8" w:rsidR="00273331">
      <w:pPr>
        <w:pStyle w:val="Bezproreda"/>
        <w:jc w:val="both"/>
        <w:rPr>
          <w:rFonts w:hAnsi="Times New Roman" w:ascii="Times New Roman"/>
          <w:sz w:val="24"/>
          <w:szCs w:val="24"/>
        </w:rPr>
      </w:pPr>
    </w:p>
    <w:p w:rsidRDefault="0039558B" w:rsidP="002C41A8" w:rsidR="00015ABD" w:rsidRPr="00F8588B">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F314A8" w:rsidP="0081138D" w:rsidR="00417A2B">
      <w:pPr>
        <w:pStyle w:val="Bezproreda"/>
        <w:jc w:val="center"/>
        <w:rPr>
          <w:rFonts w:hAnsi="Times New Roman" w:ascii="Times New Roman"/>
          <w:sz w:val="24"/>
          <w:szCs w:val="24"/>
        </w:rPr>
      </w:pPr>
      <w:r w:rsidRPr="00F8588B">
        <w:rPr>
          <w:rFonts w:hAnsi="Times New Roman" w:ascii="Times New Roman"/>
          <w:sz w:val="24"/>
          <w:szCs w:val="24"/>
        </w:rPr>
        <w:t>U Osijeku</w:t>
      </w:r>
      <w:r w:rsidR="00ED0F94" w:rsidRPr="00F8588B">
        <w:rPr>
          <w:rFonts w:hAnsi="Times New Roman" w:ascii="Times New Roman"/>
          <w:sz w:val="24"/>
          <w:szCs w:val="24"/>
        </w:rPr>
        <w:t xml:space="preserve"> </w:t>
      </w:r>
      <w:r w:rsidR="00046DB0">
        <w:rPr>
          <w:rFonts w:hAnsi="Times New Roman" w:ascii="Times New Roman"/>
          <w:sz w:val="24"/>
          <w:szCs w:val="24"/>
        </w:rPr>
        <w:t>8. svibnja 2017. g.</w:t>
      </w: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867923" w:rsidP="002C1423" w:rsidR="00867923">
      <w:pPr>
        <w:pStyle w:val="Bezproreda"/>
        <w:tabs>
          <w:tab w:pos="6240" w:val="left"/>
        </w:tabs>
        <w:jc w:val="both"/>
        <w:rPr>
          <w:rFonts w:hAnsi="Times New Roman" w:ascii="Times New Roman"/>
          <w:sz w:val="24"/>
          <w:szCs w:val="24"/>
        </w:rPr>
      </w:pPr>
    </w:p>
    <w:p w:rsidRDefault="00867923" w:rsidP="002C1423" w:rsidR="00867923">
      <w:pPr>
        <w:pStyle w:val="Bezproreda"/>
        <w:tabs>
          <w:tab w:pos="6240" w:val="left"/>
        </w:tabs>
        <w:jc w:val="both"/>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046DB0">
        <w:rPr>
          <w:rFonts w:hAnsi="Times New Roman" w:ascii="Times New Roman"/>
          <w:sz w:val="24"/>
          <w:szCs w:val="24"/>
        </w:rPr>
        <w:t>Nada Gagro</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ŽDO Osijek</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FINA Osijek – nakon p</w:t>
      </w:r>
      <w:r w:rsidR="00867923">
        <w:rPr>
          <w:rFonts w:hAnsi="Times New Roman" w:ascii="Times New Roman"/>
          <w:sz w:val="24"/>
          <w:szCs w:val="24"/>
        </w:rPr>
        <w:t>r</w:t>
      </w:r>
      <w:r>
        <w:rPr>
          <w:rFonts w:hAnsi="Times New Roman" w:ascii="Times New Roman"/>
          <w:sz w:val="24"/>
          <w:szCs w:val="24"/>
        </w:rPr>
        <w:t>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046DB0">
        <w:rPr>
          <w:rFonts w:hAnsi="Times New Roman" w:ascii="Times New Roman"/>
          <w:sz w:val="24"/>
          <w:szCs w:val="24"/>
        </w:rPr>
        <w:t>8.6.</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E5438B" w:rsidP="009D784C"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1"/>
      <w:bookmarkEnd w:id="1"/>
    </w:p>
    <w:sectPr w:rsidSect="000D2DDD" w:rsidR="00B834B5" w:rsidRPr="00F8588B">
      <w:headerReference w:type="defaul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31C" w:rsidP="00ED0F94" w:rsidR="00A8331C">
      <w:pPr>
        <w:spacing w:lineRule="auto" w:line="240" w:after="0"/>
      </w:pPr>
      <w:r>
        <w:separator/>
      </w:r>
    </w:p>
  </w:endnote>
  <w:endnote w:id="0" w:type="continuationSeparator">
    <w:p w:rsidRDefault="00A8331C" w:rsidP="00ED0F94" w:rsidR="00A8331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31C" w:rsidP="00ED0F94" w:rsidR="00A8331C">
      <w:pPr>
        <w:spacing w:lineRule="auto" w:line="240" w:after="0"/>
      </w:pPr>
      <w:r>
        <w:separator/>
      </w:r>
    </w:p>
  </w:footnote>
  <w:footnote w:id="0" w:type="continuationSeparator">
    <w:p w:rsidRDefault="00A8331C" w:rsidP="00ED0F94" w:rsidR="00A8331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3FF2" w:rsidR="006D3FF2">
    <w:pPr>
      <w:pStyle w:val="Zaglavlje"/>
      <w:jc w:val="center"/>
    </w:pPr>
    <w:r>
      <w:fldChar w:fldCharType="begin"/>
    </w:r>
    <w:r>
      <w:instrText>PAGE   \* MERGEFORMAT</w:instrText>
    </w:r>
    <w:r>
      <w:fldChar w:fldCharType="separate"/>
    </w:r>
    <w:r w:rsidR="009D784C">
      <w:rPr>
        <w:noProof/>
      </w:rPr>
      <w:t>13</w:t>
    </w:r>
    <w:r>
      <w:fldChar w:fldCharType="end"/>
    </w:r>
  </w:p>
  <w:p w:rsidRDefault="006D3FF2" w:rsidP="002C1423" w:rsidR="006D3FF2"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349/14-105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Wingdings" w:hAnsi="Wingdings" w:ascii="Wingdings"/>
        <w:szCs w:val="24"/>
      </w:r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7">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8">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2"/>
  </w:num>
  <w:num w:numId="2">
    <w:abstractNumId w:val="13"/>
  </w:num>
  <w:num w:numId="3">
    <w:abstractNumId w:val="20"/>
  </w:num>
  <w:num w:numId="4">
    <w:abstractNumId w:val="3"/>
  </w:num>
  <w:num w:numId="5">
    <w:abstractNumId w:val="4"/>
  </w:num>
  <w:num w:numId="6">
    <w:abstractNumId w:val="24"/>
  </w:num>
  <w:num w:numId="7">
    <w:abstractNumId w:val="21"/>
  </w:num>
  <w:num w:numId="8">
    <w:abstractNumId w:val="26"/>
  </w:num>
  <w:num w:numId="9">
    <w:abstractNumId w:val="8"/>
  </w:num>
  <w:num w:numId="10">
    <w:abstractNumId w:val="6"/>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3"/>
  </w:num>
  <w:num w:numId="17">
    <w:abstractNumId w:val="22"/>
  </w:num>
  <w:num w:numId="18">
    <w:abstractNumId w:val="17"/>
  </w:num>
  <w:num w:numId="19">
    <w:abstractNumId w:val="25"/>
  </w:num>
  <w:num w:numId="20">
    <w:abstractNumId w:val="5"/>
  </w:num>
  <w:num w:numId="21">
    <w:abstractNumId w:val="7"/>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46DB0"/>
    <w:rsid w:val="00065080"/>
    <w:rsid w:val="000942EF"/>
    <w:rsid w:val="00097CC0"/>
    <w:rsid w:val="000B583C"/>
    <w:rsid w:val="000D2A5B"/>
    <w:rsid w:val="000D2DDD"/>
    <w:rsid w:val="000F43C9"/>
    <w:rsid w:val="0012330B"/>
    <w:rsid w:val="00166691"/>
    <w:rsid w:val="00170010"/>
    <w:rsid w:val="00171CB1"/>
    <w:rsid w:val="00176CCF"/>
    <w:rsid w:val="00180EFF"/>
    <w:rsid w:val="001B1092"/>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4E7902"/>
    <w:rsid w:val="004F79F8"/>
    <w:rsid w:val="00537889"/>
    <w:rsid w:val="00551939"/>
    <w:rsid w:val="00554530"/>
    <w:rsid w:val="00573829"/>
    <w:rsid w:val="005851D8"/>
    <w:rsid w:val="005979D5"/>
    <w:rsid w:val="005B1F43"/>
    <w:rsid w:val="005D1321"/>
    <w:rsid w:val="00651763"/>
    <w:rsid w:val="006639B4"/>
    <w:rsid w:val="0067569E"/>
    <w:rsid w:val="00682B77"/>
    <w:rsid w:val="006A1059"/>
    <w:rsid w:val="006C4385"/>
    <w:rsid w:val="006D3FF2"/>
    <w:rsid w:val="0074522F"/>
    <w:rsid w:val="00752475"/>
    <w:rsid w:val="007833E9"/>
    <w:rsid w:val="007B6948"/>
    <w:rsid w:val="007C72F7"/>
    <w:rsid w:val="0081116B"/>
    <w:rsid w:val="0081138D"/>
    <w:rsid w:val="00834F06"/>
    <w:rsid w:val="008475B1"/>
    <w:rsid w:val="00867923"/>
    <w:rsid w:val="00887529"/>
    <w:rsid w:val="008B4458"/>
    <w:rsid w:val="008D6FC8"/>
    <w:rsid w:val="008F78B3"/>
    <w:rsid w:val="00901480"/>
    <w:rsid w:val="0093701A"/>
    <w:rsid w:val="0095694F"/>
    <w:rsid w:val="0097707D"/>
    <w:rsid w:val="00985F74"/>
    <w:rsid w:val="009A0499"/>
    <w:rsid w:val="009B5376"/>
    <w:rsid w:val="009D4867"/>
    <w:rsid w:val="009D784C"/>
    <w:rsid w:val="00A3371E"/>
    <w:rsid w:val="00A406C9"/>
    <w:rsid w:val="00A51553"/>
    <w:rsid w:val="00A601A9"/>
    <w:rsid w:val="00A618A0"/>
    <w:rsid w:val="00A8331C"/>
    <w:rsid w:val="00A875E2"/>
    <w:rsid w:val="00AB3DEE"/>
    <w:rsid w:val="00AC6D07"/>
    <w:rsid w:val="00AC6EB0"/>
    <w:rsid w:val="00AE1810"/>
    <w:rsid w:val="00B071A9"/>
    <w:rsid w:val="00B1188C"/>
    <w:rsid w:val="00B73840"/>
    <w:rsid w:val="00B834B5"/>
    <w:rsid w:val="00BA53CB"/>
    <w:rsid w:val="00BE0DC1"/>
    <w:rsid w:val="00BE1C9A"/>
    <w:rsid w:val="00C10736"/>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true" w:styleId="PodnojeChar" w:type="character">
    <w:name w:val="Podnožje Char"/>
    <w:link w:val="Podnoje"/>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Heading" w:type="paragraph">
    <w:name w:val="Heading"/>
    <w:basedOn w:val="Normal"/>
    <w:next w:val="Tijeloteksta"/>
    <w:rsid w:val="006D3FF2"/>
    <w:pPr>
      <w:keepNext/>
      <w:widowControl w:val="false"/>
      <w:suppressAutoHyphens/>
      <w:spacing w:lineRule="auto" w:line="240" w:after="120" w:before="240"/>
    </w:pPr>
    <w:rPr>
      <w:rFonts w:cs="Arial" w:eastAsia="Microsoft YaHei" w:hAnsi="Arial" w:ascii="Arial"/>
      <w:kern w:val="2"/>
      <w:sz w:val="28"/>
      <w:szCs w:val="28"/>
      <w:lang w:bidi="hi-IN" w:eastAsia="hi-IN"/>
    </w:rPr>
  </w:style>
  <w:style w:customStyle="true" w:styleId="Opisslike1" w:type="paragraph">
    <w:name w:val="Opis slike1"/>
    <w:basedOn w:val="Normal"/>
    <w:rsid w:val="006D3FF2"/>
    <w:pPr>
      <w:widowControl w:val="false"/>
      <w:suppressLineNumbers/>
      <w:suppressAutoHyphens/>
      <w:spacing w:lineRule="auto" w:line="240" w:after="120" w:before="120"/>
    </w:pPr>
    <w:rPr>
      <w:rFonts w:cs="Arial" w:eastAsia="Lucida Sans Unicode" w:hAnsi="Times New Roman" w:ascii="Times New Roman"/>
      <w:i/>
      <w:iCs/>
      <w:kern w:val="2"/>
      <w:sz w:val="24"/>
      <w:szCs w:val="24"/>
      <w:lang w:bidi="hi-IN" w:eastAsia="hi-IN"/>
    </w:rPr>
  </w:style>
  <w:style w:customStyle="true" w:styleId="Index" w:type="paragraph">
    <w:name w:val="Index"/>
    <w:basedOn w:val="Normal"/>
    <w:rsid w:val="006D3FF2"/>
    <w:pPr>
      <w:widowControl w:val="false"/>
      <w:suppressLineNumbers/>
      <w:suppressAutoHyphens/>
      <w:spacing w:lineRule="auto" w:line="240" w:after="0"/>
    </w:pPr>
    <w:rPr>
      <w:rFonts w:cs="Arial" w:eastAsia="Lucida Sans Unicode" w:hAnsi="Times New Roman" w:ascii="Times New Roman"/>
      <w:kern w:val="2"/>
      <w:sz w:val="24"/>
      <w:szCs w:val="24"/>
      <w:lang w:bidi="hi-IN" w:eastAsia="hi-IN"/>
    </w:rPr>
  </w:style>
  <w:style w:customStyle="true" w:styleId="Naslov10" w:type="paragraph">
    <w:name w:val="Naslov1"/>
    <w:basedOn w:val="Normal"/>
    <w:next w:val="Tijeloteksta"/>
    <w:rsid w:val="006D3FF2"/>
    <w:pPr>
      <w:keepNext/>
      <w:widowControl w:val="false"/>
      <w:suppressAutoHyphens/>
      <w:spacing w:lineRule="auto" w:line="240" w:after="120" w:before="240"/>
    </w:pPr>
    <w:rPr>
      <w:rFonts w:cs="Tahoma" w:eastAsia="Lucida Sans Unicode" w:hAnsi="Arial" w:ascii="Arial"/>
      <w:kern w:val="2"/>
      <w:sz w:val="28"/>
      <w:szCs w:val="28"/>
      <w:lang w:bidi="hi-IN" w:eastAsia="hi-IN"/>
    </w:rPr>
  </w:style>
  <w:style w:customStyle="true" w:styleId="Opis" w:type="paragraph">
    <w:name w:val="Opis"/>
    <w:basedOn w:val="Normal"/>
    <w:rsid w:val="006D3FF2"/>
    <w:pPr>
      <w:widowControl w:val="false"/>
      <w:suppressLineNumbers/>
      <w:suppressAutoHyphens/>
      <w:spacing w:lineRule="auto" w:line="240" w:after="120" w:before="120"/>
    </w:pPr>
    <w:rPr>
      <w:rFonts w:cs="Tahoma" w:eastAsia="Lucida Sans Unicode" w:hAnsi="Times New Roman" w:ascii="Times New Roman"/>
      <w:i/>
      <w:iCs/>
      <w:kern w:val="2"/>
      <w:sz w:val="24"/>
      <w:szCs w:val="24"/>
      <w:lang w:bidi="hi-IN" w:eastAsia="hi-IN"/>
    </w:rPr>
  </w:style>
  <w:style w:customStyle="true" w:styleId="Indeks" w:type="paragraph">
    <w:name w:val="Indeks"/>
    <w:basedOn w:val="Normal"/>
    <w:rsid w:val="006D3FF2"/>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Sadrajitablice" w:type="paragraph">
    <w:name w:val="Sadržaji tablice"/>
    <w:basedOn w:val="Normal"/>
    <w:rsid w:val="006D3FF2"/>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Naslovtablice" w:type="paragraph">
    <w:name w:val="Naslov tablice"/>
    <w:basedOn w:val="Sadrajitablice"/>
    <w:rsid w:val="006D3FF2"/>
    <w:pPr>
      <w:jc w:val="center"/>
    </w:pPr>
    <w:rPr>
      <w:b/>
      <w:bCs/>
    </w:rPr>
  </w:style>
  <w:style w:customStyle="true" w:styleId="TableContents" w:type="paragraph">
    <w:name w:val="Table Contents"/>
    <w:basedOn w:val="Normal"/>
    <w:rsid w:val="006D3FF2"/>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TableHeading" w:type="paragraph">
    <w:name w:val="Table Heading"/>
    <w:basedOn w:val="TableContents"/>
    <w:rsid w:val="006D3FF2"/>
    <w:pPr>
      <w:jc w:val="center"/>
    </w:pPr>
    <w:rPr>
      <w:b/>
      <w:bCs/>
    </w:rPr>
  </w:style>
  <w:style w:customStyle="true" w:styleId="WW8Num1z0" w:type="character">
    <w:name w:val="WW8Num1z0"/>
    <w:rsid w:val="006D3FF2"/>
    <w:rPr>
      <w:rFonts w:cs="Wingdings" w:hAnsi="Wingdings" w:ascii="Wingdings" w:hint="default"/>
      <w:szCs w:val="24"/>
    </w:rPr>
  </w:style>
  <w:style w:customStyle="true" w:styleId="WW8Num2z0" w:type="character">
    <w:name w:val="WW8Num2z0"/>
    <w:rsid w:val="006D3FF2"/>
  </w:style>
  <w:style w:customStyle="true" w:styleId="WW8Num2z1" w:type="character">
    <w:name w:val="WW8Num2z1"/>
    <w:rsid w:val="006D3FF2"/>
  </w:style>
  <w:style w:customStyle="true" w:styleId="WW8Num2z2" w:type="character">
    <w:name w:val="WW8Num2z2"/>
    <w:rsid w:val="006D3FF2"/>
  </w:style>
  <w:style w:customStyle="true" w:styleId="WW8Num2z3" w:type="character">
    <w:name w:val="WW8Num2z3"/>
    <w:rsid w:val="006D3FF2"/>
  </w:style>
  <w:style w:customStyle="true" w:styleId="WW8Num2z4" w:type="character">
    <w:name w:val="WW8Num2z4"/>
    <w:rsid w:val="006D3FF2"/>
  </w:style>
  <w:style w:customStyle="true" w:styleId="WW8Num2z5" w:type="character">
    <w:name w:val="WW8Num2z5"/>
    <w:rsid w:val="006D3FF2"/>
  </w:style>
  <w:style w:customStyle="true" w:styleId="WW8Num2z6" w:type="character">
    <w:name w:val="WW8Num2z6"/>
    <w:rsid w:val="006D3FF2"/>
  </w:style>
  <w:style w:customStyle="true" w:styleId="WW8Num2z7" w:type="character">
    <w:name w:val="WW8Num2z7"/>
    <w:rsid w:val="006D3FF2"/>
  </w:style>
  <w:style w:customStyle="true" w:styleId="WW8Num2z8" w:type="character">
    <w:name w:val="WW8Num2z8"/>
    <w:rsid w:val="006D3FF2"/>
  </w:style>
  <w:style w:customStyle="true" w:styleId="Absatz-Standardschriftart" w:type="character">
    <w:name w:val="Absatz-Standardschriftart"/>
    <w:rsid w:val="006D3FF2"/>
  </w:style>
  <w:style w:customStyle="true" w:styleId="WW-Absatz-Standardschriftart" w:type="character">
    <w:name w:val="WW-Absatz-Standardschriftart"/>
    <w:rsid w:val="006D3FF2"/>
  </w:style>
  <w:style w:customStyle="true" w:styleId="WW-Absatz-Standardschriftart1" w:type="character">
    <w:name w:val="WW-Absatz-Standardschriftart1"/>
    <w:rsid w:val="006D3FF2"/>
  </w:style>
  <w:style w:customStyle="true" w:styleId="WW-Absatz-Standardschriftart11" w:type="character">
    <w:name w:val="WW-Absatz-Standardschriftart11"/>
    <w:rsid w:val="006D3FF2"/>
  </w:style>
  <w:style w:customStyle="true" w:styleId="WW-Absatz-Standardschriftart111" w:type="character">
    <w:name w:val="WW-Absatz-Standardschriftart111"/>
    <w:rsid w:val="006D3FF2"/>
  </w:style>
  <w:style w:customStyle="true" w:styleId="WW-Absatz-Standardschriftart1111" w:type="character">
    <w:name w:val="WW-Absatz-Standardschriftart1111"/>
    <w:rsid w:val="006D3FF2"/>
  </w:style>
  <w:style w:customStyle="true" w:styleId="WW-Absatz-Standardschriftart11111" w:type="character">
    <w:name w:val="WW-Absatz-Standardschriftart11111"/>
    <w:rsid w:val="006D3FF2"/>
  </w:style>
  <w:style w:customStyle="true" w:styleId="WW-Absatz-Standardschriftart111111" w:type="character">
    <w:name w:val="WW-Absatz-Standardschriftart111111"/>
    <w:rsid w:val="006D3FF2"/>
  </w:style>
  <w:style w:customStyle="true" w:styleId="WW-Absatz-Standardschriftart1111111" w:type="character">
    <w:name w:val="WW-Absatz-Standardschriftart1111111"/>
    <w:rsid w:val="006D3FF2"/>
  </w:style>
  <w:style w:customStyle="true" w:styleId="WW-Absatz-Standardschriftart11111111" w:type="character">
    <w:name w:val="WW-Absatz-Standardschriftart11111111"/>
    <w:rsid w:val="006D3FF2"/>
  </w:style>
  <w:style w:customStyle="true" w:styleId="WW-Absatz-Standardschriftart111111111" w:type="character">
    <w:name w:val="WW-Absatz-Standardschriftart111111111"/>
    <w:rsid w:val="006D3FF2"/>
  </w:style>
  <w:style w:customStyle="true" w:styleId="WW-Absatz-Standardschriftart1111111111" w:type="character">
    <w:name w:val="WW-Absatz-Standardschriftart1111111111"/>
    <w:rsid w:val="006D3FF2"/>
  </w:style>
  <w:style w:customStyle="true" w:styleId="WW-Absatz-Standardschriftart11111111111" w:type="character">
    <w:name w:val="WW-Absatz-Standardschriftart11111111111"/>
    <w:rsid w:val="006D3FF2"/>
  </w:style>
  <w:style w:customStyle="true" w:styleId="WW-Absatz-Standardschriftart111111111111" w:type="character">
    <w:name w:val="WW-Absatz-Standardschriftart111111111111"/>
    <w:rsid w:val="006D3FF2"/>
  </w:style>
  <w:style w:customStyle="true" w:styleId="WW-Absatz-Standardschriftart1111111111111" w:type="character">
    <w:name w:val="WW-Absatz-Standardschriftart1111111111111"/>
    <w:rsid w:val="006D3FF2"/>
  </w:style>
  <w:style w:customStyle="true" w:styleId="WW-Absatz-Standardschriftart11111111111111" w:type="character">
    <w:name w:val="WW-Absatz-Standardschriftart11111111111111"/>
    <w:rsid w:val="006D3FF2"/>
  </w:style>
  <w:style w:customStyle="true" w:styleId="WW-Absatz-Standardschriftart111111111111111" w:type="character">
    <w:name w:val="WW-Absatz-Standardschriftart111111111111111"/>
    <w:rsid w:val="006D3FF2"/>
  </w:style>
  <w:style w:customStyle="true" w:styleId="WW-Absatz-Standardschriftart1111111111111111" w:type="character">
    <w:name w:val="WW-Absatz-Standardschriftart1111111111111111"/>
    <w:rsid w:val="006D3FF2"/>
  </w:style>
  <w:style w:customStyle="true" w:styleId="WW-Absatz-Standardschriftart11111111111111111" w:type="character">
    <w:name w:val="WW-Absatz-Standardschriftart11111111111111111"/>
    <w:rsid w:val="006D3FF2"/>
  </w:style>
  <w:style w:customStyle="true" w:styleId="WW-Absatz-Standardschriftart111111111111111111" w:type="character">
    <w:name w:val="WW-Absatz-Standardschriftart111111111111111111"/>
    <w:rsid w:val="006D3FF2"/>
  </w:style>
  <w:style w:customStyle="true" w:styleId="WW-Absatz-Standardschriftart1111111111111111111" w:type="character">
    <w:name w:val="WW-Absatz-Standardschriftart1111111111111111111"/>
    <w:rsid w:val="006D3FF2"/>
  </w:style>
  <w:style w:customStyle="true" w:styleId="WW-Absatz-Standardschriftart11111111111111111111" w:type="character">
    <w:name w:val="WW-Absatz-Standardschriftart11111111111111111111"/>
    <w:rsid w:val="006D3FF2"/>
  </w:style>
  <w:style w:styleId="Tekstrezerviranogmjesta" w:type="character">
    <w:name w:val="Placeholder Text"/>
    <w:basedOn w:val="Zadanifontodlomka"/>
    <w:uiPriority w:val="99"/>
    <w:semiHidden/>
    <w:rsid w:val="009D784C"/>
    <w:rPr>
      <w:color w:val="808080"/>
      <w:bdr w:space="0" w:sz="0" w:color="auto" w:val="none"/>
      <w:shd w:fill="CCFFFF" w:color="auto" w:val="clear"/>
    </w:rPr>
  </w:style>
  <w:style w:customStyle="true" w:styleId="eSPISCCParagraphDefaultFont" w:type="character">
    <w:name w:val="eSPIS_CC_Paragraph Default Font"/>
    <w:basedOn w:val="Zadanifontodlomka"/>
    <w:rsid w:val="009D78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784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78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78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1" w:styleId="PodnojeChar" w:type="character">
    <w:name w:val="Podnožje Char"/>
    <w:link w:val="Podnoje"/>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Heading" w:type="paragraph">
    <w:name w:val="Heading"/>
    <w:basedOn w:val="Normal"/>
    <w:next w:val="Tijeloteksta"/>
    <w:rsid w:val="006D3FF2"/>
    <w:pPr>
      <w:keepNext/>
      <w:widowControl w:val="0"/>
      <w:suppressAutoHyphens/>
      <w:spacing w:after="120" w:before="240" w:line="240" w:lineRule="auto"/>
    </w:pPr>
    <w:rPr>
      <w:rFonts w:ascii="Arial" w:cs="Arial" w:eastAsia="Microsoft YaHei" w:hAnsi="Arial"/>
      <w:kern w:val="2"/>
      <w:sz w:val="28"/>
      <w:szCs w:val="28"/>
      <w:lang w:bidi="hi-IN" w:eastAsia="hi-IN"/>
    </w:rPr>
  </w:style>
  <w:style w:customStyle="1" w:styleId="Opisslike1" w:type="paragraph">
    <w:name w:val="Opis slike1"/>
    <w:basedOn w:val="Normal"/>
    <w:rsid w:val="006D3FF2"/>
    <w:pPr>
      <w:widowControl w:val="0"/>
      <w:suppressLineNumbers/>
      <w:suppressAutoHyphens/>
      <w:spacing w:after="120" w:before="120" w:line="240" w:lineRule="auto"/>
    </w:pPr>
    <w:rPr>
      <w:rFonts w:ascii="Times New Roman" w:cs="Arial" w:eastAsia="Lucida Sans Unicode" w:hAnsi="Times New Roman"/>
      <w:i/>
      <w:iCs/>
      <w:kern w:val="2"/>
      <w:sz w:val="24"/>
      <w:szCs w:val="24"/>
      <w:lang w:bidi="hi-IN" w:eastAsia="hi-IN"/>
    </w:rPr>
  </w:style>
  <w:style w:customStyle="1" w:styleId="Index" w:type="paragraph">
    <w:name w:val="Index"/>
    <w:basedOn w:val="Normal"/>
    <w:rsid w:val="006D3FF2"/>
    <w:pPr>
      <w:widowControl w:val="0"/>
      <w:suppressLineNumbers/>
      <w:suppressAutoHyphens/>
      <w:spacing w:after="0" w:line="240" w:lineRule="auto"/>
    </w:pPr>
    <w:rPr>
      <w:rFonts w:ascii="Times New Roman" w:cs="Arial" w:eastAsia="Lucida Sans Unicode" w:hAnsi="Times New Roman"/>
      <w:kern w:val="2"/>
      <w:sz w:val="24"/>
      <w:szCs w:val="24"/>
      <w:lang w:bidi="hi-IN" w:eastAsia="hi-IN"/>
    </w:rPr>
  </w:style>
  <w:style w:customStyle="1" w:styleId="Naslov10" w:type="paragraph">
    <w:name w:val="Naslov1"/>
    <w:basedOn w:val="Normal"/>
    <w:next w:val="Tijeloteksta"/>
    <w:rsid w:val="006D3FF2"/>
    <w:pPr>
      <w:keepNext/>
      <w:widowControl w:val="0"/>
      <w:suppressAutoHyphens/>
      <w:spacing w:after="120" w:before="240" w:line="240" w:lineRule="auto"/>
    </w:pPr>
    <w:rPr>
      <w:rFonts w:ascii="Arial" w:cs="Tahoma" w:eastAsia="Lucida Sans Unicode" w:hAnsi="Arial"/>
      <w:kern w:val="2"/>
      <w:sz w:val="28"/>
      <w:szCs w:val="28"/>
      <w:lang w:bidi="hi-IN" w:eastAsia="hi-IN"/>
    </w:rPr>
  </w:style>
  <w:style w:customStyle="1" w:styleId="Opis" w:type="paragraph">
    <w:name w:val="Opis"/>
    <w:basedOn w:val="Normal"/>
    <w:rsid w:val="006D3FF2"/>
    <w:pPr>
      <w:widowControl w:val="0"/>
      <w:suppressLineNumbers/>
      <w:suppressAutoHyphens/>
      <w:spacing w:after="120" w:before="120" w:line="240" w:lineRule="auto"/>
    </w:pPr>
    <w:rPr>
      <w:rFonts w:ascii="Times New Roman" w:cs="Tahoma" w:eastAsia="Lucida Sans Unicode" w:hAnsi="Times New Roman"/>
      <w:i/>
      <w:iCs/>
      <w:kern w:val="2"/>
      <w:sz w:val="24"/>
      <w:szCs w:val="24"/>
      <w:lang w:bidi="hi-IN" w:eastAsia="hi-IN"/>
    </w:rPr>
  </w:style>
  <w:style w:customStyle="1" w:styleId="Indeks" w:type="paragraph">
    <w:name w:val="Indeks"/>
    <w:basedOn w:val="Normal"/>
    <w:rsid w:val="006D3FF2"/>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Sadrajitablice" w:type="paragraph">
    <w:name w:val="Sadržaji tablice"/>
    <w:basedOn w:val="Normal"/>
    <w:rsid w:val="006D3FF2"/>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Naslovtablice" w:type="paragraph">
    <w:name w:val="Naslov tablice"/>
    <w:basedOn w:val="Sadrajitablice"/>
    <w:rsid w:val="006D3FF2"/>
    <w:pPr>
      <w:jc w:val="center"/>
    </w:pPr>
    <w:rPr>
      <w:b/>
      <w:bCs/>
    </w:rPr>
  </w:style>
  <w:style w:customStyle="1" w:styleId="TableContents" w:type="paragraph">
    <w:name w:val="Table Contents"/>
    <w:basedOn w:val="Normal"/>
    <w:rsid w:val="006D3FF2"/>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TableHeading" w:type="paragraph">
    <w:name w:val="Table Heading"/>
    <w:basedOn w:val="TableContents"/>
    <w:rsid w:val="006D3FF2"/>
    <w:pPr>
      <w:jc w:val="center"/>
    </w:pPr>
    <w:rPr>
      <w:b/>
      <w:bCs/>
    </w:rPr>
  </w:style>
  <w:style w:customStyle="1" w:styleId="WW8Num1z0" w:type="character">
    <w:name w:val="WW8Num1z0"/>
    <w:rsid w:val="006D3FF2"/>
    <w:rPr>
      <w:rFonts w:ascii="Wingdings" w:cs="Wingdings" w:hAnsi="Wingdings" w:hint="default"/>
      <w:szCs w:val="24"/>
    </w:rPr>
  </w:style>
  <w:style w:customStyle="1" w:styleId="WW8Num2z0" w:type="character">
    <w:name w:val="WW8Num2z0"/>
    <w:rsid w:val="006D3FF2"/>
  </w:style>
  <w:style w:customStyle="1" w:styleId="WW8Num2z1" w:type="character">
    <w:name w:val="WW8Num2z1"/>
    <w:rsid w:val="006D3FF2"/>
  </w:style>
  <w:style w:customStyle="1" w:styleId="WW8Num2z2" w:type="character">
    <w:name w:val="WW8Num2z2"/>
    <w:rsid w:val="006D3FF2"/>
  </w:style>
  <w:style w:customStyle="1" w:styleId="WW8Num2z3" w:type="character">
    <w:name w:val="WW8Num2z3"/>
    <w:rsid w:val="006D3FF2"/>
  </w:style>
  <w:style w:customStyle="1" w:styleId="WW8Num2z4" w:type="character">
    <w:name w:val="WW8Num2z4"/>
    <w:rsid w:val="006D3FF2"/>
  </w:style>
  <w:style w:customStyle="1" w:styleId="WW8Num2z5" w:type="character">
    <w:name w:val="WW8Num2z5"/>
    <w:rsid w:val="006D3FF2"/>
  </w:style>
  <w:style w:customStyle="1" w:styleId="WW8Num2z6" w:type="character">
    <w:name w:val="WW8Num2z6"/>
    <w:rsid w:val="006D3FF2"/>
  </w:style>
  <w:style w:customStyle="1" w:styleId="WW8Num2z7" w:type="character">
    <w:name w:val="WW8Num2z7"/>
    <w:rsid w:val="006D3FF2"/>
  </w:style>
  <w:style w:customStyle="1" w:styleId="WW8Num2z8" w:type="character">
    <w:name w:val="WW8Num2z8"/>
    <w:rsid w:val="006D3FF2"/>
  </w:style>
  <w:style w:customStyle="1" w:styleId="Absatz-Standardschriftart" w:type="character">
    <w:name w:val="Absatz-Standardschriftart"/>
    <w:rsid w:val="006D3FF2"/>
  </w:style>
  <w:style w:customStyle="1" w:styleId="WW-Absatz-Standardschriftart" w:type="character">
    <w:name w:val="WW-Absatz-Standardschriftart"/>
    <w:rsid w:val="006D3FF2"/>
  </w:style>
  <w:style w:customStyle="1" w:styleId="WW-Absatz-Standardschriftart1" w:type="character">
    <w:name w:val="WW-Absatz-Standardschriftart1"/>
    <w:rsid w:val="006D3FF2"/>
  </w:style>
  <w:style w:customStyle="1" w:styleId="WW-Absatz-Standardschriftart11" w:type="character">
    <w:name w:val="WW-Absatz-Standardschriftart11"/>
    <w:rsid w:val="006D3FF2"/>
  </w:style>
  <w:style w:customStyle="1" w:styleId="WW-Absatz-Standardschriftart111" w:type="character">
    <w:name w:val="WW-Absatz-Standardschriftart111"/>
    <w:rsid w:val="006D3FF2"/>
  </w:style>
  <w:style w:customStyle="1" w:styleId="WW-Absatz-Standardschriftart1111" w:type="character">
    <w:name w:val="WW-Absatz-Standardschriftart1111"/>
    <w:rsid w:val="006D3FF2"/>
  </w:style>
  <w:style w:customStyle="1" w:styleId="WW-Absatz-Standardschriftart11111" w:type="character">
    <w:name w:val="WW-Absatz-Standardschriftart11111"/>
    <w:rsid w:val="006D3FF2"/>
  </w:style>
  <w:style w:customStyle="1" w:styleId="WW-Absatz-Standardschriftart111111" w:type="character">
    <w:name w:val="WW-Absatz-Standardschriftart111111"/>
    <w:rsid w:val="006D3FF2"/>
  </w:style>
  <w:style w:customStyle="1" w:styleId="WW-Absatz-Standardschriftart1111111" w:type="character">
    <w:name w:val="WW-Absatz-Standardschriftart1111111"/>
    <w:rsid w:val="006D3FF2"/>
  </w:style>
  <w:style w:customStyle="1" w:styleId="WW-Absatz-Standardschriftart11111111" w:type="character">
    <w:name w:val="WW-Absatz-Standardschriftart11111111"/>
    <w:rsid w:val="006D3FF2"/>
  </w:style>
  <w:style w:customStyle="1" w:styleId="WW-Absatz-Standardschriftart111111111" w:type="character">
    <w:name w:val="WW-Absatz-Standardschriftart111111111"/>
    <w:rsid w:val="006D3FF2"/>
  </w:style>
  <w:style w:customStyle="1" w:styleId="WW-Absatz-Standardschriftart1111111111" w:type="character">
    <w:name w:val="WW-Absatz-Standardschriftart1111111111"/>
    <w:rsid w:val="006D3FF2"/>
  </w:style>
  <w:style w:customStyle="1" w:styleId="WW-Absatz-Standardschriftart11111111111" w:type="character">
    <w:name w:val="WW-Absatz-Standardschriftart11111111111"/>
    <w:rsid w:val="006D3FF2"/>
  </w:style>
  <w:style w:customStyle="1" w:styleId="WW-Absatz-Standardschriftart111111111111" w:type="character">
    <w:name w:val="WW-Absatz-Standardschriftart111111111111"/>
    <w:rsid w:val="006D3FF2"/>
  </w:style>
  <w:style w:customStyle="1" w:styleId="WW-Absatz-Standardschriftart1111111111111" w:type="character">
    <w:name w:val="WW-Absatz-Standardschriftart1111111111111"/>
    <w:rsid w:val="006D3FF2"/>
  </w:style>
  <w:style w:customStyle="1" w:styleId="WW-Absatz-Standardschriftart11111111111111" w:type="character">
    <w:name w:val="WW-Absatz-Standardschriftart11111111111111"/>
    <w:rsid w:val="006D3FF2"/>
  </w:style>
  <w:style w:customStyle="1" w:styleId="WW-Absatz-Standardschriftart111111111111111" w:type="character">
    <w:name w:val="WW-Absatz-Standardschriftart111111111111111"/>
    <w:rsid w:val="006D3FF2"/>
  </w:style>
  <w:style w:customStyle="1" w:styleId="WW-Absatz-Standardschriftart1111111111111111" w:type="character">
    <w:name w:val="WW-Absatz-Standardschriftart1111111111111111"/>
    <w:rsid w:val="006D3FF2"/>
  </w:style>
  <w:style w:customStyle="1" w:styleId="WW-Absatz-Standardschriftart11111111111111111" w:type="character">
    <w:name w:val="WW-Absatz-Standardschriftart11111111111111111"/>
    <w:rsid w:val="006D3FF2"/>
  </w:style>
  <w:style w:customStyle="1" w:styleId="WW-Absatz-Standardschriftart111111111111111111" w:type="character">
    <w:name w:val="WW-Absatz-Standardschriftart111111111111111111"/>
    <w:rsid w:val="006D3FF2"/>
  </w:style>
  <w:style w:customStyle="1" w:styleId="WW-Absatz-Standardschriftart1111111111111111111" w:type="character">
    <w:name w:val="WW-Absatz-Standardschriftart1111111111111111111"/>
    <w:rsid w:val="006D3FF2"/>
  </w:style>
  <w:style w:customStyle="1" w:styleId="WW-Absatz-Standardschriftart11111111111111111111" w:type="character">
    <w:name w:val="WW-Absatz-Standardschriftart11111111111111111111"/>
    <w:rsid w:val="006D3FF2"/>
  </w:style>
  <w:style w:styleId="Tekstrezerviranogmjesta" w:type="character">
    <w:name w:val="Placeholder Text"/>
    <w:basedOn w:val="Zadanifontodlomka"/>
    <w:uiPriority w:val="99"/>
    <w:semiHidden/>
    <w:rsid w:val="009D784C"/>
    <w:rPr>
      <w:color w:val="808080"/>
      <w:bdr w:color="auto" w:space="0" w:sz="0" w:val="none"/>
      <w:shd w:color="auto" w:fill="CCFFFF" w:val="clear"/>
    </w:rPr>
  </w:style>
  <w:style w:customStyle="1" w:styleId="eSPISCCParagraphDefaultFont" w:type="character">
    <w:name w:val="eSPIS_CC_Paragraph Default Font"/>
    <w:basedOn w:val="Zadanifontodlomka"/>
    <w:rsid w:val="009D78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784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78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78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070872">
      <w:bodyDiv w:val="true"/>
      <w:marLeft w:val="0"/>
      <w:marRight w:val="0"/>
      <w:marTop w:val="0"/>
      <w:marBottom w:val="0"/>
      <w:divBdr>
        <w:top w:space="0" w:sz="0" w:color="auto" w:val="none"/>
        <w:left w:space="0" w:sz="0" w:color="auto" w:val="none"/>
        <w:bottom w:space="0" w:sz="0" w:color="auto" w:val="none"/>
        <w:right w:space="0" w:sz="0" w:color="auto" w:val="none"/>
      </w:divBdr>
    </w:div>
    <w:div w:id="280377702">
      <w:bodyDiv w:val="true"/>
      <w:marLeft w:val="0"/>
      <w:marRight w:val="0"/>
      <w:marTop w:val="0"/>
      <w:marBottom w:val="0"/>
      <w:divBdr>
        <w:top w:space="0" w:sz="0" w:color="auto" w:val="none"/>
        <w:left w:space="0" w:sz="0" w:color="auto" w:val="none"/>
        <w:bottom w:space="0" w:sz="0" w:color="auto" w:val="none"/>
        <w:right w:space="0" w:sz="0" w:color="auto" w:val="none"/>
      </w:divBdr>
    </w:div>
    <w:div w:id="499662596">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82064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2014.</izvorni_sadrzaj>
    <derivirana_varijabla naziv="DomainObject.Predmet.DatumOsnivanja_1">31.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St-349/2014</izvorni_sadrzaj>
    <derivirana_varijabla naziv="DomainObject.Predmet.OznakaBroj_1">St-349/2014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VETFARM društvo s ograničenom odgovornošću za trgovinu na veliko i malo</izvorni_sadrzaj>
    <derivirana_varijabla naziv="DomainObject.Predmet.ProtustrankaFormated_1">  VETFARM društvo s ograničenom odgovornošću za trgovinu na veliko i malo</derivirana_varijabla>
  </DomainObject.Predmet.ProtustrankaFormated>
  <DomainObject.Predmet.ProtustrankaFormatedOIB>
    <izvorni_sadrzaj>  VETFARM društvo s ograničenom odgovornošću za trgovinu na veliko i malo, OIB 66024669033</izvorni_sadrzaj>
    <derivirana_varijabla naziv="DomainObject.Predmet.ProtustrankaFormatedOIB_1">  VETFARM društvo s ograničenom odgovornošću za trgovinu na veliko i malo, OIB 66024669033</derivirana_varijabla>
  </DomainObject.Predmet.ProtustrankaFormatedOIB>
  <DomainObject.Predmet.ProtustrankaFormatedWithAdress>
    <izvorni_sadrzaj> VETFARM društvo s ograničenom odgovornošću za trgovinu na veliko i malo, Tina Ujevića 20, 31550 Valpovo</izvorni_sadrzaj>
    <derivirana_varijabla naziv="DomainObject.Predmet.ProtustrankaFormatedWithAdress_1"> VETFARM društvo s ograničenom odgovornošću za trgovinu na veliko i malo, Tina Ujevića 20, 31550 Valpovo</derivirana_varijabla>
  </DomainObject.Predmet.ProtustrankaFormatedWithAdress>
  <DomainObject.Predmet.ProtustrankaFormatedWithAdressOIB>
    <izvorni_sadrzaj> VETFARM društvo s ograničenom odgovornošću za trgovinu na veliko i malo, OIB 66024669033, Tina Ujevića 20, 31550 Valpovo</izvorni_sadrzaj>
    <derivirana_varijabla naziv="DomainObject.Predmet.ProtustrankaFormatedWithAdressOIB_1"> VETFARM društvo s ograničenom odgovornošću za trgovinu na veliko i malo, OIB 66024669033, Tina Ujevića 20, 31550 Valpovo</derivirana_varijabla>
  </DomainObject.Predmet.ProtustrankaFormatedWithAdressOIB>
  <DomainObject.Predmet.ProtustrankaWithAdress>
    <izvorni_sadrzaj>VETFARM društvo s ograničenom odgovornošću za trgovinu na veliko i malo Tina Ujevića 20, 31550 Valpovo</izvorni_sadrzaj>
    <derivirana_varijabla naziv="DomainObject.Predmet.ProtustrankaWithAdress_1">VETFARM društvo s ograničenom odgovornošću za trgovinu na veliko i malo Tina Ujevića 20, 31550 Valpovo</derivirana_varijabla>
  </DomainObject.Predmet.ProtustrankaWithAdress>
  <DomainObject.Predmet.ProtustrankaWithAdressOIB>
    <izvorni_sadrzaj>VETFARM društvo s ograničenom odgovornošću za trgovinu na veliko i malo, OIB 66024669033, Tina Ujevića 20, 31550 Valpovo</izvorni_sadrzaj>
    <derivirana_varijabla naziv="DomainObject.Predmet.ProtustrankaWithAdressOIB_1">VETFARM društvo s ograničenom odgovornošću za trgovinu na veliko i malo, OIB 66024669033, Tina Ujevića 20, 31550 Valpovo</derivirana_varijabla>
  </DomainObject.Predmet.ProtustrankaWithAdressOIB>
  <DomainObject.Predmet.ProtustrankaNazivFormated>
    <izvorni_sadrzaj>VETFARM društvo s ograničenom odgovornošću za trgovinu na veliko i malo</izvorni_sadrzaj>
    <derivirana_varijabla naziv="DomainObject.Predmet.ProtustrankaNazivFormated_1">VETFARM društvo s ograničenom odgovornošću za trgovinu na veliko i malo</derivirana_varijabla>
  </DomainObject.Predmet.ProtustrankaNazivFormated>
  <DomainObject.Predmet.ProtustrankaNazivFormatedOIB>
    <izvorni_sadrzaj>VETFARM društvo s ograničenom odgovornošću za trgovinu na veliko i malo, OIB 66024669033</izvorni_sadrzaj>
    <derivirana_varijabla naziv="DomainObject.Predmet.ProtustrankaNazivFormatedOIB_1">VETFARM društvo s ograničenom odgovornošću za trgovinu na veliko i malo, OIB 66024669033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VETFARM društvo s ograničenom odgovornošću za trgovinu na veliko i malo</item>
    </izvorni_sadrzaj>
    <derivirana_varijabla naziv="DomainObject.Predmet.ProtuStrankaListFormated_1">
      <item>VETFARM društvo s ograničenom odgovornošću za trgovinu na veliko i malo</item>
    </derivirana_varijabla>
  </DomainObject.Predmet.ProtuStrankaListFormated>
  <DomainObject.Predmet.ProtuStrankaListFormatedOIB>
    <izvorni_sadrzaj>
      <item>VETFARM društvo s ograničenom odgovornošću za trgovinu na veliko i malo, OIB 66024669033</item>
    </izvorni_sadrzaj>
    <derivirana_varijabla naziv="DomainObject.Predmet.ProtuStrankaListFormatedOIB_1">
      <item>VETFARM društvo s ograničenom odgovornošću za trgovinu na veliko i malo, OIB 66024669033</item>
    </derivirana_varijabla>
  </DomainObject.Predmet.ProtuStrankaListFormatedOIB>
  <DomainObject.Predmet.ProtuStrankaListFormatedWithAdress>
    <izvorni_sadrzaj>
      <item>VETFARM društvo s ograničenom odgovornošću za trgovinu na veliko i malo, Tina Ujevića 20, 31550 Valpovo</item>
    </izvorni_sadrzaj>
    <derivirana_varijabla naziv="DomainObject.Predmet.ProtuStrankaListFormatedWithAdress_1">
      <item>VETFARM društvo s ograničenom odgovornošću za trgovinu na veliko i malo, Tina Ujevića 20, 31550 Valpovo</item>
    </derivirana_varijabla>
  </DomainObject.Predmet.ProtuStrankaListFormatedWithAdress>
  <DomainObject.Predmet.ProtuStrankaListFormatedWithAdressOIB>
    <izvorni_sadrzaj>
      <item>VETFARM društvo s ograničenom odgovornošću za trgovinu na veliko i malo, OIB 66024669033, Tina Ujevića 20, 31550 Valpovo</item>
    </izvorni_sadrzaj>
    <derivirana_varijabla naziv="DomainObject.Predmet.ProtuStrankaListFormatedWithAdressOIB_1">
      <item>VETFARM društvo s ograničenom odgovornošću za trgovinu na veliko i malo, OIB 66024669033, Tina Ujevića 20, 31550 Valpovo</item>
    </derivirana_varijabla>
  </DomainObject.Predmet.ProtuStrankaListFormatedWithAdressOIB>
  <DomainObject.Predmet.ProtuStrankaListNazivFormated>
    <izvorni_sadrzaj>
      <item>VETFARM društvo s ograničenom odgovornošću za trgovinu na veliko i malo</item>
    </izvorni_sadrzaj>
    <derivirana_varijabla naziv="DomainObject.Predmet.ProtuStrankaListNazivFormated_1">
      <item>VETFARM društvo s ograničenom odgovornošću za trgovinu na veliko i malo</item>
    </derivirana_varijabla>
  </DomainObject.Predmet.ProtuStrankaListNazivFormated>
  <DomainObject.Predmet.ProtuStrankaListNazivFormatedOIB>
    <izvorni_sadrzaj>
      <item>VETFARM društvo s ograničenom odgovornošću za trgovinu na veliko i malo, OIB 66024669033</item>
    </izvorni_sadrzaj>
    <derivirana_varijabla naziv="DomainObject.Predmet.ProtuStrankaListNazivFormatedOIB_1">
      <item>VETFARM društvo s ograničenom odgovornošću za trgovinu na veliko i malo, OIB 66024669033</item>
    </derivirana_varijabla>
  </DomainObject.Predmet.ProtuStrankaListNazivFormatedOIB>
  <DomainObject.Predmet.OstaliListFormated>
    <izvorni_sadrzaj>
      <item>ŽUPANIJSKO DRŽAVNO ODVJETNIŠTVO U OSIJEKU punomoćnik sudionika u postupku RH MF PU PODRUČNI URED OSIJEK</item>
      <item>Oglasna ploča - VETFARM d.o.o. Valpovo</item>
      <item>Nada Gagro</item>
      <item>Trgovački sud u Osijeku - registar suda</item>
      <item>MINSTARSTVO PRAVOSUĐA RH</item>
      <item>PZ NAŠE SELO</item>
      <item>HRVATSKE ŠUME d.o.o.</item>
    </izvorni_sadrzaj>
    <derivirana_varijabla naziv="DomainObject.Predmet.OstaliListFormated_1">
      <item>ŽUPANIJSKO DRŽAVNO ODVJETNIŠTVO U OSIJEKU punomoćnik sudionika u postupku RH MF PU PODRUČNI URED OSIJEK</item>
      <item>Oglasna ploča - VETFARM d.o.o. Valpovo</item>
      <item>Nada Gagro</item>
      <item>Trgovački sud u Osijeku - registar suda</item>
      <item>MINSTARSTVO PRAVOSUĐA RH</item>
      <item>PZ NAŠE SELO</item>
      <item>HRVATSKE ŠUME d.o.o.</item>
    </derivirana_varijabla>
  </DomainObject.Predmet.OstaliListFormated>
  <DomainObject.Predmet.OstaliListFormatedOIB>
    <izvorni_sadrzaj>
      <item>ŽUPANIJSKO DRŽAVNO ODVJETNIŠTVO U OSIJEKU punomoćnik sudionika u postupku RH MF PU PODRUČNI URED OSIJEK</item>
      <item>Oglasna ploča - VETFARM d.o.o. Valpovo</item>
      <item>Nada Gagro, OIB 04212100945</item>
      <item>Trgovački sud u Osijeku - registar suda</item>
      <item>MINSTARSTVO PRAVOSUĐA RH</item>
      <item>PZ NAŠE SELO</item>
      <item>HRVATSKE ŠUME d.o.o.</item>
    </izvorni_sadrzaj>
    <derivirana_varijabla naziv="DomainObject.Predmet.OstaliListFormatedOIB_1">
      <item>ŽUPANIJSKO DRŽAVNO ODVJETNIŠTVO U OSIJEKU punomoćnik sudionika u postupku RH MF PU PODRUČNI URED OSIJEK</item>
      <item>Oglasna ploča - VETFARM d.o.o. Valpovo</item>
      <item>Nada Gagro, OIB 04212100945</item>
      <item>Trgovački sud u Osijeku - registar suda</item>
      <item>MINSTARSTVO PRAVOSUĐA RH</item>
      <item>PZ NAŠE SELO</item>
      <item>HRVATSKE ŠUME d.o.o.</item>
    </derivirana_varijabla>
  </DomainObject.Predmet.OstaliListFormatedOIB>
  <DomainObject.Predmet.OstaliListFormatedWithAdress>
    <izvorni_sadrzaj>
      <item>ŽUPANIJSKO DRŽAVNO ODVJETNIŠTVO U OSIJEKU punomoćnik sudionika u postupku RH MF PU PODRUČNI URED OSIJEK</item>
      <item>Oglasna ploča - VETFARM d.o.o. Valpovo</item>
      <item>Nada Gagro, Josipa Juraja Strossmayera 3, 32100 Vinkovci</item>
      <item>Trgovački sud u Osijeku - registar suda</item>
      <item>MINSTARSTVO PRAVOSUĐA RH, DEŽMANOVA 6, 10000 Zagreb</item>
      <item>PZ NAŠE SELO, B.KIDRIČA 59/0, 31324 Jagodnjak</item>
      <item>HRVATSKE ŠUME d.o.o., LJ.F.VUKOTINOVIĆA 2, 10000 Zagreb</item>
    </izvorni_sadrzaj>
    <derivirana_varijabla naziv="DomainObject.Predmet.OstaliListFormatedWithAdress_1">
      <item>ŽUPANIJSKO DRŽAVNO ODVJETNIŠTVO U OSIJEKU punomoćnik sudionika u postupku RH MF PU PODRUČNI URED OSIJEK</item>
      <item>Oglasna ploča - VETFARM d.o.o. Valpovo</item>
      <item>Nada Gagro, Josipa Juraja Strossmayera 3, 32100 Vinkovci</item>
      <item>Trgovački sud u Osijeku - registar suda</item>
      <item>MINSTARSTVO PRAVOSUĐA RH, DEŽMANOVA 6, 10000 Zagreb</item>
      <item>PZ NAŠE SELO, B.KIDRIČA 59/0, 31324 Jagodnjak</item>
      <item>HRVATSKE ŠUME d.o.o., LJ.F.VUKOTINOVIĆA 2, 10000 Zagreb</item>
    </derivirana_varijabla>
  </DomainObject.Predmet.OstaliListFormatedWithAdress>
  <DomainObject.Predmet.OstaliListFormatedWithAdressOIB>
    <izvorni_sadrzaj>
      <item>ŽUPANIJSKO DRŽAVNO ODVJETNIŠTVO U OSIJEKU punomoćnik sudionika u postupku RH MF PU PODRUČNI URED OSIJEK</item>
      <item>Oglasna ploča - VETFARM d.o.o. Valpovo</item>
      <item>Nada Gagro, OIB 04212100945, Josipa Juraja Strossmayera 3, 32100 Vinkovci</item>
      <item>Trgovački sud u Osijeku - registar suda</item>
      <item>MINSTARSTVO PRAVOSUĐA RH, DEŽMANOVA 6, 10000 Zagreb</item>
      <item>PZ NAŠE SELO, B.KIDRIČA 59/0, 31324 Jagodnjak</item>
      <item>HRVATSKE ŠUME d.o.o., LJ.F.VUKOTINOVIĆA 2, 10000 Zagreb</item>
    </izvorni_sadrzaj>
    <derivirana_varijabla naziv="DomainObject.Predmet.OstaliListFormatedWithAdressOIB_1">
      <item>ŽUPANIJSKO DRŽAVNO ODVJETNIŠTVO U OSIJEKU punomoćnik sudionika u postupku RH MF PU PODRUČNI URED OSIJEK</item>
      <item>Oglasna ploča - VETFARM d.o.o. Valpovo</item>
      <item>Nada Gagro, OIB 04212100945, Josipa Juraja Strossmayera 3, 32100 Vinkovci</item>
      <item>Trgovački sud u Osijeku - registar suda</item>
      <item>MINSTARSTVO PRAVOSUĐA RH, DEŽMANOVA 6, 10000 Zagreb</item>
      <item>PZ NAŠE SELO, B.KIDRIČA 59/0, 31324 Jagodnjak</item>
      <item>HRVATSKE ŠUME d.o.o., LJ.F.VUKOTINOVIĆA 2, 10000 Zagreb</item>
    </derivirana_varijabla>
  </DomainObject.Predmet.OstaliListFormatedWithAdressOIB>
  <DomainObject.Predmet.OstaliListNazivFormated>
    <izvorni_sadrzaj>
      <item>ŽUPANIJSKO DRŽAVNO ODVJETNIŠTVO U OSIJEKU</item>
      <item>Oglasna ploča - VETFARM d.o.o. Valpovo</item>
      <item>Nada Gagro</item>
      <item>Trgovački sud u Osijeku - registar suda</item>
      <item>MINSTARSTVO PRAVOSUĐA RH</item>
      <item>PZ NAŠE SELO</item>
      <item>HRVATSKE ŠUME d.o.o.</item>
    </izvorni_sadrzaj>
    <derivirana_varijabla naziv="DomainObject.Predmet.OstaliListNazivFormated_1">
      <item>ŽUPANIJSKO DRŽAVNO ODVJETNIŠTVO U OSIJEKU</item>
      <item>Oglasna ploča - VETFARM d.o.o. Valpovo</item>
      <item>Nada Gagro</item>
      <item>Trgovački sud u Osijeku - registar suda</item>
      <item>MINSTARSTVO PRAVOSUĐA RH</item>
      <item>PZ NAŠE SELO</item>
      <item>HRVATSKE ŠUME d.o.o.</item>
    </derivirana_varijabla>
  </DomainObject.Predmet.OstaliListNazivFormated>
  <DomainObject.Predmet.OstaliListNazivFormatedOIB>
    <izvorni_sadrzaj>
      <item>ŽUPANIJSKO DRŽAVNO ODVJETNIŠTVO U OSIJEKU</item>
      <item>Oglasna ploča - VETFARM d.o.o. Valpovo</item>
      <item>Nada Gagro, OIB 04212100945</item>
      <item>Trgovački sud u Osijeku - registar suda</item>
      <item>MINSTARSTVO PRAVOSUĐA RH</item>
      <item>PZ NAŠE SELO</item>
      <item>HRVATSKE ŠUME d.o.o.</item>
    </izvorni_sadrzaj>
    <derivirana_varijabla naziv="DomainObject.Predmet.OstaliListNazivFormatedOIB_1">
      <item>ŽUPANIJSKO DRŽAVNO ODVJETNIŠTVO U OSIJEKU</item>
      <item>Oglasna ploča - VETFARM d.o.o. Valpovo</item>
      <item>Nada Gagro, OIB 04212100945</item>
      <item>Trgovački sud u Osijeku - registar suda</item>
      <item>MINSTARSTVO PRAVOSUĐA RH</item>
      <item>PZ NAŠE SELO</item>
      <item>HRVATSKE ŠUME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VETFARM društvo s ograničenom odgovornošću za trgovinu na veliko i malo</izvorni_sadrzaj>
    <derivirana_varijabla naziv="DomainObject.Predmet.ProtustrankaIDrugi_1">VETFARM društvo s ograničenom odgovornošću za trgovinu na veliko i malo</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VETFARM društvo s ograničenom odgovornošću za trgovinu na veliko i malo, OIB 66024669033, Tina Ujevića 20, 31550 Valpovo</izvorni_sadrzaj>
    <derivirana_varijabla naziv="DomainObject.Predmet.ProtustrankaIDrugiAdressOIB_1">VETFARM društvo s ograničenom odgovornošću za trgovinu na veliko i malo, OIB 66024669033, Tina Ujevića 20,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OSIJEK</item>
      <item>VETFARM društvo s ograničenom odgovornošću za trgovinu na veliko i malo</item>
      <item>ŽUPANIJSKO DRŽAVNO ODVJETNIŠTVO U OSIJEKU</item>
      <item>Oglasna ploča - VETFARM d.o.o. Valpovo</item>
      <item>Nada Gagro</item>
      <item>Trgovački sud u Osijeku - registar suda</item>
      <item>MINSTARSTVO PRAVOSUĐA RH</item>
      <item>PZ NAŠE SELO</item>
      <item>HRVATSKE ŠUME d.o.o.</item>
    </izvorni_sadrzaj>
    <derivirana_varijabla naziv="DomainObject.Predmet.SudioniciListNaziv_1">
      <item>RH MF PU PODRUČNI URED OSIJEK</item>
      <item>VETFARM društvo s ograničenom odgovornošću za trgovinu na veliko i malo</item>
      <item>ŽUPANIJSKO DRŽAVNO ODVJETNIŠTVO U OSIJEKU</item>
      <item>Oglasna ploča - VETFARM d.o.o. Valpovo</item>
      <item>Nada Gagro</item>
      <item>Trgovački sud u Osijeku - registar suda</item>
      <item>MINSTARSTVO PRAVOSUĐA RH</item>
      <item>PZ NAŠE SELO</item>
      <item>HRVATSKE ŠUME d.o.o.</item>
    </derivirana_varijabla>
  </DomainObject.Predmet.SudioniciListNaziv>
  <DomainObject.Predmet.SudioniciListAdressOIB>
    <izvorni_sadrzaj>
      <item>RH MF PU PODRUČNI URED OSIJEK, OIB 18683136487</item>
      <item>VETFARM društvo s ograničenom odgovornošću za trgovinu na veliko i malo, OIB 66024669033, Tina Ujevića 20,31550 Valpovo</item>
      <item>ŽUPANIJSKO DRŽAVNO ODVJETNIŠTVO U OSIJEKU</item>
      <item>Oglasna ploča - VETFARM d.o.o. Valpovo</item>
      <item>Nada Gagro, OIB 04212100945, Josipa Juraja Strossmayera 3,32100 Vinkovci</item>
      <item>Trgovački sud u Osijeku - registar suda</item>
      <item>MINSTARSTVO PRAVOSUĐA RH, DEŽMANOVA 6,10000 Zagreb</item>
      <item>PZ NAŠE SELO, B.KIDRIČA 59/0,31324 Jagodnjak</item>
      <item>HRVATSKE ŠUME d.o.o., LJ.F.VUKOTINOVIĆA 2,10000 Zagreb</item>
    </izvorni_sadrzaj>
    <derivirana_varijabla naziv="DomainObject.Predmet.SudioniciListAdressOIB_1">
      <item>RH MF PU PODRUČNI URED OSIJEK, OIB 18683136487</item>
      <item>VETFARM društvo s ograničenom odgovornošću za trgovinu na veliko i malo, OIB 66024669033, Tina Ujevića 20,31550 Valpovo</item>
      <item>ŽUPANIJSKO DRŽAVNO ODVJETNIŠTVO U OSIJEKU</item>
      <item>Oglasna ploča - VETFARM d.o.o. Valpovo</item>
      <item>Nada Gagro, OIB 04212100945, Josipa Juraja Strossmayera 3,32100 Vinkovci</item>
      <item>Trgovački sud u Osijeku - registar suda</item>
      <item>MINSTARSTVO PRAVOSUĐA RH, DEŽMANOVA 6,10000 Zagreb</item>
      <item>PZ NAŠE SELO, B.KIDRIČA 59/0,31324 Jagodnjak</item>
      <item>HRVATSKE ŠUME d.o.o., LJ.F.VUKOTINOVIĆA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66024669033</item>
      <item>, OIB null</item>
      <item>, OIB null</item>
      <item>, OIB 04212100945</item>
      <item>, OIB null</item>
      <item>, OIB null</item>
      <item>, OIB null</item>
      <item>, OIB null</item>
    </izvorni_sadrzaj>
    <derivirana_varijabla naziv="DomainObject.Predmet.SudioniciListNazivOIB_1">
      <item>, OIB 18683136487</item>
      <item>, OIB 66024669033</item>
      <item>, OIB null</item>
      <item>, OIB null</item>
      <item>, OIB 04212100945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14355A-CF64-41A4-9DEE-879FECB66A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15</properties:Pages>
  <properties:Words>2653</properties:Words>
  <properties:Characters>14836</properties:Characters>
  <properties:Lines>1214</properties:Lines>
  <properties:Paragraphs>641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18653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2017-05-08T07:04:00Z</dcterms:created>
  <dc:creator>Blanka</dc:creator>
  <cp:lastModifiedBy>Danijela Sekulić</cp:lastModifiedBy>
  <cp:lastPrinted>2017-05-08T07:33:00Z</cp:lastPrinted>
  <dcterms:modified xmlns:xsi="http://www.w3.org/2001/XMLSchema-instance" xsi:type="dcterms:W3CDTF">2017-05-08T07:34:00Z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15</vt:i4>
  </prop:property>
</prop:Properties>
</file>