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a16c9" w14:paraId="5fa16c9"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8A52E7"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8A52E7">
            <w:rPr>
              <w:rStyle w:val="eSPISCCParagraphDefaultFont"/>
              <w:rFonts w:eastAsiaTheme="minorHAnsi"/>
            </w:rPr>
            <w:t>REPUBLIKA HRVATSKA</w:t>
          </w:r>
        </w:sdtContent>
      </w:sdt>
    </w:p>
    <w:p w:rsidRDefault="008A52E7"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1556FE" w:rsidRPr="008A52E7">
            <w:rPr>
              <w:rStyle w:val="eSPISCCParagraphDefaultFont"/>
              <w:rFonts w:eastAsiaTheme="minorHAnsi"/>
            </w:rPr>
            <w:t>Visoki trgovački sud Republike Hrvatske</w:t>
          </w:r>
        </w:sdtContent>
      </w:sdt>
    </w:p>
    <w:p w:rsidRDefault="008A52E7"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1556FE" w:rsidRPr="008A52E7">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1556FE" w:rsidRPr="008A52E7">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1556FE" w:rsidRPr="008A52E7">
            <w:rPr>
              <w:rStyle w:val="eSPISCCParagraphDefaultFont"/>
            </w:rPr>
            <w:t>76</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1556FE" w:rsidRPr="008A52E7">
            <w:rPr>
              <w:rStyle w:val="eSPISCCParagraphDefaultFont"/>
            </w:rPr>
            <w:t>Pž-2278/2019-2</w:t>
          </w:r>
        </w:sdtContent>
      </w:sdt>
    </w:p>
    <w:p w:rsidRDefault="00412DFC" w:rsidP="001556FE" w:rsidR="001556FE">
      <w:pPr>
        <w:spacing w:after="0"/>
      </w:pPr>
      <w:r>
        <w:t xml:space="preserve"> </w:t>
      </w:r>
    </w:p>
    <w:p w:rsidRDefault="001556FE" w:rsidP="001556FE" w:rsidR="001556FE">
      <w:pPr>
        <w:spacing w:after="0"/>
      </w:pPr>
    </w:p>
    <w:p w:rsidRDefault="001556FE" w:rsidP="001556FE" w:rsidR="001556FE" w:rsidRPr="001556FE">
      <w:pPr>
        <w:spacing w:after="0"/>
        <w:jc w:val="center"/>
        <w:rPr>
          <w:rFonts w:cs="Times New Roman" w:eastAsia="Times New Roman"/>
          <w:lang w:eastAsia="hr-HR"/>
        </w:rPr>
      </w:pPr>
      <w:r w:rsidRPr="001556FE">
        <w:rPr>
          <w:rFonts w:cs="Times New Roman" w:eastAsia="Times New Roman"/>
          <w:lang w:eastAsia="hr-HR"/>
        </w:rPr>
        <w:t xml:space="preserve">U  </w:t>
      </w:r>
      <w:r>
        <w:rPr>
          <w:rFonts w:cs="Times New Roman" w:eastAsia="Times New Roman"/>
          <w:lang w:eastAsia="hr-HR"/>
        </w:rPr>
        <w:t xml:space="preserve"> </w:t>
      </w:r>
      <w:r w:rsidRPr="001556FE">
        <w:rPr>
          <w:rFonts w:cs="Times New Roman" w:eastAsia="Times New Roman"/>
          <w:lang w:eastAsia="hr-HR"/>
        </w:rPr>
        <w:t>I M E</w:t>
      </w:r>
      <w:r>
        <w:rPr>
          <w:rFonts w:cs="Times New Roman" w:eastAsia="Times New Roman"/>
          <w:lang w:eastAsia="hr-HR"/>
        </w:rPr>
        <w:t xml:space="preserve"> </w:t>
      </w:r>
      <w:r w:rsidRPr="001556FE">
        <w:rPr>
          <w:rFonts w:cs="Times New Roman" w:eastAsia="Times New Roman"/>
          <w:lang w:eastAsia="hr-HR"/>
        </w:rPr>
        <w:t xml:space="preserve">  R E P U B L I K E  </w:t>
      </w:r>
      <w:r>
        <w:rPr>
          <w:rFonts w:cs="Times New Roman" w:eastAsia="Times New Roman"/>
          <w:lang w:eastAsia="hr-HR"/>
        </w:rPr>
        <w:t xml:space="preserve"> </w:t>
      </w:r>
      <w:r w:rsidRPr="001556FE">
        <w:rPr>
          <w:rFonts w:cs="Times New Roman" w:eastAsia="Times New Roman"/>
          <w:lang w:eastAsia="hr-HR"/>
        </w:rPr>
        <w:t>H R V A T S K E</w:t>
      </w:r>
    </w:p>
    <w:p w:rsidRDefault="001556FE" w:rsidP="001556FE" w:rsidR="001556FE" w:rsidRPr="001556FE">
      <w:pPr>
        <w:spacing w:after="0"/>
        <w:jc w:val="center"/>
        <w:rPr>
          <w:rFonts w:cs="Times New Roman" w:eastAsia="Times New Roman"/>
          <w:lang w:eastAsia="hr-HR"/>
        </w:rPr>
      </w:pPr>
    </w:p>
    <w:p w:rsidRDefault="001556FE" w:rsidP="001556FE" w:rsidR="001556FE" w:rsidRPr="001556FE">
      <w:pPr>
        <w:spacing w:after="0"/>
        <w:jc w:val="center"/>
        <w:rPr>
          <w:rFonts w:cs="Times New Roman" w:eastAsia="Times New Roman"/>
          <w:lang w:eastAsia="hr-HR"/>
        </w:rPr>
      </w:pPr>
      <w:r w:rsidRPr="001556FE">
        <w:rPr>
          <w:rFonts w:cs="Times New Roman" w:eastAsia="Times New Roman"/>
          <w:lang w:eastAsia="hr-HR"/>
        </w:rPr>
        <w:t>R J E Š E NJ E</w:t>
      </w:r>
    </w:p>
    <w:p w:rsidRDefault="001556FE" w:rsidP="001556FE" w:rsidR="001556FE" w:rsidRPr="001556FE">
      <w:pPr>
        <w:spacing w:after="0"/>
        <w:jc w:val="center"/>
        <w:rPr>
          <w:rFonts w:cs="Times New Roman" w:eastAsia="Times New Roman"/>
          <w:lang w:eastAsia="hr-HR"/>
        </w:rPr>
      </w:pPr>
    </w:p>
    <w:p w:rsidRDefault="001556FE" w:rsidP="001556FE" w:rsidR="001556FE" w:rsidRPr="001556FE">
      <w:pPr>
        <w:spacing w:after="0"/>
        <w:jc w:val="both"/>
        <w:rPr>
          <w:rFonts w:cs="Times New Roman" w:eastAsia="Times New Roman"/>
          <w:lang w:eastAsia="hr-HR"/>
        </w:rPr>
      </w:pPr>
    </w:p>
    <w:p w:rsidRDefault="001556FE" w:rsidP="001556FE" w:rsidR="001556FE" w:rsidRPr="001556FE">
      <w:pPr>
        <w:spacing w:after="0"/>
        <w:jc w:val="both"/>
        <w:rPr>
          <w:rFonts w:cs="Times New Roman" w:eastAsia="Calibri"/>
        </w:rPr>
      </w:pPr>
      <w:r>
        <w:rPr>
          <w:rFonts w:cs="Times New Roman" w:eastAsia="Calibri"/>
        </w:rPr>
        <w:tab/>
      </w:r>
      <w:r w:rsidRPr="001556FE">
        <w:rPr>
          <w:rFonts w:cs="Times New Roman" w:eastAsia="Calibri"/>
        </w:rPr>
        <w:t>Visoki trgovački sud Republike Hrvatske, u vijeću sastavljenom od sudaca Lidije Tomljenović, predsjednika vijeća, Mirne Maržić, suca izvjestitelja, i Marine Veljak, člana vijeća, u stečajnom postupku nad dužnikom LEVITAS d.o.o., OIB 70637629365, Slatin</w:t>
      </w:r>
      <w:r>
        <w:rPr>
          <w:rFonts w:cs="Times New Roman" w:eastAsia="Calibri"/>
        </w:rPr>
        <w:t>e</w:t>
      </w:r>
      <w:r w:rsidRPr="001556FE">
        <w:rPr>
          <w:rFonts w:cs="Times New Roman" w:eastAsia="Calibri"/>
        </w:rPr>
        <w:t xml:space="preserve">, Bana Jelačića 40a, odlučujući o žalbi privremenog stečajnog upravitelja NIKOLE KRULJCA iz Našica, Bana Jelačića 48, Martin, OIB 49223643131, </w:t>
      </w:r>
      <w:r w:rsidR="00412DFC">
        <w:rPr>
          <w:rFonts w:cs="Times New Roman" w:eastAsia="Calibri"/>
        </w:rPr>
        <w:t>podnesenoj</w:t>
      </w:r>
      <w:r w:rsidRPr="001556FE">
        <w:rPr>
          <w:rFonts w:cs="Times New Roman" w:eastAsia="Calibri"/>
        </w:rPr>
        <w:t xml:space="preserve"> protiv rješenja Trgovačkog suda u Splitu poslovni broj St-213/2018-31 od 14. ožujka 2019. u točki I.b) izreke, u sjednici vijeća održanoj 16. travnja 2019.</w:t>
      </w:r>
    </w:p>
    <w:p w:rsidRDefault="001556FE" w:rsidP="001556FE" w:rsidR="001556FE" w:rsidRPr="001556FE">
      <w:pPr>
        <w:spacing w:after="0"/>
        <w:jc w:val="both"/>
        <w:rPr>
          <w:rFonts w:cs="Times New Roman" w:eastAsia="Times New Roman"/>
          <w:lang w:eastAsia="hr-HR"/>
        </w:rPr>
      </w:pPr>
    </w:p>
    <w:p w:rsidRDefault="001556FE" w:rsidP="001556FE" w:rsidR="001556FE" w:rsidRPr="001556FE">
      <w:pPr>
        <w:spacing w:after="0"/>
        <w:jc w:val="center"/>
        <w:rPr>
          <w:rFonts w:cs="Times New Roman" w:eastAsia="Times New Roman"/>
          <w:lang w:eastAsia="hr-HR"/>
        </w:rPr>
      </w:pPr>
      <w:r w:rsidRPr="001556FE">
        <w:rPr>
          <w:rFonts w:cs="Times New Roman" w:eastAsia="Times New Roman"/>
          <w:lang w:eastAsia="hr-HR"/>
        </w:rPr>
        <w:t>r i j e š i o</w:t>
      </w:r>
      <w:r>
        <w:rPr>
          <w:rFonts w:cs="Times New Roman" w:eastAsia="Times New Roman"/>
          <w:lang w:eastAsia="hr-HR"/>
        </w:rPr>
        <w:t xml:space="preserve">  </w:t>
      </w:r>
      <w:r w:rsidRPr="001556FE">
        <w:rPr>
          <w:rFonts w:cs="Times New Roman" w:eastAsia="Times New Roman"/>
          <w:lang w:eastAsia="hr-HR"/>
        </w:rPr>
        <w:t xml:space="preserve"> j e</w:t>
      </w:r>
    </w:p>
    <w:p w:rsidRDefault="001556FE" w:rsidP="001556FE" w:rsidR="001556FE" w:rsidRPr="001556FE">
      <w:pPr>
        <w:spacing w:after="0"/>
        <w:jc w:val="both"/>
        <w:rPr>
          <w:rFonts w:cs="Times New Roman" w:eastAsia="Times New Roman"/>
          <w:lang w:eastAsia="hr-HR"/>
        </w:rPr>
      </w:pPr>
    </w:p>
    <w:p w:rsidRDefault="001556FE" w:rsidP="001556FE" w:rsidR="001556FE" w:rsidRPr="001556FE">
      <w:pPr>
        <w:spacing w:after="0"/>
        <w:jc w:val="both"/>
        <w:rPr>
          <w:rFonts w:cs="Times New Roman" w:eastAsia="Times New Roman"/>
          <w:szCs w:val="20"/>
          <w:lang w:eastAsia="hr-HR"/>
        </w:rPr>
      </w:pPr>
      <w:r w:rsidRPr="001556FE">
        <w:rPr>
          <w:rFonts w:cs="Times New Roman" w:eastAsia="Times New Roman"/>
          <w:lang w:eastAsia="hr-HR"/>
        </w:rPr>
        <w:tab/>
      </w:r>
      <w:r w:rsidRPr="001556FE">
        <w:rPr>
          <w:rFonts w:cs="Times New Roman" w:eastAsia="Times New Roman"/>
          <w:szCs w:val="20"/>
          <w:lang w:eastAsia="hr-HR"/>
        </w:rPr>
        <w:t>Odbija se žalba</w:t>
      </w:r>
      <w:r w:rsidRPr="001556FE">
        <w:rPr>
          <w:rFonts w:cs="Times New Roman" w:eastAsia="Times New Roman"/>
          <w:lang w:eastAsia="hr-HR"/>
        </w:rPr>
        <w:t xml:space="preserve"> privremenog stečajnog upravitelja</w:t>
      </w:r>
      <w:r w:rsidRPr="001556FE">
        <w:rPr>
          <w:rFonts w:cs="Times New Roman" w:eastAsia="Times New Roman"/>
          <w:szCs w:val="20"/>
          <w:lang w:eastAsia="hr-HR"/>
        </w:rPr>
        <w:t xml:space="preserve"> kao neosnovana i potvrđuje rješenje Trgovačkog suda u </w:t>
      </w:r>
      <w:r w:rsidRPr="001556FE">
        <w:rPr>
          <w:rFonts w:cs="Times New Roman" w:eastAsia="Times New Roman"/>
          <w:lang w:eastAsia="hr-HR"/>
        </w:rPr>
        <w:t>Splitu poslovni broj St-213/2018-31 od 14</w:t>
      </w:r>
      <w:r w:rsidRPr="001556FE">
        <w:rPr>
          <w:rFonts w:cs="Times New Roman" w:eastAsia="Times New Roman"/>
          <w:szCs w:val="20"/>
          <w:lang w:eastAsia="hr-HR"/>
        </w:rPr>
        <w:t xml:space="preserve">. ožujka 2019. u točki I.b) izreke u dijelu kojim je </w:t>
      </w:r>
      <w:r w:rsidRPr="001556FE">
        <w:rPr>
          <w:rFonts w:cs="Times New Roman" w:eastAsia="Times New Roman"/>
          <w:lang w:eastAsia="hr-HR"/>
        </w:rPr>
        <w:t>odbijen zahtjev za naknadu stvarnih troškova privremenog stečajnog upravitelja</w:t>
      </w:r>
      <w:r w:rsidRPr="001556FE">
        <w:rPr>
          <w:rFonts w:cs="Times New Roman" w:eastAsia="Times New Roman" w:hAnsi="Arial" w:ascii="Arial"/>
          <w:szCs w:val="20"/>
          <w:lang w:eastAsia="hr-HR"/>
        </w:rPr>
        <w:t xml:space="preserve"> </w:t>
      </w:r>
      <w:r w:rsidRPr="001556FE">
        <w:rPr>
          <w:rFonts w:cs="Times New Roman" w:eastAsia="Times New Roman"/>
          <w:szCs w:val="20"/>
          <w:lang w:eastAsia="hr-HR"/>
        </w:rPr>
        <w:t xml:space="preserve">Nikole Kruljca iz Našica, Bana Jelačića 48, Martin, </w:t>
      </w:r>
      <w:r w:rsidRPr="001556FE">
        <w:rPr>
          <w:rFonts w:cs="Times New Roman" w:eastAsia="Times New Roman"/>
          <w:lang w:eastAsia="hr-HR"/>
        </w:rPr>
        <w:t>u iznosu od 2.256,00 kn iz sredstava Fonda za pokriće troškova stečajnog postupka</w:t>
      </w:r>
      <w:r w:rsidRPr="001556FE">
        <w:rPr>
          <w:rFonts w:cs="Times New Roman" w:eastAsia="Times New Roman"/>
          <w:szCs w:val="20"/>
          <w:lang w:eastAsia="hr-HR"/>
        </w:rPr>
        <w:t>.</w:t>
      </w:r>
    </w:p>
    <w:p w:rsidRDefault="001556FE" w:rsidP="001556FE" w:rsidR="001556FE" w:rsidRPr="001556FE">
      <w:pPr>
        <w:spacing w:after="0"/>
        <w:jc w:val="both"/>
        <w:rPr>
          <w:rFonts w:cs="Times New Roman" w:eastAsia="Times New Roman"/>
          <w:szCs w:val="20"/>
          <w:lang w:eastAsia="hr-HR"/>
        </w:rPr>
      </w:pPr>
    </w:p>
    <w:p w:rsidRDefault="001556FE" w:rsidP="001556FE" w:rsidR="001556FE" w:rsidRPr="001556FE">
      <w:pPr>
        <w:spacing w:after="0"/>
        <w:jc w:val="center"/>
        <w:rPr>
          <w:rFonts w:cs="Times New Roman" w:eastAsia="Times New Roman"/>
          <w:lang w:eastAsia="hr-HR"/>
        </w:rPr>
      </w:pPr>
      <w:r w:rsidRPr="001556FE">
        <w:rPr>
          <w:rFonts w:cs="Times New Roman" w:eastAsia="Times New Roman"/>
          <w:lang w:eastAsia="hr-HR"/>
        </w:rPr>
        <w:t>Obrazloženje</w:t>
      </w:r>
    </w:p>
    <w:p w:rsidRDefault="001556FE" w:rsidP="001556FE" w:rsidR="001556FE" w:rsidRPr="001556FE">
      <w:pPr>
        <w:spacing w:after="0"/>
        <w:jc w:val="center"/>
        <w:rPr>
          <w:rFonts w:cs="Times New Roman" w:eastAsia="Times New Roman"/>
          <w:lang w:eastAsia="hr-HR"/>
        </w:rPr>
      </w:pPr>
    </w:p>
    <w:p w:rsidRDefault="001556FE" w:rsidP="001556FE" w:rsidR="001556FE" w:rsidRPr="001556FE">
      <w:pPr>
        <w:spacing w:after="0"/>
        <w:ind w:firstLine="708"/>
        <w:jc w:val="both"/>
        <w:rPr>
          <w:rFonts w:cs="Times New Roman" w:eastAsia="Times New Roman"/>
          <w:lang w:eastAsia="hr-HR"/>
        </w:rPr>
      </w:pPr>
      <w:r w:rsidRPr="001556FE">
        <w:rPr>
          <w:rFonts w:cs="Times New Roman" w:eastAsia="Times New Roman"/>
          <w:lang w:eastAsia="hr-HR"/>
        </w:rPr>
        <w:t>Trgovački sud u Splitu navedenim je rješenjem u pobijanom dijelu odbio zahtjev za naknadu stvarnih troškova privremenog stečajnog upravitelja</w:t>
      </w:r>
      <w:r w:rsidRPr="001556FE">
        <w:rPr>
          <w:rFonts w:cs="Times New Roman" w:eastAsia="Times New Roman" w:hAnsi="Arial" w:ascii="Arial"/>
          <w:szCs w:val="20"/>
          <w:lang w:eastAsia="hr-HR"/>
        </w:rPr>
        <w:t xml:space="preserve"> </w:t>
      </w:r>
      <w:r w:rsidRPr="001556FE">
        <w:rPr>
          <w:rFonts w:cs="Times New Roman" w:eastAsia="Times New Roman"/>
          <w:szCs w:val="20"/>
          <w:lang w:eastAsia="hr-HR"/>
        </w:rPr>
        <w:t>Nikole Kruljca iz Našica, Bana Jelačića 48, Martin, OIB 49223643131</w:t>
      </w:r>
      <w:r w:rsidR="00412DFC">
        <w:rPr>
          <w:rFonts w:cs="Times New Roman" w:eastAsia="Times New Roman"/>
          <w:szCs w:val="20"/>
          <w:lang w:eastAsia="hr-HR"/>
        </w:rPr>
        <w:t>,</w:t>
      </w:r>
      <w:r w:rsidRPr="001556FE">
        <w:rPr>
          <w:rFonts w:cs="Times New Roman" w:eastAsia="Times New Roman"/>
          <w:lang w:eastAsia="hr-HR"/>
        </w:rPr>
        <w:t xml:space="preserve"> u iznosu od 2.256,00 kn iz sredstava Fonda za pokriće troškova stečajnog postupka.</w:t>
      </w:r>
    </w:p>
    <w:p w:rsidRDefault="001556FE" w:rsidP="001556FE" w:rsidR="001556FE" w:rsidRPr="001556FE">
      <w:pPr>
        <w:spacing w:after="0"/>
        <w:ind w:firstLine="708"/>
        <w:jc w:val="both"/>
        <w:rPr>
          <w:rFonts w:cs="Times New Roman" w:eastAsia="Times New Roman"/>
          <w:lang w:eastAsia="hr-HR"/>
        </w:rPr>
      </w:pPr>
    </w:p>
    <w:p w:rsidRDefault="001556FE" w:rsidP="001556FE" w:rsidR="001556FE" w:rsidRPr="001556FE">
      <w:pPr>
        <w:spacing w:after="0"/>
        <w:ind w:firstLine="708"/>
        <w:jc w:val="both"/>
        <w:rPr>
          <w:rFonts w:cs="Times New Roman" w:eastAsia="Calibri"/>
          <w:lang w:eastAsia="hr-HR"/>
        </w:rPr>
      </w:pPr>
      <w:r w:rsidRPr="001556FE">
        <w:rPr>
          <w:rFonts w:cs="Times New Roman" w:eastAsia="Times New Roman"/>
          <w:lang w:eastAsia="hr-HR"/>
        </w:rPr>
        <w:t xml:space="preserve">Pobijano je rješenje doneseno primjenom odredbe članka </w:t>
      </w:r>
      <w:r w:rsidRPr="001556FE">
        <w:rPr>
          <w:rFonts w:cs="Times New Roman" w:eastAsia="Calibri"/>
          <w:lang w:eastAsia="hr-HR"/>
        </w:rPr>
        <w:t>94. Stečajnog zakona („Narodne novine” broj 71/15 i 104/17</w:t>
      </w:r>
      <w:r>
        <w:rPr>
          <w:rFonts w:cs="Times New Roman" w:eastAsia="Calibri"/>
          <w:lang w:eastAsia="hr-HR"/>
        </w:rPr>
        <w:t>;</w:t>
      </w:r>
      <w:r w:rsidRPr="001556FE">
        <w:rPr>
          <w:rFonts w:cs="Times New Roman" w:eastAsia="Calibri"/>
          <w:lang w:eastAsia="hr-HR"/>
        </w:rPr>
        <w:t xml:space="preserve"> dalje: SZ), a u obrazloženju se navodi da je u privitku svog zahtjeva privremeni stečajni upravitelj dostavio putni nalog br. 1 od 14. veljače 2019., račun FINA-e br.</w:t>
      </w:r>
      <w:r>
        <w:rPr>
          <w:rFonts w:cs="Times New Roman" w:eastAsia="Calibri"/>
          <w:lang w:eastAsia="hr-HR"/>
        </w:rPr>
        <w:t xml:space="preserve"> </w:t>
      </w:r>
      <w:r w:rsidRPr="001556FE">
        <w:rPr>
          <w:rFonts w:cs="Times New Roman" w:eastAsia="Calibri"/>
          <w:lang w:eastAsia="hr-HR"/>
        </w:rPr>
        <w:t>458/2150001/306 od 26. studenog 2018. i račun Centra za vozila Hrvatske br. 53089-H144-11121 od 30. studenog 2018. (listovi 102.</w:t>
      </w:r>
      <w:r>
        <w:rPr>
          <w:rFonts w:cs="Times New Roman" w:eastAsia="Calibri"/>
          <w:lang w:eastAsia="hr-HR"/>
        </w:rPr>
        <w:t xml:space="preserve"> </w:t>
      </w:r>
      <w:r w:rsidRPr="001556FE">
        <w:rPr>
          <w:rFonts w:cs="Times New Roman" w:eastAsia="Calibri"/>
          <w:lang w:eastAsia="hr-HR"/>
        </w:rPr>
        <w:t>-</w:t>
      </w:r>
      <w:r>
        <w:rPr>
          <w:rFonts w:cs="Times New Roman" w:eastAsia="Calibri"/>
          <w:lang w:eastAsia="hr-HR"/>
        </w:rPr>
        <w:t xml:space="preserve"> </w:t>
      </w:r>
      <w:r w:rsidRPr="001556FE">
        <w:rPr>
          <w:rFonts w:cs="Times New Roman" w:eastAsia="Calibri"/>
          <w:lang w:eastAsia="hr-HR"/>
        </w:rPr>
        <w:t>106. spisa).</w:t>
      </w:r>
    </w:p>
    <w:p w:rsidRDefault="001556FE" w:rsidP="001556FE" w:rsidR="001556FE" w:rsidRPr="001556FE">
      <w:pPr>
        <w:spacing w:lineRule="atLeast" w:line="240" w:after="0" w:before="180"/>
        <w:ind w:firstLine="709"/>
        <w:jc w:val="both"/>
        <w:rPr>
          <w:rFonts w:cs="Times New Roman" w:eastAsia="Times New Roman"/>
          <w:lang w:eastAsia="hr-HR"/>
        </w:rPr>
      </w:pPr>
      <w:r w:rsidRPr="001556FE">
        <w:rPr>
          <w:rFonts w:cs="Times New Roman" w:eastAsia="Calibri"/>
          <w:lang w:eastAsia="hr-HR"/>
        </w:rPr>
        <w:t xml:space="preserve">U odnosu na prijedlog za odobravanje naknade stvarnih troškova, koje je podneskom od 6. ožujka 2019. (list 101. spisa) zatražio Nikola Kruljac (putni trošak u iznosu od 2.516,00 kn, trošak izdavanja potvrde FINA-e u iznosu od 20,00 kn i trošak izdavanja potvrde iz evidencije Centra za vozila Hrvatske u iznosu od 17,94 kn) prvostupanjski sud navodi da bi određeni izdatak stečajnog upravitelja predstavljao trošak stečajnog postupka, potrebno je da je taj izdatak nastao u vezi s obavljanjem poslova te da je nužan za provođenje postupka, a ispunjava li određeni izdatak ove kriterije (veza s obavljanjem poslova i nužnost) stečajni sudac procjenjuje zasebno za svaki pojedini slučaj. </w:t>
      </w:r>
    </w:p>
    <w:p w:rsidRDefault="001556FE" w:rsidP="001556FE" w:rsidR="001556FE" w:rsidRPr="001556FE">
      <w:pPr>
        <w:spacing w:lineRule="atLeast" w:line="240" w:after="0" w:before="180"/>
        <w:ind w:firstLine="709"/>
        <w:jc w:val="both"/>
        <w:rPr>
          <w:rFonts w:cs="Times New Roman" w:eastAsia="Calibri"/>
          <w:lang w:eastAsia="hr-HR"/>
        </w:rPr>
      </w:pPr>
      <w:r w:rsidRPr="001556FE">
        <w:rPr>
          <w:rFonts w:cs="Times New Roman" w:eastAsia="Times New Roman"/>
          <w:lang w:eastAsia="hr-HR"/>
        </w:rPr>
        <w:lastRenderedPageBreak/>
        <w:t>U konkretnom slučaju prema ocjeni prvostupanjskog suda, zahtjev stečajnog upravitelja za naknad</w:t>
      </w:r>
      <w:r>
        <w:rPr>
          <w:rFonts w:cs="Times New Roman" w:eastAsia="Times New Roman"/>
          <w:lang w:eastAsia="hr-HR"/>
        </w:rPr>
        <w:t>u</w:t>
      </w:r>
      <w:r w:rsidRPr="001556FE">
        <w:rPr>
          <w:rFonts w:cs="Times New Roman" w:eastAsia="Times New Roman"/>
          <w:lang w:eastAsia="hr-HR"/>
        </w:rPr>
        <w:t xml:space="preserve"> stvarnog troška je djelomično osnovan.</w:t>
      </w:r>
    </w:p>
    <w:p w:rsidRDefault="001556FE" w:rsidP="001556FE" w:rsidR="001556FE" w:rsidRPr="001556FE">
      <w:pPr>
        <w:spacing w:after="0" w:before="200"/>
        <w:ind w:firstLine="708"/>
        <w:jc w:val="both"/>
        <w:rPr>
          <w:rFonts w:cs="Times New Roman" w:eastAsia="Times New Roman"/>
          <w:lang w:eastAsia="hr-HR"/>
        </w:rPr>
      </w:pPr>
      <w:r w:rsidRPr="001556FE">
        <w:rPr>
          <w:rFonts w:cs="Times New Roman" w:eastAsia="Times New Roman"/>
          <w:lang w:eastAsia="hr-HR"/>
        </w:rPr>
        <w:t>U obrazloženju pobijanog dijela prvostupanjskog rješenja nadalje se navodi da se, u smislu slobode tržišta radne snage, na listi A stečajnih upravitelja nadležnog suda mogu nalaziti i stečajni upravitelji koji su se na tu listu po svojem poslovnom interesu prijavili i makar im je mjesto prebivališta izvan teritorija nadležnog suda. Stvarne troškove službenih putovanja (nastalih u vezi konkretnog postupka u kojemu je stečajni upravitelj i imenovan sa liste nadležnog suda) stečajni upravitelji pravdaju sukladno Pravilniku o porezu na dohodak („Narodne novine“ broj 115/16; dalje u tekstu Pravilnik). Člankom 14. stavkom 2. Pravilnika propisano je da se izdaci za službena putovanja (dnevnice, naknade prijevoznih troškova, naknade korištenja privatnog automobila u službene svrhe, troškovi noćenja i drugo) obračunavaju na temelju urednog i vjerodostojnog putnog naloga i priloženih isprava kojima se dokazuju izdaci i drugi podaci navedeni na putnom nalogu. Neovisno u kojem obliku se izdaje, putni nalog kao vjerodostojna isprava sadrži osobito sljedeće podatke: nadnevak izdavanja, ime i prezime osobe koja se upućuje na službeno putovanje, mjesto u koje osoba putuje, svrha putovanja, vrijeme trajanja putovanja, vrijeme kretanja na put, podatke o prijevoznom sredstvu kojim se putuje (ako se putuje automobilom potrebno je navesti marku i registarsku oznaku automobila, početno i završno stanje brojila – kilometar/sat), vrijeme povratka s puta, potpis ovlaštene osobe, pečat, obračun troškova, likvidaciju obračuna te izvješće s puta. Uz putni nalog obvezno se prilažu isprave kojima se dokazuju nastali izdaci i to osobito: računi za cestarine, preslike ili potvrde putnih karata, računi za smještaj i drugo, bez obzira na način podmirenja izdataka.</w:t>
      </w:r>
    </w:p>
    <w:p w:rsidRDefault="001556FE" w:rsidP="001556FE" w:rsidR="001556FE" w:rsidRPr="001556FE">
      <w:pPr>
        <w:spacing w:after="0" w:before="200"/>
        <w:ind w:firstLine="708"/>
        <w:jc w:val="both"/>
        <w:rPr>
          <w:rFonts w:cs="Times New Roman" w:eastAsia="Times New Roman"/>
          <w:lang w:eastAsia="hr-HR"/>
        </w:rPr>
      </w:pPr>
      <w:r w:rsidRPr="001556FE">
        <w:rPr>
          <w:rFonts w:cs="Times New Roman" w:eastAsia="Times New Roman"/>
          <w:lang w:eastAsia="hr-HR"/>
        </w:rPr>
        <w:t>Po mišljenju prvostupanjskog suda, okolnost da je teritorijalna nadležnost pojedinih sudova rađena prije svega sa svrhom ekonomičnosti u provođenju postupaka i ujednačavanju opterećenosti sudova s jedne strane, činjenica da se na listama stečajnih upravitelja nadležnih sudova nalaze se i osobe) kojima je prebivalište izvan područja nadležnog suda prema vlastitom slobodnom odabiru, ne bi smjela biti od utjecaja na smanjenje ekonomičnosti, a na teret stečajne mase i vjerovnika, zbog povećanja putnih troškova koje bi posljedično proizvodili stečajni upravitelji zbog same činjenice da im je mjesto prebivališta izvan područja nadležnog suda.</w:t>
      </w:r>
    </w:p>
    <w:p w:rsidRDefault="001556FE" w:rsidP="001556FE" w:rsidR="001556FE" w:rsidRPr="001556FE">
      <w:pPr>
        <w:spacing w:after="0" w:before="200"/>
        <w:ind w:firstLine="708"/>
        <w:jc w:val="both"/>
        <w:rPr>
          <w:rFonts w:cs="Times New Roman" w:eastAsia="Times New Roman"/>
          <w:lang w:eastAsia="hr-HR"/>
        </w:rPr>
      </w:pPr>
      <w:r w:rsidRPr="001556FE">
        <w:rPr>
          <w:rFonts w:cs="Times New Roman" w:eastAsia="Times New Roman"/>
          <w:lang w:eastAsia="hr-HR"/>
        </w:rPr>
        <w:t>U takvim okolnostima po mišljenju prvostupanjskog suda, stečajnim upraviteljima kojima je prebivalište izvan teritorija nadležnog suda, opravdanim bi valjalo priznavati tek onaj dio putnih troškova koji je ostvaren na području nadležnog suda, prema dužini prijeđenog puta i vremenski. Prvostupanjski sud navodi da stečajni upravitelji kojima je prebivalište izvan teritorija tog nadležnog suda ne bi mogli stečajnu masu teretiti svojim putnim troškovima ostvarenim izvan teritorija nadležnog suda pa makar im takve troškove odobrili i sami vjerovnici većinom glasova kroz tijela stečajnog postupka, jer takve odluke nisu u njihovoj nadležnosti, kao ni eventualne odluke da im se na teret stečajne mase odobravaju i plaćaju troškovi privremenog boravka na području nadležnog suda.</w:t>
      </w:r>
    </w:p>
    <w:p w:rsidRDefault="001556FE" w:rsidP="001556FE" w:rsidR="001556FE" w:rsidRPr="001556FE">
      <w:pPr>
        <w:spacing w:after="0" w:before="200"/>
        <w:ind w:firstLine="708"/>
        <w:jc w:val="both"/>
        <w:rPr>
          <w:rFonts w:cs="Times New Roman" w:eastAsia="Calibri"/>
        </w:rPr>
      </w:pPr>
      <w:r w:rsidRPr="001556FE">
        <w:rPr>
          <w:rFonts w:cs="Times New Roman" w:eastAsia="Times New Roman"/>
          <w:lang w:eastAsia="hr-HR"/>
        </w:rPr>
        <w:t>Stoga je prvostupanjski sud zahtjev privremenog stečajnog upravitelja za naknadu putnih troškova za relaciju Martin-Split-Martin za dan 14. veljače 2019. u iznosu od 2.516,00 kn, ocijenio osnovanim u odnosu na putne troškove od mjesta ulaska - naplatne postaje A1 Vrpolje do sjedišta suda Split (Sukoišanska 6) utvrdivši da ta relacija iznosi oko 65 km te da opravdani putni trošak stečajnog upravitelja iznosi 260,00 kn (65 km x 2 = 130 km x 2,00 kn/km = 260,00 kn) te u dijelu koji se odnosi na naknadu troška izdavanja potvrde FINA-e i Centra za vozila Hrvatske u ukupnom iznosu od 37,94 kn, budući da je privremeni stečajni upravitelj nastanak tog troška valjano dokumentirao, navodeći da o</w:t>
      </w:r>
      <w:r w:rsidRPr="001556FE">
        <w:rPr>
          <w:rFonts w:cs="Times New Roman" w:eastAsia="Calibri"/>
          <w:lang w:eastAsia="hr-HR"/>
        </w:rPr>
        <w:t>dobreni iznos naknade stvarnih troškova (</w:t>
      </w:r>
      <w:r>
        <w:rPr>
          <w:rFonts w:cs="Times New Roman" w:eastAsia="Calibri"/>
          <w:lang w:eastAsia="hr-HR"/>
        </w:rPr>
        <w:t xml:space="preserve">iznos od </w:t>
      </w:r>
      <w:r w:rsidRPr="001556FE">
        <w:rPr>
          <w:rFonts w:cs="Times New Roman" w:eastAsia="Calibri"/>
          <w:lang w:eastAsia="hr-HR"/>
        </w:rPr>
        <w:t xml:space="preserve">297,94 </w:t>
      </w:r>
      <w:r>
        <w:rPr>
          <w:rFonts w:cs="Times New Roman" w:eastAsia="Calibri"/>
          <w:lang w:eastAsia="hr-HR"/>
        </w:rPr>
        <w:t>kn</w:t>
      </w:r>
      <w:r w:rsidRPr="001556FE">
        <w:rPr>
          <w:rFonts w:cs="Times New Roman" w:eastAsia="Calibri"/>
          <w:lang w:eastAsia="hr-HR"/>
        </w:rPr>
        <w:t xml:space="preserve"> = 260,00</w:t>
      </w:r>
      <w:r>
        <w:rPr>
          <w:rFonts w:cs="Times New Roman" w:eastAsia="Calibri"/>
          <w:lang w:eastAsia="hr-HR"/>
        </w:rPr>
        <w:t xml:space="preserve"> kn</w:t>
      </w:r>
      <w:r w:rsidRPr="001556FE">
        <w:rPr>
          <w:rFonts w:cs="Times New Roman" w:eastAsia="Calibri"/>
          <w:lang w:eastAsia="hr-HR"/>
        </w:rPr>
        <w:t xml:space="preserve"> + 37,94</w:t>
      </w:r>
      <w:r>
        <w:rPr>
          <w:rFonts w:cs="Times New Roman" w:eastAsia="Calibri"/>
          <w:lang w:eastAsia="hr-HR"/>
        </w:rPr>
        <w:t xml:space="preserve"> kn</w:t>
      </w:r>
      <w:r w:rsidRPr="001556FE">
        <w:rPr>
          <w:rFonts w:cs="Times New Roman" w:eastAsia="Calibri"/>
          <w:lang w:eastAsia="hr-HR"/>
        </w:rPr>
        <w:t>) valja uvećati za pripadajuće poreze, prireze i doprinose.</w:t>
      </w:r>
    </w:p>
    <w:p w:rsidRDefault="001556FE" w:rsidP="001556FE" w:rsidR="001556FE" w:rsidRPr="001556FE">
      <w:pPr>
        <w:spacing w:after="0"/>
        <w:ind w:firstLine="708"/>
        <w:jc w:val="both"/>
        <w:rPr>
          <w:rFonts w:cs="Times New Roman" w:eastAsia="Times New Roman"/>
          <w:szCs w:val="20"/>
          <w:lang w:eastAsia="hr-HR"/>
        </w:rPr>
      </w:pPr>
    </w:p>
    <w:p w:rsidRDefault="001556FE" w:rsidP="001556FE" w:rsidR="001556FE" w:rsidRPr="001556FE">
      <w:pPr>
        <w:tabs>
          <w:tab w:pos="709" w:val="left"/>
        </w:tabs>
        <w:spacing w:after="0"/>
        <w:jc w:val="both"/>
        <w:rPr>
          <w:rFonts w:cs="Times New Roman" w:eastAsia="Times New Roman"/>
          <w:lang w:eastAsia="hr-HR"/>
        </w:rPr>
      </w:pPr>
      <w:r w:rsidRPr="001556FE">
        <w:rPr>
          <w:rFonts w:cs="Times New Roman" w:eastAsia="Times New Roman"/>
          <w:lang w:eastAsia="hr-HR"/>
        </w:rPr>
        <w:tab/>
      </w:r>
      <w:r w:rsidRPr="001556FE">
        <w:rPr>
          <w:rFonts w:cs="Times New Roman" w:eastAsia="Times New Roman"/>
          <w:color w:val="000000"/>
          <w:szCs w:val="20"/>
          <w:lang w:eastAsia="hr-HR"/>
        </w:rPr>
        <w:t xml:space="preserve">Protiv odbijajućeg dijela rješenja </w:t>
      </w:r>
      <w:r w:rsidRPr="001556FE">
        <w:rPr>
          <w:rFonts w:cs="Times New Roman" w:eastAsia="Times New Roman"/>
          <w:szCs w:val="20"/>
          <w:lang w:eastAsia="hr-HR"/>
        </w:rPr>
        <w:t>u točki 3. izreke</w:t>
      </w:r>
      <w:r w:rsidRPr="001556FE">
        <w:rPr>
          <w:rFonts w:cs="Times New Roman" w:eastAsia="Times New Roman"/>
          <w:lang w:eastAsia="hr-HR"/>
        </w:rPr>
        <w:t xml:space="preserve"> </w:t>
      </w:r>
      <w:r w:rsidRPr="001556FE">
        <w:rPr>
          <w:rFonts w:cs="Times New Roman" w:eastAsia="Times New Roman"/>
          <w:color w:val="000000"/>
          <w:szCs w:val="20"/>
          <w:lang w:eastAsia="hr-HR"/>
        </w:rPr>
        <w:t xml:space="preserve">žalbu je podnio stečajni upravitelj </w:t>
      </w:r>
      <w:r w:rsidRPr="001556FE">
        <w:rPr>
          <w:rFonts w:cs="Times New Roman" w:eastAsia="Times New Roman"/>
          <w:szCs w:val="20"/>
          <w:lang w:eastAsia="hr-HR"/>
        </w:rPr>
        <w:t>Nikola Kruljac</w:t>
      </w:r>
      <w:r w:rsidRPr="001556FE">
        <w:rPr>
          <w:rFonts w:cs="Times New Roman" w:eastAsia="Times New Roman"/>
          <w:color w:val="000000"/>
          <w:szCs w:val="20"/>
          <w:lang w:eastAsia="hr-HR"/>
        </w:rPr>
        <w:t xml:space="preserve"> ne navodeći iz kojih zakonskih razloga osporava odluku. Iako ne</w:t>
      </w:r>
      <w:r w:rsidRPr="001556FE">
        <w:rPr>
          <w:rFonts w:cs="Times New Roman" w:eastAsia="Times New Roman"/>
          <w:lang w:eastAsia="hr-HR"/>
        </w:rPr>
        <w:t xml:space="preserve"> navodi konkretne žalbene razloge iz sadržaja žalbe proizlazi da rješenje djelomično pobija zbog pogrešne primjene materijalnog prava. U žalbi u bitnome ističe da je prvostupanjski sud nepravilno i diskriminatorno primijenio odredbu članka 94. SZ-a jer ne postoji odredba koja propisuje da je mjesto prebivališta stečajnog upravitelja uvjet za osnovanost opravdanosti stvarnih troškova. </w:t>
      </w:r>
    </w:p>
    <w:p w:rsidRDefault="001556FE" w:rsidP="001556FE" w:rsidR="001556FE" w:rsidRPr="001556FE">
      <w:pPr>
        <w:spacing w:after="0"/>
        <w:ind w:firstLine="708"/>
        <w:jc w:val="both"/>
        <w:rPr>
          <w:rFonts w:cs="Times New Roman" w:eastAsia="Times New Roman"/>
          <w:lang w:eastAsia="hr-HR"/>
        </w:rPr>
      </w:pPr>
    </w:p>
    <w:p w:rsidRDefault="001556FE" w:rsidP="001556FE" w:rsidR="001556FE" w:rsidRPr="001556FE">
      <w:pPr>
        <w:spacing w:after="0"/>
        <w:ind w:firstLine="708"/>
        <w:jc w:val="both"/>
        <w:rPr>
          <w:rFonts w:cs="Times New Roman" w:eastAsia="Times New Roman"/>
          <w:lang w:eastAsia="hr-HR"/>
        </w:rPr>
      </w:pPr>
      <w:r w:rsidRPr="001556FE">
        <w:rPr>
          <w:rFonts w:cs="Times New Roman" w:eastAsia="Times New Roman"/>
          <w:lang w:eastAsia="hr-HR"/>
        </w:rPr>
        <w:t>Odgovor na žalbu nije podnesen.</w:t>
      </w:r>
    </w:p>
    <w:p w:rsidRDefault="001556FE" w:rsidP="001556FE" w:rsidR="001556FE" w:rsidRPr="001556FE">
      <w:pPr>
        <w:spacing w:after="0"/>
        <w:jc w:val="both"/>
        <w:rPr>
          <w:rFonts w:cs="Times New Roman" w:eastAsia="Times New Roman"/>
          <w:lang w:eastAsia="hr-HR"/>
        </w:rPr>
      </w:pPr>
      <w:r w:rsidRPr="001556FE">
        <w:rPr>
          <w:rFonts w:cs="Times New Roman" w:eastAsia="Times New Roman"/>
          <w:lang w:eastAsia="hr-HR"/>
        </w:rPr>
        <w:t> </w:t>
      </w:r>
    </w:p>
    <w:p w:rsidRDefault="001556FE" w:rsidP="001556FE" w:rsidR="001556FE" w:rsidRPr="001556FE">
      <w:pPr>
        <w:spacing w:after="0"/>
        <w:ind w:firstLine="708"/>
        <w:jc w:val="both"/>
        <w:rPr>
          <w:rFonts w:cs="Times New Roman" w:eastAsia="Times New Roman"/>
          <w:lang w:eastAsia="hr-HR"/>
        </w:rPr>
      </w:pPr>
      <w:r w:rsidRPr="001556FE">
        <w:rPr>
          <w:rFonts w:cs="Times New Roman" w:eastAsia="Times New Roman"/>
          <w:lang w:eastAsia="hr-HR"/>
        </w:rPr>
        <w:t>Žalba nije osnovana.</w:t>
      </w:r>
    </w:p>
    <w:p w:rsidRDefault="001556FE" w:rsidP="001556FE" w:rsidR="001556FE" w:rsidRPr="001556FE">
      <w:pPr>
        <w:spacing w:after="0"/>
        <w:jc w:val="both"/>
        <w:rPr>
          <w:rFonts w:cs="Times New Roman" w:eastAsia="Times New Roman"/>
          <w:lang w:eastAsia="hr-HR"/>
        </w:rPr>
      </w:pPr>
      <w:r w:rsidRPr="001556FE">
        <w:rPr>
          <w:rFonts w:cs="Times New Roman" w:eastAsia="Times New Roman"/>
          <w:lang w:eastAsia="hr-HR"/>
        </w:rPr>
        <w:t> </w:t>
      </w:r>
    </w:p>
    <w:p w:rsidRDefault="001556FE" w:rsidP="001556FE" w:rsidR="001556FE" w:rsidRPr="001556FE">
      <w:pPr>
        <w:spacing w:after="0"/>
        <w:jc w:val="both"/>
        <w:rPr>
          <w:rFonts w:cs="Times New Roman" w:eastAsia="Times New Roman"/>
          <w:lang w:eastAsia="hr-HR"/>
        </w:rPr>
      </w:pPr>
      <w:r w:rsidRPr="001556FE">
        <w:rPr>
          <w:rFonts w:cs="Times New Roman" w:eastAsia="Times New Roman"/>
          <w:lang w:eastAsia="hr-HR"/>
        </w:rPr>
        <w:tab/>
        <w:t>Pobijano rješenje ispitano je sukladno odredbama članaka 365. i 381. Zakona o parničnom postupku („Narodne novine“ broj 148/11-pročišćeni tekst i 25/13; dalje: ZPP), vezano uz odredbu članka 10. SZ-a, pazeći po službenoj dužnosti na bitne povrede odredaba postupka iz članka 354. stav</w:t>
      </w:r>
      <w:r w:rsidR="00C86A5F">
        <w:rPr>
          <w:rFonts w:cs="Times New Roman" w:eastAsia="Times New Roman"/>
          <w:lang w:eastAsia="hr-HR"/>
        </w:rPr>
        <w:t>ka</w:t>
      </w:r>
      <w:r w:rsidRPr="001556FE">
        <w:rPr>
          <w:rFonts w:cs="Times New Roman" w:eastAsia="Times New Roman"/>
          <w:lang w:eastAsia="hr-HR"/>
        </w:rPr>
        <w:t xml:space="preserve"> 2. toč</w:t>
      </w:r>
      <w:r w:rsidR="00C86A5F">
        <w:rPr>
          <w:rFonts w:cs="Times New Roman" w:eastAsia="Times New Roman"/>
          <w:lang w:eastAsia="hr-HR"/>
        </w:rPr>
        <w:t>a</w:t>
      </w:r>
      <w:r w:rsidRPr="001556FE">
        <w:rPr>
          <w:rFonts w:cs="Times New Roman" w:eastAsia="Times New Roman"/>
          <w:lang w:eastAsia="hr-HR"/>
        </w:rPr>
        <w:t>ka 2., 4., 8., 9., 11., 13. i 14. ZPP-a, kao i na pravilnu primjenu materijalnog prava. Ovaj sud nalazi da je pravilno i osnovano na zakonu.</w:t>
      </w:r>
    </w:p>
    <w:p w:rsidRDefault="001556FE" w:rsidP="001556FE" w:rsidR="001556FE" w:rsidRPr="001556FE">
      <w:pPr>
        <w:spacing w:after="0"/>
        <w:jc w:val="both"/>
        <w:rPr>
          <w:rFonts w:cs="Times New Roman" w:eastAsia="Times New Roman"/>
          <w:lang w:eastAsia="hr-HR"/>
        </w:rPr>
      </w:pPr>
    </w:p>
    <w:p w:rsidRDefault="001556FE" w:rsidP="001556FE" w:rsidR="001556FE" w:rsidRPr="001556FE">
      <w:pPr>
        <w:tabs>
          <w:tab w:pos="720" w:val="left"/>
        </w:tabs>
        <w:spacing w:after="0"/>
        <w:ind w:firstLine="720"/>
        <w:jc w:val="both"/>
        <w:rPr>
          <w:rFonts w:cs="Times New Roman" w:eastAsia="Times New Roman"/>
          <w:lang w:eastAsia="hr-HR"/>
        </w:rPr>
      </w:pPr>
      <w:r w:rsidRPr="001556FE">
        <w:rPr>
          <w:rFonts w:cs="Times New Roman" w:eastAsia="Times New Roman"/>
          <w:lang w:eastAsia="hr-HR"/>
        </w:rPr>
        <w:t xml:space="preserve">Pobijano rješenje nije zahvaćeno bitnim povredama odredaba parničnog postupka na koje ovaj sud pazi po službenoj dužnosti. Prvostupanjski je sud za svoju odluku dao jasne i razumljive razloge, zasnovane na ispravama u spisu i činjenicama utvrđenim nakon provedenog postupka koje prihvaća i ovaj sud bez potrebe ponavljanja u smislu odredbe članka 375. stavka 5. ZPP-a u svezi s odredbom članka 10. SZ-a. </w:t>
      </w:r>
    </w:p>
    <w:p w:rsidRDefault="001556FE" w:rsidP="001556FE" w:rsidR="001556FE" w:rsidRPr="001556FE">
      <w:pPr>
        <w:spacing w:after="0"/>
        <w:jc w:val="both"/>
        <w:rPr>
          <w:rFonts w:cs="Times New Roman" w:eastAsia="Times New Roman"/>
          <w:lang w:eastAsia="hr-HR"/>
        </w:rPr>
      </w:pPr>
    </w:p>
    <w:p w:rsidRDefault="001556FE" w:rsidP="001556FE" w:rsidR="001556FE" w:rsidRPr="001556FE">
      <w:pPr>
        <w:spacing w:after="0"/>
        <w:jc w:val="both"/>
        <w:rPr>
          <w:rFonts w:cs="Times New Roman" w:eastAsia="Times New Roman"/>
          <w:lang w:eastAsia="hr-HR"/>
        </w:rPr>
      </w:pPr>
      <w:r w:rsidRPr="001556FE">
        <w:rPr>
          <w:rFonts w:cs="Times New Roman" w:eastAsia="Times New Roman"/>
          <w:lang w:eastAsia="hr-HR"/>
        </w:rPr>
        <w:tab/>
        <w:t>Prema mišljenju ovog suda prvostupanjski je sud utvrdio relevantno činjenično stanje i na tako utvrđeno činjenično stanje pravilno je primijenio materijalno pravo sadržano u primijenjenim zakonskim odredbama, prvenstveno primjenom odredbe članka 94. stav</w:t>
      </w:r>
      <w:r w:rsidR="00C86A5F">
        <w:rPr>
          <w:rFonts w:cs="Times New Roman" w:eastAsia="Times New Roman"/>
          <w:lang w:eastAsia="hr-HR"/>
        </w:rPr>
        <w:t>ka</w:t>
      </w:r>
      <w:r w:rsidRPr="001556FE">
        <w:rPr>
          <w:rFonts w:cs="Times New Roman" w:eastAsia="Times New Roman"/>
          <w:lang w:eastAsia="hr-HR"/>
        </w:rPr>
        <w:t xml:space="preserve"> 3. SZ-a.</w:t>
      </w:r>
    </w:p>
    <w:p w:rsidRDefault="001556FE" w:rsidP="001556FE" w:rsidR="001556FE" w:rsidRPr="001556FE">
      <w:pPr>
        <w:spacing w:after="0"/>
        <w:jc w:val="both"/>
        <w:rPr>
          <w:rFonts w:cs="Times New Roman" w:eastAsia="Times New Roman"/>
          <w:lang w:eastAsia="hr-HR"/>
        </w:rPr>
      </w:pPr>
    </w:p>
    <w:p w:rsidRDefault="001556FE" w:rsidP="001556FE" w:rsidR="001556FE" w:rsidRPr="001556FE">
      <w:pPr>
        <w:spacing w:after="0"/>
        <w:ind w:firstLine="708"/>
        <w:jc w:val="both"/>
        <w:rPr>
          <w:rFonts w:cs="Times New Roman" w:eastAsia="Times New Roman"/>
          <w:color w:val="000000"/>
          <w:sz w:val="27"/>
          <w:szCs w:val="27"/>
          <w:lang w:eastAsia="hr-HR"/>
        </w:rPr>
      </w:pPr>
      <w:r w:rsidRPr="001556FE">
        <w:rPr>
          <w:rFonts w:cs="Times New Roman" w:eastAsia="Times New Roman"/>
          <w:color w:val="000000"/>
          <w:lang w:eastAsia="hr-HR"/>
        </w:rPr>
        <w:t>Prema odredbi članka 94. stavka 3. SZ-a naknadu troškova rješenjem određuje sud na temelju pisanog, obrazloženog i dokumentiranog izvješća stečajnoga upravitelja. Prema odredbi članka 119. stavka 6. SZ-a na privremenog stečajnog upravitelja na odgovarajući se način primjenjuju odredbe ovog Zakona o stečajnom upravitelju.</w:t>
      </w:r>
    </w:p>
    <w:p w:rsidRDefault="001556FE" w:rsidP="001556FE" w:rsidR="001556FE" w:rsidRPr="001556FE">
      <w:pPr>
        <w:spacing w:after="0"/>
        <w:ind w:firstLine="708"/>
        <w:jc w:val="both"/>
        <w:rPr>
          <w:rFonts w:cs="Times New Roman" w:eastAsia="Times New Roman"/>
          <w:color w:val="000000"/>
          <w:sz w:val="27"/>
          <w:szCs w:val="27"/>
          <w:lang w:eastAsia="hr-HR"/>
        </w:rPr>
      </w:pPr>
      <w:r w:rsidRPr="001556FE">
        <w:rPr>
          <w:rFonts w:cs="Times New Roman" w:eastAsia="Times New Roman"/>
          <w:color w:val="000000"/>
          <w:lang w:eastAsia="hr-HR"/>
        </w:rPr>
        <w:t> </w:t>
      </w:r>
    </w:p>
    <w:p w:rsidRDefault="001556FE" w:rsidP="001556FE" w:rsidR="001556FE" w:rsidRPr="001556FE">
      <w:pPr>
        <w:spacing w:after="0"/>
        <w:ind w:firstLine="708"/>
        <w:jc w:val="both"/>
        <w:rPr>
          <w:rFonts w:cs="Times New Roman" w:eastAsia="Times New Roman"/>
          <w:color w:val="000000"/>
          <w:sz w:val="27"/>
          <w:szCs w:val="27"/>
          <w:lang w:eastAsia="hr-HR"/>
        </w:rPr>
      </w:pPr>
      <w:r w:rsidRPr="001556FE">
        <w:rPr>
          <w:rFonts w:cs="Times New Roman" w:eastAsia="Times New Roman"/>
          <w:color w:val="000000"/>
          <w:lang w:eastAsia="hr-HR"/>
        </w:rPr>
        <w:t>Iz zahtjeva za određivanje nagrade privremenom stečajnom upravitelju od 8. ožujka 2019. (list 101.</w:t>
      </w:r>
      <w:r w:rsidR="00C86A5F">
        <w:rPr>
          <w:rFonts w:cs="Times New Roman" w:eastAsia="Times New Roman"/>
          <w:color w:val="000000"/>
          <w:lang w:eastAsia="hr-HR"/>
        </w:rPr>
        <w:t xml:space="preserve"> </w:t>
      </w:r>
      <w:r w:rsidRPr="001556FE">
        <w:rPr>
          <w:rFonts w:cs="Times New Roman" w:eastAsia="Times New Roman"/>
          <w:color w:val="000000"/>
          <w:lang w:eastAsia="hr-HR"/>
        </w:rPr>
        <w:t>-</w:t>
      </w:r>
      <w:r w:rsidR="00C86A5F">
        <w:rPr>
          <w:rFonts w:cs="Times New Roman" w:eastAsia="Times New Roman"/>
          <w:color w:val="000000"/>
          <w:lang w:eastAsia="hr-HR"/>
        </w:rPr>
        <w:t xml:space="preserve"> </w:t>
      </w:r>
      <w:r w:rsidRPr="001556FE">
        <w:rPr>
          <w:rFonts w:cs="Times New Roman" w:eastAsia="Times New Roman"/>
          <w:color w:val="000000"/>
          <w:lang w:eastAsia="hr-HR"/>
        </w:rPr>
        <w:t>106. spisa) proizlazi</w:t>
      </w:r>
      <w:r w:rsidR="00412DFC">
        <w:rPr>
          <w:rFonts w:cs="Times New Roman" w:eastAsia="Times New Roman"/>
          <w:color w:val="000000"/>
          <w:lang w:eastAsia="hr-HR"/>
        </w:rPr>
        <w:t xml:space="preserve"> da je zahtijevao trošak uporabe</w:t>
      </w:r>
      <w:r w:rsidRPr="001556FE">
        <w:rPr>
          <w:rFonts w:cs="Times New Roman" w:eastAsia="Times New Roman"/>
          <w:color w:val="000000"/>
          <w:lang w:eastAsia="hr-HR"/>
        </w:rPr>
        <w:t xml:space="preserve"> privatnog automobila u poslovne svrhe na relaciji Martin-Split-Martin u ukupnom iznosu od 2.516,00 kn, ali ne tražeći trošak cestarine. Uz prijedlog je dostavljen putni nalog i obračun ostalih troškova koje je sastavio privremeni stečajni upravitelj.</w:t>
      </w:r>
    </w:p>
    <w:p w:rsidRDefault="001556FE" w:rsidP="001556FE" w:rsidR="001556FE" w:rsidRPr="001556FE">
      <w:pPr>
        <w:spacing w:after="0"/>
        <w:ind w:firstLine="708"/>
        <w:jc w:val="both"/>
        <w:rPr>
          <w:rFonts w:cs="Times New Roman" w:eastAsia="Times New Roman"/>
          <w:color w:val="000000"/>
          <w:sz w:val="27"/>
          <w:szCs w:val="27"/>
          <w:lang w:eastAsia="hr-HR"/>
        </w:rPr>
      </w:pPr>
      <w:r w:rsidRPr="001556FE">
        <w:rPr>
          <w:rFonts w:cs="Times New Roman" w:eastAsia="Times New Roman"/>
          <w:color w:val="000000"/>
          <w:lang w:eastAsia="hr-HR"/>
        </w:rPr>
        <w:t> </w:t>
      </w:r>
    </w:p>
    <w:p w:rsidRDefault="001556FE" w:rsidP="001556FE" w:rsidR="001556FE" w:rsidRPr="001556FE">
      <w:pPr>
        <w:spacing w:after="0"/>
        <w:ind w:firstLine="708"/>
        <w:jc w:val="both"/>
        <w:rPr>
          <w:rFonts w:cs="Times New Roman" w:eastAsia="Times New Roman"/>
          <w:color w:val="000000"/>
          <w:sz w:val="27"/>
          <w:szCs w:val="27"/>
          <w:lang w:eastAsia="hr-HR"/>
        </w:rPr>
      </w:pPr>
      <w:r w:rsidRPr="001556FE">
        <w:rPr>
          <w:rFonts w:cs="Times New Roman" w:eastAsia="Times New Roman"/>
          <w:color w:val="000000"/>
          <w:lang w:eastAsia="hr-HR"/>
        </w:rPr>
        <w:t>Po ocjeni ovog suda, na pravo i obračun troškova na odgovarajući način mogu primijeniti određena pravila uređena Pravilnikom radi određivanja naknade za izdatke nastale u obavljanju posla privremenog stečajnog upravitelja. Međutim, privremeni stečajni upravitelj dužan je već uz zahtjev za naknadu stvarnih troškova uz putni nalog dostaviti isprave kojima se dokazuju nastali izdaci i to ako se zahtijeva naknada prijevoznih troškova - račun za cestarinu, gorivo i slično. U konkretnom slučaju žalitelj nije uz zahtjev za naknadu troškova prijevoza, te troškova korištenja privatnog automobila u poslovne svrhe, dostavio ni jedan račun iz kojeg bi proizlazilo da je doista na dan 14. veljače 2019. iz Martina u Split i natrag koristio autocestu i privatni automobil u poslovne svrhe. Međutim, imajući u vidu nespornu činjenicu da je bio nazočan na ročištu tog dana (list 92. spisa), ovaj sud smatra da je prvostupanjski sud pravilno odlučio o trošku koji mu pripada s osnove troškova putovanja.</w:t>
      </w:r>
    </w:p>
    <w:p w:rsidRDefault="001556FE" w:rsidP="001556FE" w:rsidR="001556FE" w:rsidRPr="001556FE">
      <w:pPr>
        <w:spacing w:after="0"/>
        <w:ind w:firstLine="708"/>
        <w:jc w:val="both"/>
        <w:rPr>
          <w:rFonts w:cs="Times New Roman" w:eastAsia="Times New Roman"/>
          <w:color w:val="000000"/>
          <w:sz w:val="27"/>
          <w:szCs w:val="27"/>
          <w:lang w:eastAsia="hr-HR"/>
        </w:rPr>
      </w:pPr>
      <w:r w:rsidRPr="001556FE">
        <w:rPr>
          <w:rFonts w:cs="Times New Roman" w:eastAsia="Times New Roman"/>
          <w:color w:val="000000"/>
          <w:lang w:eastAsia="hr-HR"/>
        </w:rPr>
        <w:t> </w:t>
      </w:r>
    </w:p>
    <w:p w:rsidRDefault="001556FE" w:rsidP="001556FE" w:rsidR="001556FE" w:rsidRPr="001556FE">
      <w:pPr>
        <w:spacing w:after="0"/>
        <w:ind w:firstLine="708"/>
        <w:jc w:val="both"/>
        <w:rPr>
          <w:rFonts w:cs="Times New Roman" w:eastAsia="Times New Roman"/>
          <w:lang w:eastAsia="hr-HR"/>
        </w:rPr>
      </w:pPr>
      <w:r w:rsidRPr="001556FE">
        <w:rPr>
          <w:rFonts w:cs="Times New Roman" w:eastAsia="Times New Roman"/>
          <w:lang w:eastAsia="hr-HR"/>
        </w:rPr>
        <w:t>Ostali žalbeni navodi nisu od odlučnog značaja u smislu odredbe članka 375. stav</w:t>
      </w:r>
      <w:r w:rsidR="00C86A5F">
        <w:rPr>
          <w:rFonts w:cs="Times New Roman" w:eastAsia="Times New Roman"/>
          <w:lang w:eastAsia="hr-HR"/>
        </w:rPr>
        <w:t>ka</w:t>
      </w:r>
      <w:r w:rsidRPr="001556FE">
        <w:rPr>
          <w:rFonts w:cs="Times New Roman" w:eastAsia="Times New Roman"/>
          <w:lang w:eastAsia="hr-HR"/>
        </w:rPr>
        <w:t xml:space="preserve"> 1. ZPP-a u vezi s odredbom članka 10. SZ-a.</w:t>
      </w:r>
    </w:p>
    <w:p w:rsidRDefault="001556FE" w:rsidP="001556FE" w:rsidR="001556FE" w:rsidRPr="001556FE">
      <w:pPr>
        <w:spacing w:after="0"/>
        <w:ind w:firstLine="708"/>
        <w:jc w:val="both"/>
        <w:rPr>
          <w:rFonts w:cs="Times New Roman" w:eastAsia="Times New Roman"/>
          <w:lang w:eastAsia="hr-HR"/>
        </w:rPr>
      </w:pPr>
    </w:p>
    <w:p w:rsidRDefault="001556FE" w:rsidP="001556FE" w:rsidR="001556FE" w:rsidRPr="001556FE">
      <w:pPr>
        <w:spacing w:after="0"/>
        <w:ind w:firstLine="708"/>
        <w:jc w:val="both"/>
        <w:rPr>
          <w:rFonts w:cs="Times New Roman" w:eastAsia="Times New Roman"/>
          <w:lang w:eastAsia="hr-HR"/>
        </w:rPr>
      </w:pPr>
      <w:r w:rsidRPr="001556FE">
        <w:rPr>
          <w:rFonts w:cs="Times New Roman" w:eastAsia="Times New Roman"/>
          <w:lang w:eastAsia="hr-HR"/>
        </w:rPr>
        <w:t>Budući da je činjenično stanje potpuno i valjano utvrđeno, da je prvostupanjski sud pravilno primijenjeno materijalno pravo, te da nije počinjena bitna povreda odredaba parničnog postupka na koju ovaj sud pazi po službenoj dužnosti, valjalo je na temelju odredbe članka 380. točk</w:t>
      </w:r>
      <w:r w:rsidR="00C86A5F">
        <w:rPr>
          <w:rFonts w:cs="Times New Roman" w:eastAsia="Times New Roman"/>
          <w:lang w:eastAsia="hr-HR"/>
        </w:rPr>
        <w:t>e</w:t>
      </w:r>
      <w:r w:rsidRPr="001556FE">
        <w:rPr>
          <w:rFonts w:cs="Times New Roman" w:eastAsia="Times New Roman"/>
          <w:lang w:eastAsia="hr-HR"/>
        </w:rPr>
        <w:t xml:space="preserve"> 2. ZPP</w:t>
      </w:r>
      <w:r w:rsidR="00C86A5F">
        <w:rPr>
          <w:rFonts w:cs="Times New Roman" w:eastAsia="Times New Roman"/>
          <w:lang w:eastAsia="hr-HR"/>
        </w:rPr>
        <w:t xml:space="preserve">-a u </w:t>
      </w:r>
      <w:r w:rsidRPr="001556FE">
        <w:rPr>
          <w:rFonts w:cs="Times New Roman" w:eastAsia="Times New Roman"/>
          <w:lang w:eastAsia="hr-HR"/>
        </w:rPr>
        <w:t>vezi s odredbom članka 10. SZ-a odlučiti kao u izreci ovog drugostupanjskog rješenja.</w:t>
      </w:r>
    </w:p>
    <w:p w:rsidRDefault="001556FE" w:rsidP="001556FE" w:rsidR="001556FE" w:rsidRPr="001556FE">
      <w:pPr>
        <w:spacing w:after="0"/>
        <w:jc w:val="both"/>
        <w:rPr>
          <w:rFonts w:cs="Times New Roman" w:eastAsia="Times New Roman"/>
          <w:lang w:eastAsia="hr-HR"/>
        </w:rPr>
      </w:pPr>
      <w:r w:rsidRPr="001556FE">
        <w:rPr>
          <w:rFonts w:cs="Times New Roman" w:eastAsia="Times New Roman"/>
          <w:lang w:eastAsia="hr-HR"/>
        </w:rPr>
        <w:t> </w:t>
      </w:r>
    </w:p>
    <w:p w:rsidRDefault="001556FE" w:rsidP="001556FE" w:rsidR="001556FE" w:rsidRPr="001556FE">
      <w:pPr>
        <w:spacing w:after="0"/>
        <w:jc w:val="center"/>
        <w:rPr>
          <w:rFonts w:cs="Times New Roman" w:eastAsia="Times New Roman"/>
          <w:lang w:eastAsia="hr-HR"/>
        </w:rPr>
      </w:pPr>
      <w:r w:rsidRPr="001556FE">
        <w:rPr>
          <w:rFonts w:cs="Times New Roman" w:eastAsia="Times New Roman"/>
          <w:lang w:eastAsia="hr-HR"/>
        </w:rPr>
        <w:t>Zagreb</w:t>
      </w:r>
      <w:r w:rsidR="00C86A5F">
        <w:rPr>
          <w:rFonts w:cs="Times New Roman" w:eastAsia="Times New Roman"/>
          <w:lang w:eastAsia="hr-HR"/>
        </w:rPr>
        <w:t>,</w:t>
      </w:r>
      <w:r w:rsidRPr="001556FE">
        <w:rPr>
          <w:rFonts w:cs="Times New Roman" w:eastAsia="Times New Roman"/>
          <w:lang w:eastAsia="hr-HR"/>
        </w:rPr>
        <w:t xml:space="preserve"> 16. travnja 2019.</w:t>
      </w:r>
    </w:p>
    <w:p w:rsidRDefault="00412DFC" w:rsidP="006F07E2" w:rsidR="00412DFC">
      <w:pPr>
        <w:pStyle w:val="Bezproreda"/>
        <w:ind w:left="4536"/>
        <w:jc w:val="center"/>
      </w:pPr>
    </w:p>
    <w:p w:rsidRDefault="00412DFC" w:rsidP="006F07E2" w:rsidR="00412DFC">
      <w:pPr>
        <w:pStyle w:val="Bezproreda"/>
        <w:ind w:left="4536"/>
        <w:jc w:val="center"/>
      </w:pPr>
      <w:r>
        <w:t>Predsjednik vijeća</w:t>
      </w:r>
    </w:p>
    <w:p w:rsidRDefault="00412DFC" w:rsidP="006F07E2" w:rsidR="00412DFC">
      <w:pPr>
        <w:pStyle w:val="Bezproreda"/>
        <w:ind w:left="4536"/>
        <w:jc w:val="center"/>
      </w:pPr>
      <w:r>
        <w:t>Lidija Tomljenović, v. r.</w:t>
      </w:r>
    </w:p>
    <w:p w:rsidRDefault="00412DFC" w:rsidP="00450CBF" w:rsidR="00412DFC">
      <w:pPr>
        <w:pStyle w:val="Bezproreda"/>
      </w:pPr>
    </w:p>
    <w:p w:rsidRDefault="00412DFC" w:rsidP="00412DFC" w:rsidR="00412DFC">
      <w:pPr>
        <w:pStyle w:val="Bezproreda"/>
        <w:ind w:left="4536"/>
        <w:jc w:val="center"/>
      </w:pPr>
      <w:r>
        <w:t>Za točnost otpravka – ovlašteni službenik</w:t>
      </w:r>
    </w:p>
    <w:p w:rsidRDefault="00412DFC" w:rsidP="00412DFC" w:rsidR="001556FE" w:rsidRPr="001556FE">
      <w:pPr>
        <w:pStyle w:val="Bezproreda"/>
        <w:ind w:left="4536"/>
        <w:jc w:val="center"/>
      </w:pPr>
      <w:r>
        <w:t>Brankica Curman</w:t>
      </w:r>
    </w:p>
    <w:p w:rsidRDefault="001556FE" w:rsidP="001556FE" w:rsidR="001556FE" w:rsidRPr="001556FE">
      <w:pPr>
        <w:spacing w:after="0"/>
        <w:ind w:left="5664"/>
        <w:jc w:val="both"/>
        <w:rPr>
          <w:rFonts w:cs="Times New Roman" w:eastAsia="Times New Roman"/>
          <w:lang w:eastAsia="hr-HR"/>
        </w:rPr>
      </w:pPr>
    </w:p>
    <w:p w:rsidRDefault="001556FE" w:rsidP="001556FE" w:rsidR="001556FE" w:rsidRPr="0020453E">
      <w:pPr>
        <w:spacing w:after="0"/>
      </w:pPr>
    </w:p>
    <w:sectPr w:rsidSect="00943DF4" w:rsidR="001556FE"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42F6" w:rsidP="00537B78" w:rsidR="001342F6">
      <w:r>
        <w:separator/>
      </w:r>
    </w:p>
  </w:endnote>
  <w:endnote w:id="0" w:type="continuationSeparator">
    <w:p w:rsidRDefault="001342F6" w:rsidP="00537B78" w:rsidR="00134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42F6" w:rsidP="00537B78" w:rsidR="001342F6">
      <w:r>
        <w:separator/>
      </w:r>
    </w:p>
  </w:footnote>
  <w:footnote w:id="0" w:type="continuationSeparator">
    <w:p w:rsidRDefault="001342F6" w:rsidP="00537B78" w:rsidR="00134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1556FE" w:rsidRPr="008A52E7">
              <w:rPr>
                <w:rStyle w:val="eSPISCCParagraphDefaultFont"/>
              </w:rPr>
              <w:t>76</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1556FE" w:rsidRPr="008A52E7">
              <w:rPr>
                <w:rStyle w:val="eSPISCCParagraphDefaultFont"/>
              </w:rPr>
              <w:t>Pž-2278/2019-2</w:t>
            </w:r>
          </w:sdtContent>
        </w:sdt>
      </w:p>
      <w:p w:rsidRDefault="00170492" w:rsidP="00170492" w:rsidR="00170492">
        <w:pPr>
          <w:pStyle w:val="Zaglavlje"/>
          <w:spacing w:after="0"/>
          <w:jc w:val="center"/>
        </w:pPr>
        <w:r>
          <w:fldChar w:fldCharType="begin"/>
        </w:r>
        <w:r>
          <w:instrText>PAGE   \* MERGEFORMAT</w:instrText>
        </w:r>
        <w:r>
          <w:fldChar w:fldCharType="separate"/>
        </w:r>
        <w:r w:rsidR="008A52E7">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2F6"/>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6FE"/>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21A"/>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2DFC"/>
    <w:rsid w:val="00414FE2"/>
    <w:rsid w:val="004159E4"/>
    <w:rsid w:val="00415D6F"/>
    <w:rsid w:val="004164F0"/>
    <w:rsid w:val="00416CB6"/>
    <w:rsid w:val="004170A1"/>
    <w:rsid w:val="00417F2F"/>
    <w:rsid w:val="00420216"/>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B7BA9"/>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2E7"/>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3DF4"/>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6A5F"/>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2E5E"/>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8046318">
      <w:bodyDiv w:val="true"/>
      <w:marLeft w:val="0"/>
      <w:marRight w:val="0"/>
      <w:marTop w:val="0"/>
      <w:marBottom w:val="0"/>
      <w:divBdr>
        <w:top w:space="0" w:sz="0" w:color="auto" w:val="none"/>
        <w:left w:space="0" w:sz="0" w:color="auto" w:val="none"/>
        <w:bottom w:space="0" w:sz="0" w:color="auto" w:val="none"/>
        <w:right w:space="0" w:sz="0" w:color="auto" w:val="none"/>
      </w:divBdr>
    </w:div>
    <w:div w:id="10831415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15C4D"/>
    <w:rsid w:val="002C2596"/>
    <w:rsid w:val="003820FE"/>
    <w:rsid w:val="004456A8"/>
    <w:rsid w:val="00483442"/>
    <w:rsid w:val="005858C7"/>
    <w:rsid w:val="00613F97"/>
    <w:rsid w:val="00614E4F"/>
    <w:rsid w:val="007B3F2E"/>
    <w:rsid w:val="00855D0C"/>
    <w:rsid w:val="0085783F"/>
    <w:rsid w:val="008B0112"/>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Pž-2278/2019-2</izvorni_sadrzaj>
    <derivirana_varijabla naziv="DomainObject.Oznaka_1">Pž-2278/2019-2</derivirana_varijabla>
  </DomainObject.Oznaka>
  <DomainObject.DonositeljOdluke.Ime>
    <izvorni_sadrzaj>Mirna</izvorni_sadrzaj>
    <derivirana_varijabla naziv="DomainObject.DonositeljOdluke.Ime_1">Mirna</derivirana_varijabla>
  </DomainObject.DonositeljOdluke.Ime>
  <DomainObject.DonositeljOdluke.Prezime>
    <izvorni_sadrzaj>Maržić</izvorni_sadrzaj>
    <derivirana_varijabla naziv="DomainObject.DonositeljOdluke.Prezime_1">Maržić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2278</izvorni_sadrzaj>
    <derivirana_varijabla naziv="DomainObject.Predmet.Broj_1">2278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2019.</izvorni_sadrzaj>
    <derivirana_varijabla naziv="DomainObject.Predmet.DatumOsnivanja_1">3.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travnja 2019.</izvorni_sadrzaj>
    <derivirana_varijabla naziv="DomainObject.Predmet.DatumRjesavanja_1">29. travnja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Pž-2278/2019</izvorni_sadrzaj>
    <derivirana_varijabla naziv="DomainObject.Predmet.OznakaBroj_1">Pž-2278/2019</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
    <derivirana_varijabla naziv="DomainObject.Predmet.PredmetRijesio.Oib_1"/>
  </DomainObject.Predmet.PredmetRijesio.Oib>
  <DomainObject.Predmet.PredmetRijesio.Prezime>
    <izvorni_sadrzaj>Maržić</izvorni_sadrzaj>
    <derivirana_varijabla naziv="DomainObject.Predmet.PredmetRijesio.Prezime_1">Maržić</derivirana_varijabla>
  </DomainObject.Predmet.PredmetRijesio.Prezime>
  <DomainObject.Predmet.PrimjedbaSuca>
    <izvorni_sadrzaj>nagrada st. upravitelju</izvorni_sadrzaj>
    <derivirana_varijabla naziv="DomainObject.Predmet.PrimjedbaSuca_1">nagrada st. upravitelju</derivirana_varijabla>
  </DomainObject.Predmet.PrimjedbaSuca>
  <DomainObject.Predmet.PrimjedbaUpisnicara>
    <izvorni_sadrzaj/>
    <derivirana_varijabla naziv="DomainObject.Predmet.PrimjedbaUpisnicara_1"/>
  </DomainObject.Predmet.PrimjedbaUpisnicara>
  <DomainObject.Predmet.ProtustrankaFormated>
    <izvorni_sadrzaj>  LEVITAS d.o.o.  za projektiranje i građenje u stečaju</izvorni_sadrzaj>
    <derivirana_varijabla naziv="DomainObject.Predmet.ProtustrankaFormated_1">  LEVITAS d.o.o.  za projektiranje i građenje u stečaju</derivirana_varijabla>
  </DomainObject.Predmet.ProtustrankaFormated>
  <DomainObject.Predmet.ProtustrankaFormatedOIB>
    <izvorni_sadrzaj>  LEVITAS d.o.o.  za projektiranje i građenje u stečaju, OIB 70637629365</izvorni_sadrzaj>
    <derivirana_varijabla naziv="DomainObject.Predmet.ProtustrankaFormatedOIB_1">  LEVITAS d.o.o.  za projektiranje i građenje u stečaju, OIB 70637629365</derivirana_varijabla>
  </DomainObject.Predmet.ProtustrankaFormatedOIB>
  <DomainObject.Predmet.ProtustrankaFormatedWithAdress>
    <izvorni_sadrzaj> LEVITAS d.o.o.  za projektiranje i građenje u stečaju, Bana Jelačića 40/a, 21220 Slatine</izvorni_sadrzaj>
    <derivirana_varijabla naziv="DomainObject.Predmet.ProtustrankaFormatedWithAdress_1"> LEVITAS d.o.o.  za projektiranje i građenje u stečaju, Bana Jelačića 40/a, 21220 Slatine</derivirana_varijabla>
  </DomainObject.Predmet.ProtustrankaFormatedWithAdress>
  <DomainObject.Predmet.ProtustrankaFormatedWithAdressOIB>
    <izvorni_sadrzaj> LEVITAS d.o.o.  za projektiranje i građenje u stečaju, OIB 70637629365, Bana Jelačića 40/a, 21220 Slatine</izvorni_sadrzaj>
    <derivirana_varijabla naziv="DomainObject.Predmet.ProtustrankaFormatedWithAdressOIB_1"> LEVITAS d.o.o.  za projektiranje i građenje u stečaju, OIB 70637629365, Bana Jelačića 40/a, 21220 Slatine</derivirana_varijabla>
  </DomainObject.Predmet.ProtustrankaFormatedWithAdressOIB>
  <DomainObject.Predmet.ProtustrankaWithAdress>
    <izvorni_sadrzaj>LEVITAS d.o.o.  za projektiranje i građenje u stečaju Bana Jelačića 40/a, 21220 Slatine</izvorni_sadrzaj>
    <derivirana_varijabla naziv="DomainObject.Predmet.ProtustrankaWithAdress_1">LEVITAS d.o.o.  za projektiranje i građenje u stečaju Bana Jelačića 40/a, 21220 Slatine</derivirana_varijabla>
  </DomainObject.Predmet.ProtustrankaWithAdress>
  <DomainObject.Predmet.ProtustrankaWithAdressOIB>
    <izvorni_sadrzaj>LEVITAS d.o.o.  za projektiranje i građenje u stečaju, OIB 70637629365, Bana Jelačića 40/a, 21220 Slatine</izvorni_sadrzaj>
    <derivirana_varijabla naziv="DomainObject.Predmet.ProtustrankaWithAdressOIB_1">LEVITAS d.o.o.  za projektiranje i građenje u stečaju, OIB 70637629365, Bana Jelačića 40/a, 21220 Slatine</derivirana_varijabla>
  </DomainObject.Predmet.ProtustrankaWithAdressOIB>
  <DomainObject.Predmet.ProtustrankaNazivFormated>
    <izvorni_sadrzaj>LEVITAS d.o.o.  za projektiranje i građenje u stečaju</izvorni_sadrzaj>
    <derivirana_varijabla naziv="DomainObject.Predmet.ProtustrankaNazivFormated_1">LEVITAS d.o.o.  za projektiranje i građenje u stečaju</derivirana_varijabla>
    <derivirana_varijabla naziv="Padez">LEVITAS d.o.o.  za projektiranje i građenje u stečaju</derivirana_varijabla>
  </DomainObject.Predmet.ProtustrankaNazivFormated>
  <DomainObject.Predmet.ProtustrankaNazivFormatedOIB>
    <izvorni_sadrzaj>LEVITAS d.o.o.  za projektiranje i građenje u stečaju, OIB 70637629365</izvorni_sadrzaj>
    <derivirana_varijabla naziv="DomainObject.Predmet.ProtustrankaNazivFormatedOIB_1">LEVITAS d.o.o.  za projektiranje i građenje u stečaju, OIB 70637629365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76 - Maržić</izvorni_sadrzaj>
    <derivirana_varijabla naziv="DomainObject.Predmet.Referada.Naziv_1">Ref. 76 - Maržić</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Mirna Maržić</izvorni_sadrzaj>
    <derivirana_varijabla naziv="DomainObject.Predmet.Referada.Sudac_1">Mirna Maržić</derivirana_varijabla>
    <derivirana_varijabla naziv="Dativ">Mirna Maržić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LEVITAS d.o.o.  za projektiranje i građenje u stečaju</item>
    </izvorni_sadrzaj>
    <derivirana_varijabla naziv="DomainObject.Predmet.ProtuStrankaListFormated_1">
      <item>LEVITAS d.o.o.  za projektiranje i građenje u stečaju</item>
    </derivirana_varijabla>
  </DomainObject.Predmet.ProtuStrankaListFormated>
  <DomainObject.Predmet.ProtuStrankaListFormatedOIB>
    <izvorni_sadrzaj>
      <item>LEVITAS d.o.o.  za projektiranje i građenje u stečaju, OIB 70637629365</item>
    </izvorni_sadrzaj>
    <derivirana_varijabla naziv="DomainObject.Predmet.ProtuStrankaListFormatedOIB_1">
      <item>LEVITAS d.o.o.  za projektiranje i građenje u stečaju, OIB 70637629365</item>
    </derivirana_varijabla>
  </DomainObject.Predmet.ProtuStrankaListFormatedOIB>
  <DomainObject.Predmet.ProtuStrankaListFormatedWithAdress>
    <izvorni_sadrzaj>
      <item>LEVITAS d.o.o.  za projektiranje i građenje u stečaju, Bana Jelačića 40/a, 21220 Slatine</item>
    </izvorni_sadrzaj>
    <derivirana_varijabla naziv="DomainObject.Predmet.ProtuStrankaListFormatedWithAdress_1">
      <item>LEVITAS d.o.o.  za projektiranje i građenje u stečaju, Bana Jelačića 40/a, 21220 Slatine</item>
    </derivirana_varijabla>
  </DomainObject.Predmet.ProtuStrankaListFormatedWithAdress>
  <DomainObject.Predmet.ProtuStrankaListFormatedWithAdressOIB>
    <izvorni_sadrzaj>
      <item>LEVITAS d.o.o.  za projektiranje i građenje u stečaju, OIB 70637629365, Bana Jelačića 40/a, 21220 Slatine</item>
    </izvorni_sadrzaj>
    <derivirana_varijabla naziv="DomainObject.Predmet.ProtuStrankaListFormatedWithAdressOIB_1">
      <item>LEVITAS d.o.o.  za projektiranje i građenje u stečaju, OIB 70637629365, Bana Jelačića 40/a, 21220 Slatine</item>
    </derivirana_varijabla>
  </DomainObject.Predmet.ProtuStrankaListFormatedWithAdressOIB>
  <DomainObject.Predmet.ProtuStrankaListNazivFormated>
    <izvorni_sadrzaj>
      <item>LEVITAS d.o.o.  za projektiranje i građenje u stečaju</item>
    </izvorni_sadrzaj>
    <derivirana_varijabla naziv="DomainObject.Predmet.ProtuStrankaListNazivFormated_1">
      <item>LEVITAS d.o.o.  za projektiranje i građenje u stečaju</item>
    </derivirana_varijabla>
  </DomainObject.Predmet.ProtuStrankaListNazivFormated>
  <DomainObject.Predmet.ProtuStrankaListNazivFormatedOIB>
    <izvorni_sadrzaj>
      <item>LEVITAS d.o.o.  za projektiranje i građenje u stečaju, OIB 70637629365</item>
    </izvorni_sadrzaj>
    <derivirana_varijabla naziv="DomainObject.Predmet.ProtuStrankaListNazivFormatedOIB_1">
      <item>LEVITAS d.o.o.  za projektiranje i građenje u stečaju, OIB 70637629365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Pž-2278/2019-2</izvorni_sadrzaj>
    <derivirana_varijabla naziv="DomainObject.PoslovniBrojDokumenta_1">Pž-2278/2019-2</derivirana_varijabla>
  </DomainObject.PoslovniBrojDokumenta>
  <DomainObject.Predmet.StrankaIDrugi>
    <izvorni_sadrzaj/>
    <derivirana_varijabla naziv="DomainObject.Predmet.StrankaIDrugi_1"/>
  </DomainObject.Predmet.StrankaIDrugi>
  <DomainObject.Predmet.ProtustrankaIDrugi>
    <izvorni_sadrzaj>LEVITAS d.o.o.  za projektiranje i građenje u stečaju</izvorni_sadrzaj>
    <derivirana_varijabla naziv="DomainObject.Predmet.ProtustrankaIDrugi_1">LEVITAS d.o.o.  za projektiranje i građenje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LEVITAS d.o.o.  za projektiranje i građenje u stečaju, OIB 70637629365, Bana Jelačića 40/a, 21220 Slatine</izvorni_sadrzaj>
    <derivirana_varijabla naziv="DomainObject.Predmet.ProtustrankaIDrugiAdressOIB_1">LEVITAS d.o.o.  za projektiranje i građenje u stečaju, OIB 70637629365, Bana Jelačića 40/a,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travnja 2019.</izvorni_sadrzaj>
    <derivirana_varijabla naziv="DomainObject.Predmet.OdlukaRjesenje.DatumDonosenjaOdluke_1">16.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Pž-2278/2019-2</izvorni_sadrzaj>
    <derivirana_varijabla naziv="DomainObject.Predmet.OdlukaRjesenje.Oznaka_1">Pž-2278/2019-2</derivirana_varijabla>
  </DomainObject.Predmet.OdlukaRjesenje.Oznaka>
  <DomainObject.Predmet.SudioniciListNaziv>
    <izvorni_sadrzaj>
      <item>LEVITAS d.o.o.  za projektiranje i građenje u stečaju</item>
    </izvorni_sadrzaj>
    <derivirana_varijabla naziv="DomainObject.Predmet.SudioniciListNaziv_1">
      <item>LEVITAS d.o.o.  za projektiranje i građenje u stečaju</item>
    </derivirana_varijabla>
    <derivirana_varijabla naziv="OstaliSudionici">
      <item>LEVITAS d.o.o.  za projektiranje i građenje u stečaju</item>
    </derivirana_varijabla>
  </DomainObject.Predmet.SudioniciListNaziv>
  <DomainObject.Predmet.SudioniciListAdressOIB>
    <izvorni_sadrzaj>
      <item>LEVITAS d.o.o.  za projektiranje i građenje u stečaju, OIB 70637629365, Bana Jelačića 40/a,21220 Slatine</item>
    </izvorni_sadrzaj>
    <derivirana_varijabla naziv="DomainObject.Predmet.SudioniciListAdressOIB_1">
      <item>LEVITAS d.o.o.  za projektiranje i građenje u stečaju, OIB 70637629365, Bana Jelačića 40/a,21220 Slatine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70637629365</item>
    </izvorni_sadrzaj>
    <derivirana_varijabla naziv="DomainObject.Predmet.SudioniciListNazivOIB_1">
      <item>, OIB 70637629365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St-213/2018</izvorni_sadrzaj>
    <derivirana_varijabla naziv="DomainObject.Predmet.OznakaNizestupanjskogPredmeta_1">St-213/2018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FE8BB5-CAA4-4930-A457-F48AFBEF09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1609</properties:Words>
  <properties:Characters>9203</properties:Characters>
  <properties:Lines>170</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2019-05-15T09:47:00Z</dcterms:created>
  <dc:creator>Ivan Bauk</dc:creator>
  <dc:description>Ovaj predložak služi kao osnova za kreiranje novih eSPIS predložaka te za upravljanje eSPIS funkcijama tijekom obrade sudskih dokumenata.</dc:description>
  <cp:lastModifiedBy>Ana Golub Gruić</cp:lastModifiedBy>
  <cp:lastPrinted>2019-05-06T08:23:00Z</cp:lastPrinted>
  <dcterms:modified xmlns:xsi="http://www.w3.org/2001/XMLSchema-instance" xsi:type="dcterms:W3CDTF">2019-05-15T09:48:00Z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