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d95a" w14:paraId="b3cd95a" w:rsidRDefault="00ED3EE7" w:rsidR="005C2AB2">
      <w:pPr>
        <w:jc w:val="both"/>
        <w15:collapsed w:val="false"/>
        <w:rPr>
          <w:rFonts w:cs="Arial" w:hAnsi="Arial" w:ascii="Arial"/>
        </w:rPr>
      </w:pPr>
      <w:bookmarkStart w:name="_GoBack" w:id="0"/>
      <w:bookmarkEnd w:id="0"/>
      <w:r>
        <w:rPr>
          <w:rFonts w:cs="Arial" w:hAnsi="Arial" w:ascii="Arial"/>
        </w:rPr>
        <w:t xml:space="preserve">                                                             Obrazac 21.</w:t>
      </w:r>
    </w:p>
    <w:p w:rsidRDefault="00ED3EE7" w:rsidR="005C2AB2">
      <w:pPr>
        <w:jc w:val="both"/>
        <w:rPr>
          <w:rFonts w:cs="Arial" w:hAnsi="Arial" w:ascii="Arial"/>
          <w:b/>
        </w:rPr>
      </w:pPr>
      <w:r>
        <w:rPr>
          <w:rFonts w:cs="Arial" w:hAnsi="Arial" w:ascii="Arial"/>
          <w:b/>
        </w:rPr>
        <w:t xml:space="preserve">   IZVJEŠĆE STEČAJNOG UPRAVITELJA O STANJU STEČAJNE MASE U RAZDOBLJU </w:t>
      </w:r>
    </w:p>
    <w:p w:rsidRDefault="00ED3EE7" w:rsidR="005C2AB2">
      <w:pPr>
        <w:jc w:val="both"/>
        <w:rPr>
          <w:rFonts w:cs="Arial" w:hAnsi="Arial" w:ascii="Arial"/>
          <w:b/>
        </w:rPr>
      </w:pPr>
      <w:r>
        <w:rPr>
          <w:rFonts w:cs="Arial" w:hAnsi="Arial" w:ascii="Arial"/>
          <w:b/>
        </w:rPr>
        <w:t xml:space="preserve">                                       OD 10. 06. 2018.g. DO 10. 09. 2018.g.</w:t>
      </w:r>
    </w:p>
    <w:p w:rsidRDefault="005C2AB2" w:rsidR="005C2AB2">
      <w:pPr>
        <w:jc w:val="both"/>
        <w:rPr>
          <w:rFonts w:cs="Arial" w:hAnsi="Arial" w:ascii="Arial"/>
          <w:b/>
        </w:rPr>
      </w:pPr>
    </w:p>
    <w:p w:rsidRDefault="005C2AB2" w:rsidR="005C2AB2">
      <w:pPr>
        <w:jc w:val="both"/>
        <w:rPr>
          <w:rFonts w:cs="Arial" w:hAnsi="Arial" w:ascii="Arial"/>
        </w:rPr>
      </w:pPr>
    </w:p>
    <w:p w:rsidRDefault="00ED3EE7" w:rsidR="005C2AB2">
      <w:pPr>
        <w:jc w:val="both"/>
        <w:rPr>
          <w:rFonts w:cs="Arial" w:hAnsi="Arial" w:ascii="Arial"/>
        </w:rPr>
      </w:pPr>
      <w:r>
        <w:rPr>
          <w:rFonts w:cs="Arial" w:hAnsi="Arial" w:ascii="Arial"/>
        </w:rPr>
        <w:t>Republika Hrvatska</w:t>
      </w:r>
    </w:p>
    <w:p w:rsidRDefault="00ED3EE7" w:rsidR="005C2AB2">
      <w:pPr>
        <w:jc w:val="both"/>
        <w:rPr>
          <w:rFonts w:cs="Arial" w:hAnsi="Arial" w:ascii="Arial"/>
        </w:rPr>
      </w:pPr>
      <w:r>
        <w:rPr>
          <w:rFonts w:cs="Arial" w:hAnsi="Arial" w:ascii="Arial"/>
        </w:rPr>
        <w:t>Trgovački sud u Zagrebu</w:t>
      </w:r>
    </w:p>
    <w:p w:rsidRDefault="00ED3EE7" w:rsidR="005C2AB2">
      <w:pPr>
        <w:jc w:val="both"/>
        <w:rPr>
          <w:rFonts w:cs="Arial" w:hAnsi="Arial" w:ascii="Arial"/>
        </w:rPr>
      </w:pPr>
      <w:r>
        <w:rPr>
          <w:rFonts w:cs="Arial" w:hAnsi="Arial" w:ascii="Arial"/>
        </w:rPr>
        <w:t>Zagreb, Amruševa 2/II</w:t>
      </w:r>
    </w:p>
    <w:p w:rsidRDefault="005C2AB2" w:rsidR="005C2AB2">
      <w:pPr>
        <w:jc w:val="both"/>
        <w:rPr>
          <w:rFonts w:cs="Arial" w:hAnsi="Arial" w:ascii="Arial"/>
        </w:rPr>
      </w:pPr>
    </w:p>
    <w:p w:rsidRDefault="00ED3EE7" w:rsidR="005C2AB2">
      <w:pPr>
        <w:jc w:val="both"/>
        <w:rPr>
          <w:rFonts w:cs="Arial" w:hAnsi="Arial" w:ascii="Arial"/>
        </w:rPr>
      </w:pPr>
      <w:r>
        <w:rPr>
          <w:rFonts w:cs="Arial" w:hAnsi="Arial" w:ascii="Arial"/>
        </w:rPr>
        <w:t>Poslovni broj spisa: 47. St -730/12 – 72</w:t>
      </w:r>
    </w:p>
    <w:p w:rsidRDefault="00ED3EE7" w:rsidR="005C2AB2">
      <w:pPr>
        <w:jc w:val="both"/>
        <w:rPr>
          <w:rFonts w:cs="Arial" w:hAnsi="Arial" w:ascii="Arial"/>
        </w:rPr>
      </w:pPr>
      <w:r>
        <w:rPr>
          <w:rFonts w:cs="Arial" w:hAnsi="Arial" w:ascii="Arial"/>
        </w:rPr>
        <w:t>Dužnik: stečajna masa iza AUTOCENTAR – RIZZITELLI d.o.o.</w:t>
      </w:r>
    </w:p>
    <w:p w:rsidRDefault="00ED3EE7" w:rsidR="005C2AB2">
      <w:pPr>
        <w:jc w:val="both"/>
        <w:rPr>
          <w:rFonts w:cs="Arial" w:hAnsi="Arial" w:ascii="Arial"/>
        </w:rPr>
      </w:pPr>
      <w:r>
        <w:rPr>
          <w:rFonts w:cs="Arial" w:hAnsi="Arial" w:ascii="Arial"/>
        </w:rPr>
        <w:t>OIB: 54905468870</w:t>
      </w:r>
    </w:p>
    <w:p w:rsidRDefault="00ED3EE7" w:rsidR="005C2AB2">
      <w:pPr>
        <w:jc w:val="both"/>
        <w:rPr>
          <w:rFonts w:cs="Arial" w:hAnsi="Arial" w:ascii="Arial"/>
        </w:rPr>
      </w:pPr>
      <w:r>
        <w:rPr>
          <w:rFonts w:cs="Arial" w:hAnsi="Arial" w:ascii="Arial"/>
        </w:rPr>
        <w:t>Adresa: st. upravitelj Ivica Boltužić, Jordanovac 113, Zagreb</w:t>
      </w:r>
    </w:p>
    <w:p w:rsidRDefault="005C2AB2" w:rsidR="005C2AB2">
      <w:pPr>
        <w:jc w:val="both"/>
        <w:rPr>
          <w:rFonts w:cs="Arial" w:hAnsi="Arial" w:ascii="Arial"/>
        </w:rPr>
      </w:pPr>
    </w:p>
    <w:p w:rsidRDefault="005C2AB2" w:rsidR="005C2AB2">
      <w:pPr>
        <w:jc w:val="both"/>
        <w:rPr>
          <w:rFonts w:cs="Arial" w:hAnsi="Arial" w:ascii="Arial"/>
        </w:rPr>
      </w:pPr>
    </w:p>
    <w:p w:rsidRDefault="00ED3EE7" w:rsidR="005C2AB2">
      <w:pPr>
        <w:pStyle w:val="Odlomakpopisa"/>
        <w:numPr>
          <w:ilvl w:val="0"/>
          <w:numId w:val="2"/>
        </w:numPr>
        <w:jc w:val="both"/>
        <w:rPr>
          <w:rFonts w:cs="Arial" w:hAnsi="Arial" w:ascii="Arial"/>
        </w:rPr>
      </w:pPr>
      <w:r>
        <w:rPr>
          <w:rFonts w:cs="Arial" w:hAnsi="Arial" w:ascii="Arial"/>
        </w:rPr>
        <w:t>STANJE STEČAJNE MASE NAKON ZAVRŠNOG ROČIŠTA, ODNOSNO ZAKLJUČENJA STEČAJNOG POSTUPKA</w:t>
      </w:r>
    </w:p>
    <w:p w:rsidRDefault="005C2AB2" w:rsidR="005C2AB2">
      <w:pPr>
        <w:ind w:left="360"/>
        <w:jc w:val="both"/>
        <w:rPr>
          <w:rFonts w:cs="Arial" w:hAnsi="Arial" w:ascii="Arial"/>
        </w:rPr>
      </w:pPr>
    </w:p>
    <w:p w:rsidRDefault="00ED3EE7" w:rsidR="005C2AB2">
      <w:pPr>
        <w:jc w:val="both"/>
        <w:rPr>
          <w:rFonts w:cs="Arial" w:hAnsi="Arial" w:ascii="Arial"/>
        </w:rPr>
      </w:pPr>
      <w:r>
        <w:rPr>
          <w:rFonts w:cs="Arial" w:hAnsi="Arial" w:ascii="Arial"/>
        </w:rPr>
        <w:t>Rješenjem Trgovačkog suda u Zagrebu broj Sts – 4563/01 nad stečajnim dužnikom AUTOCENTAR-RIZZITELLI d.o.o., od 18. rujna 2002. godine, otvoren je i istovremeno zaključen sumarni eliminacijski stečajni postupak. Nakon zaključenja stečajnog postupka, a sukladno članku 289. Stečajnog zakona („Narodne novine“ broj 71/15, dalje SZ) ostvarena je pretpostavka za nastavak stečajnog postupka temeljem pronađene imovine. Naknadno je utvrđeno da imovina stečajnog dužnika ipak postoji, a koja je u njegovom vlasništvu, iako je stečajni dužnik prestao postojati.</w:t>
      </w:r>
    </w:p>
    <w:p w:rsidRDefault="00ED3EE7" w:rsidR="005C2AB2">
      <w:pPr>
        <w:jc w:val="both"/>
        <w:rPr>
          <w:rFonts w:cs="Arial" w:hAnsi="Arial" w:ascii="Arial"/>
        </w:rPr>
      </w:pPr>
      <w:r>
        <w:rPr>
          <w:rFonts w:cs="Arial" w:hAnsi="Arial" w:ascii="Arial"/>
        </w:rPr>
        <w:t>Rješenjem Trgovačkog suda u Zagrebu br. 47 St-730/12 od 24. siječnja 2014. godine nastavljen je stečajni postupak nad stečajnom masom iza AUTOCENTAR – RIZZITELLI d.o.o..</w:t>
      </w:r>
    </w:p>
    <w:p w:rsidRDefault="00ED3EE7" w:rsidR="005C2AB2">
      <w:pPr>
        <w:jc w:val="both"/>
        <w:rPr>
          <w:rFonts w:cs="Arial" w:hAnsi="Arial" w:ascii="Arial"/>
        </w:rPr>
      </w:pPr>
      <w:r>
        <w:rPr>
          <w:rFonts w:cs="Arial" w:hAnsi="Arial" w:ascii="Arial"/>
        </w:rPr>
        <w:t>Stečajna masa iza AUTOCENTAR – RIZZITELLI d.o.o., sastoji se od:</w:t>
      </w:r>
    </w:p>
    <w:p w:rsidRDefault="00ED3EE7" w:rsidR="005C2AB2">
      <w:pPr>
        <w:pStyle w:val="Odlomakpopisa"/>
        <w:numPr>
          <w:ilvl w:val="0"/>
          <w:numId w:val="3"/>
        </w:numPr>
        <w:jc w:val="both"/>
        <w:rPr>
          <w:rFonts w:cs="Arial" w:hAnsi="Arial" w:ascii="Arial"/>
        </w:rPr>
      </w:pPr>
      <w:r>
        <w:rPr>
          <w:rFonts w:cs="Arial" w:hAnsi="Arial" w:ascii="Arial"/>
        </w:rPr>
        <w:t>Nekretnine upisane u z.k. ul. 5794 k.o. Novi Sisak, z.k. odjel Sisak, a sastoji se od kat. čestice 1114/17 i to kuća od 145m2 i dvorište od 338m2 (dalje nekretnine).</w:t>
      </w:r>
    </w:p>
    <w:p w:rsidRDefault="00ED3EE7" w:rsidR="005C2AB2">
      <w:pPr>
        <w:jc w:val="both"/>
        <w:rPr>
          <w:rFonts w:cs="Arial" w:hAnsi="Arial" w:ascii="Arial"/>
        </w:rPr>
      </w:pPr>
      <w:r>
        <w:rPr>
          <w:rFonts w:cs="Arial" w:hAnsi="Arial" w:ascii="Arial"/>
        </w:rPr>
        <w:t>Vrijednost nekretnina utvrđena je u sveukupnom iznosu od 884.757,90 kuna.</w:t>
      </w:r>
    </w:p>
    <w:p w:rsidRDefault="005C2AB2" w:rsidR="005C2AB2">
      <w:pPr>
        <w:ind w:left="708"/>
        <w:jc w:val="both"/>
        <w:rPr>
          <w:rFonts w:cs="Arial" w:hAnsi="Arial" w:ascii="Arial"/>
        </w:rPr>
      </w:pPr>
    </w:p>
    <w:p w:rsidRDefault="005C2AB2" w:rsidR="005C2AB2">
      <w:pPr>
        <w:ind w:left="708"/>
        <w:jc w:val="both"/>
        <w:rPr>
          <w:rFonts w:cs="Arial" w:hAnsi="Arial" w:ascii="Arial"/>
        </w:rPr>
      </w:pPr>
    </w:p>
    <w:p w:rsidRDefault="00ED3EE7" w:rsidR="005C2AB2">
      <w:pPr>
        <w:jc w:val="both"/>
        <w:rPr>
          <w:rFonts w:cs="Arial" w:hAnsi="Arial" w:ascii="Arial"/>
        </w:rPr>
      </w:pPr>
      <w:r>
        <w:rPr>
          <w:rFonts w:cs="Arial" w:hAnsi="Arial" w:ascii="Arial"/>
        </w:rPr>
        <w:t xml:space="preserve">       II.         POSTUPANJE SA STEČAJNOM MASOM</w:t>
      </w:r>
    </w:p>
    <w:p w:rsidRDefault="005C2AB2" w:rsidR="005C2AB2">
      <w:pPr>
        <w:ind w:left="708"/>
        <w:jc w:val="both"/>
        <w:rPr>
          <w:rFonts w:cs="Arial" w:hAnsi="Arial" w:ascii="Arial"/>
        </w:rPr>
      </w:pPr>
    </w:p>
    <w:p w:rsidRDefault="00ED3EE7" w:rsidR="005C2AB2">
      <w:pPr>
        <w:jc w:val="both"/>
        <w:rPr>
          <w:rFonts w:cs="Arial" w:hAnsi="Arial" w:ascii="Arial"/>
        </w:rPr>
      </w:pPr>
      <w:r>
        <w:rPr>
          <w:rFonts w:cs="Arial" w:hAnsi="Arial" w:ascii="Arial"/>
        </w:rPr>
        <w:t xml:space="preserve">Trgovački sud u Zagrebu donio je dana 21.ožujka 2018. godine zaključak kojim se određuje drugo ročište za usmenu javnu dražbu radi prodaje nekretnine u vlasništvu stečajnog </w:t>
      </w:r>
      <w:r>
        <w:rPr>
          <w:rFonts w:cs="Arial" w:hAnsi="Arial" w:ascii="Arial"/>
        </w:rPr>
        <w:lastRenderedPageBreak/>
        <w:t xml:space="preserve">dužnika. Prvo ročište za usmenu javnu dražbu održano je 5. srpnja 2017. godine u zgradi Trgovačkog suda u Zagrebu. Na navedenom ročištu nije bilo kupaca koji su uplatili jamčevinu, a razlučni vjerovnik je naveo da se ne prijavljuje kao kupac. Utvrđena vrijednost nekretnine za drugo ročište za javnu dražbu iznosila je isto kao i za prvo 884.757,90 kn. Na drugom ročištu nije bilo kupaca koji su uplatili jamčevinu. Dana 05. lipnja 2018. godine Trgovački sud u Zagrebu donio je zaključak  o prodaji na 3. ročištu za javnu dražbu, koja se je održala 18. srpnja 2018. godine, po početnoj cijeni od 619.330,53 kn. Na trećem ročištu također nije bilo kupaca koji su uplatili jamčevinu. Dana 18. srpnja 2018. godine Trgovački sud u Zagrebu donio je zaključak o prodaji na 4. ročištu za javnu dražbu, koja će se održati 19. rujna 2018. godine, po početnoj cijeni od 433.531,37 kn. </w:t>
      </w:r>
    </w:p>
    <w:p w:rsidRDefault="00ED3EE7" w:rsidR="005C2AB2">
      <w:pPr>
        <w:jc w:val="both"/>
        <w:rPr>
          <w:rFonts w:cs="Arial" w:hAnsi="Arial" w:ascii="Arial"/>
        </w:rPr>
      </w:pPr>
      <w:r>
        <w:rPr>
          <w:rFonts w:cs="Arial" w:hAnsi="Arial" w:ascii="Arial"/>
        </w:rPr>
        <w:t>Potrebno je napomenut, da u spomenutoj  nekretnini nitko ne živi od 2002. godine te je ista prepuštena propadanju.</w:t>
      </w:r>
    </w:p>
    <w:p w:rsidRDefault="005C2AB2" w:rsidR="005C2AB2">
      <w:pPr>
        <w:ind w:left="708"/>
        <w:jc w:val="both"/>
        <w:rPr>
          <w:rFonts w:cs="Arial" w:hAnsi="Arial" w:ascii="Arial"/>
        </w:rPr>
      </w:pPr>
    </w:p>
    <w:p w:rsidRDefault="005C2AB2" w:rsidR="005C2AB2">
      <w:pPr>
        <w:ind w:left="708"/>
        <w:jc w:val="both"/>
        <w:rPr>
          <w:rFonts w:cs="Arial" w:hAnsi="Arial" w:ascii="Arial"/>
        </w:rPr>
      </w:pPr>
    </w:p>
    <w:p w:rsidRDefault="00ED3EE7" w:rsidR="005C2AB2">
      <w:pPr>
        <w:ind w:left="360"/>
        <w:jc w:val="both"/>
        <w:rPr>
          <w:rFonts w:cs="Arial" w:hAnsi="Arial" w:ascii="Arial"/>
        </w:rPr>
      </w:pPr>
      <w:r>
        <w:rPr>
          <w:rFonts w:cs="Arial" w:hAnsi="Arial" w:ascii="Arial"/>
        </w:rPr>
        <w:t>III.  PRIJEDLOG NAKNADNE DIOBE PREMA ZAVRŠNOM POPISU AKO SE     PREOSTALA STEČAJNA MASA DIJELI STEČAJNIM VJEROVNICIMA</w:t>
      </w:r>
    </w:p>
    <w:p w:rsidRDefault="005C2AB2" w:rsidR="005C2AB2">
      <w:pPr>
        <w:ind w:left="360"/>
        <w:jc w:val="both"/>
        <w:rPr>
          <w:rFonts w:cs="Arial" w:hAnsi="Arial" w:ascii="Arial"/>
        </w:rPr>
      </w:pPr>
    </w:p>
    <w:p w:rsidRDefault="00ED3EE7" w:rsidR="005C2AB2">
      <w:pPr>
        <w:jc w:val="both"/>
        <w:rPr>
          <w:rFonts w:cs="Arial" w:hAnsi="Arial" w:ascii="Arial"/>
        </w:rPr>
      </w:pPr>
      <w:r>
        <w:rPr>
          <w:rFonts w:cs="Arial" w:hAnsi="Arial" w:ascii="Arial"/>
        </w:rPr>
        <w:t xml:space="preserve">Jedini razlučni vjerovnik, temeljem zaloga na nekretnini, je OTP banka d.d., Zadar, Domovinskog rata 3, OIB: 52508873833 (dalje OTP banka). OTP banka je pravni slijednik Dalmatinske banke d.d., Zadar čije je založno pravo uknjiženo na nekretnine. </w:t>
      </w:r>
    </w:p>
    <w:p w:rsidRDefault="00ED3EE7" w:rsidR="005C2AB2">
      <w:pPr>
        <w:jc w:val="both"/>
        <w:rPr>
          <w:rFonts w:cs="Arial" w:hAnsi="Arial" w:ascii="Arial"/>
        </w:rPr>
      </w:pPr>
      <w:r>
        <w:rPr>
          <w:rFonts w:cs="Arial" w:hAnsi="Arial" w:ascii="Arial"/>
        </w:rPr>
        <w:t xml:space="preserve">U ovom slučaju stečajni postupak nad stečajnom masom iza AUTOCENTAR-RIZZITELLI d.o.o., se vodi samo radi namirenja navedenog razlučnog vjerovnika, jer stečajne mase osim nekretnina koje su opterećene razlučnim pravom, nema. </w:t>
      </w:r>
    </w:p>
    <w:p w:rsidRDefault="005C2AB2" w:rsidR="005C2AB2">
      <w:pPr>
        <w:jc w:val="both"/>
        <w:rPr>
          <w:rFonts w:cs="Arial" w:hAnsi="Arial" w:ascii="Arial"/>
        </w:rPr>
      </w:pPr>
    </w:p>
    <w:p w:rsidRDefault="00ED3EE7" w:rsidR="005C2AB2">
      <w:pPr>
        <w:jc w:val="both"/>
        <w:rPr>
          <w:rFonts w:cs="Arial" w:hAnsi="Arial" w:ascii="Arial"/>
        </w:rPr>
      </w:pPr>
      <w:r>
        <w:rPr>
          <w:rFonts w:cs="Arial" w:hAnsi="Arial" w:ascii="Arial"/>
        </w:rPr>
        <w:t xml:space="preserve"> </w:t>
      </w:r>
    </w:p>
    <w:p w:rsidRDefault="00ED3EE7" w:rsidR="005C2AB2">
      <w:pPr>
        <w:jc w:val="both"/>
        <w:rPr>
          <w:rFonts w:cs="Arial" w:hAnsi="Arial" w:ascii="Arial"/>
        </w:rPr>
      </w:pPr>
      <w:r>
        <w:rPr>
          <w:rFonts w:cs="Arial" w:hAnsi="Arial" w:ascii="Arial"/>
        </w:rPr>
        <w:t>Zagreb, 10. rujna 2018. godine</w:t>
      </w:r>
    </w:p>
    <w:p w:rsidRDefault="005C2AB2" w:rsidR="005C2AB2">
      <w:pPr>
        <w:ind w:left="708"/>
        <w:jc w:val="both"/>
        <w:rPr>
          <w:rFonts w:cs="Arial" w:hAnsi="Arial" w:ascii="Arial"/>
        </w:rPr>
      </w:pPr>
    </w:p>
    <w:p w:rsidRDefault="00ED3EE7" w:rsidR="005C2AB2">
      <w:pPr>
        <w:ind w:left="708"/>
        <w:jc w:val="both"/>
        <w:rPr>
          <w:rFonts w:cs="Arial" w:hAnsi="Arial" w:ascii="Arial"/>
        </w:rPr>
      </w:pPr>
      <w:r>
        <w:rPr>
          <w:rFonts w:cs="Arial" w:hAnsi="Arial" w:ascii="Arial"/>
        </w:rPr>
        <w:t xml:space="preserve">                                                                                               Stečajni upravitelj</w:t>
      </w:r>
    </w:p>
    <w:p w:rsidRDefault="00ED3EE7" w:rsidR="005C2AB2">
      <w:pPr>
        <w:ind w:left="708"/>
        <w:jc w:val="both"/>
        <w:rPr>
          <w:rFonts w:cs="Arial" w:hAnsi="Arial" w:ascii="Arial"/>
        </w:rPr>
      </w:pPr>
      <w:r>
        <w:rPr>
          <w:rFonts w:cs="Arial" w:hAnsi="Arial" w:ascii="Arial"/>
        </w:rPr>
        <w:t xml:space="preserve">                                                                                                Ivica Boltužić</w:t>
      </w:r>
    </w:p>
    <w:p w:rsidRDefault="005C2AB2" w:rsidR="005C2AB2"/>
    <w:p w:rsidRDefault="005C2AB2" w:rsidR="005C2AB2"/>
    <w:sectPr w:rsidR="005C2AB2">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EE7" w:rsidR="00331926">
      <w:pPr>
        <w:spacing w:after="0"/>
      </w:pPr>
      <w:r>
        <w:separator/>
      </w:r>
    </w:p>
  </w:endnote>
  <w:endnote w:id="0" w:type="continuationSeparator">
    <w:p w:rsidRDefault="00ED3EE7" w:rsidR="0033192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3EE7" w:rsidR="00860857">
    <w:pPr>
      <w:pStyle w:val="Podnoje"/>
      <w:jc w:val="right"/>
    </w:pPr>
    <w:r>
      <w:fldChar w:fldCharType="begin"/>
    </w:r>
    <w:r>
      <w:instrText xml:space="preserve"> PAGE </w:instrText>
    </w:r>
    <w:r>
      <w:fldChar w:fldCharType="separate"/>
    </w:r>
    <w:r w:rsidR="002A2157">
      <w:rPr>
        <w:noProof/>
      </w:rPr>
      <w:t>1</w:t>
    </w:r>
    <w:r>
      <w:fldChar w:fldCharType="end"/>
    </w:r>
  </w:p>
  <w:p w:rsidRDefault="002A2157" w:rsidR="008608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EE7" w:rsidR="00331926">
      <w:pPr>
        <w:spacing w:after="0"/>
      </w:pPr>
      <w:r>
        <w:rPr>
          <w:color w:val="000000"/>
        </w:rPr>
        <w:separator/>
      </w:r>
    </w:p>
  </w:footnote>
  <w:footnote w:id="0" w:type="continuationSeparator">
    <w:p w:rsidRDefault="00ED3EE7" w:rsidR="0033192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2157" w:rsidR="0086085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B5D7B"/>
    <w:multiLevelType w:val="multilevel"/>
    <w:tmpl w:val="2976F10C"/>
    <w:lvl w:ilvl="0">
      <w:numFmt w:val="bullet"/>
      <w:lvlText w:val="-"/>
      <w:lvlJc w:val="left"/>
      <w:pPr>
        <w:ind w:hanging="360" w:left="1068"/>
      </w:pPr>
      <w:rPr>
        <w:rFonts w:cs="Arial" w:eastAsia="Calibri" w:hAnsi="Arial" w:ascii="Arial"/>
      </w:rPr>
    </w:lvl>
    <w:lvl w:ilvl="1">
      <w:numFmt w:val="bullet"/>
      <w:lvlText w:val="o"/>
      <w:lvlJc w:val="left"/>
      <w:pPr>
        <w:ind w:hanging="360" w:left="1788"/>
      </w:pPr>
      <w:rPr>
        <w:rFonts w:cs="Courier New" w:hAnsi="Courier New" w:ascii="Courier New"/>
      </w:rPr>
    </w:lvl>
    <w:lvl w:ilvl="2">
      <w:numFmt w:val="bullet"/>
      <w:lvlText w:val=""/>
      <w:lvlJc w:val="left"/>
      <w:pPr>
        <w:ind w:hanging="360" w:left="2508"/>
      </w:pPr>
      <w:rPr>
        <w:rFonts w:hAnsi="Wingdings" w:ascii="Wingdings"/>
      </w:rPr>
    </w:lvl>
    <w:lvl w:ilvl="3">
      <w:numFmt w:val="bullet"/>
      <w:lvlText w:val=""/>
      <w:lvlJc w:val="left"/>
      <w:pPr>
        <w:ind w:hanging="360" w:left="3228"/>
      </w:pPr>
      <w:rPr>
        <w:rFonts w:hAnsi="Symbol" w:ascii="Symbol"/>
      </w:rPr>
    </w:lvl>
    <w:lvl w:ilvl="4">
      <w:numFmt w:val="bullet"/>
      <w:lvlText w:val="o"/>
      <w:lvlJc w:val="left"/>
      <w:pPr>
        <w:ind w:hanging="360" w:left="3948"/>
      </w:pPr>
      <w:rPr>
        <w:rFonts w:cs="Courier New" w:hAnsi="Courier New" w:ascii="Courier New"/>
      </w:rPr>
    </w:lvl>
    <w:lvl w:ilvl="5">
      <w:numFmt w:val="bullet"/>
      <w:lvlText w:val=""/>
      <w:lvlJc w:val="left"/>
      <w:pPr>
        <w:ind w:hanging="360" w:left="4668"/>
      </w:pPr>
      <w:rPr>
        <w:rFonts w:hAnsi="Wingdings" w:ascii="Wingdings"/>
      </w:rPr>
    </w:lvl>
    <w:lvl w:ilvl="6">
      <w:numFmt w:val="bullet"/>
      <w:lvlText w:val=""/>
      <w:lvlJc w:val="left"/>
      <w:pPr>
        <w:ind w:hanging="360" w:left="5388"/>
      </w:pPr>
      <w:rPr>
        <w:rFonts w:hAnsi="Symbol" w:ascii="Symbol"/>
      </w:rPr>
    </w:lvl>
    <w:lvl w:ilvl="7">
      <w:numFmt w:val="bullet"/>
      <w:lvlText w:val="o"/>
      <w:lvlJc w:val="left"/>
      <w:pPr>
        <w:ind w:hanging="360" w:left="6108"/>
      </w:pPr>
      <w:rPr>
        <w:rFonts w:cs="Courier New" w:hAnsi="Courier New" w:ascii="Courier New"/>
      </w:rPr>
    </w:lvl>
    <w:lvl w:ilvl="8">
      <w:numFmt w:val="bullet"/>
      <w:lvlText w:val=""/>
      <w:lvlJc w:val="left"/>
      <w:pPr>
        <w:ind w:hanging="360" w:left="6828"/>
      </w:pPr>
      <w:rPr>
        <w:rFonts w:hAnsi="Wingdings" w:ascii="Wingdings"/>
      </w:rPr>
    </w:lvl>
  </w:abstractNum>
  <w:abstractNum w:abstractNumId="1">
    <w:nsid w:val="7F9129BD"/>
    <w:multiLevelType w:val="multilevel"/>
    <w:tmpl w:val="F7B20CEE"/>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1"/>
    <w:lvlOverride w:ilvl="0">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C2AB2"/>
    <w:rsid w:val="002A2157"/>
    <w:rsid w:val="00331926"/>
    <w:rsid w:val="005C2AB2"/>
    <w:rsid w:val="00ED3E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2A2157"/>
    <w:rPr>
      <w:color w:val="808080"/>
      <w:bdr w:space="0" w:sz="0" w:color="auto" w:val="none"/>
      <w:shd w:fill="auto" w:color="auto" w:val="clear"/>
    </w:rPr>
  </w:style>
  <w:style w:customStyle="true" w:styleId="eSPISCCParagraphDefaultFont" w:type="character">
    <w:name w:val="eSPIS_CC_Paragraph Default Font"/>
    <w:basedOn w:val="Zadanifontodlomka"/>
    <w:rsid w:val="002A2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157"/>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2A2157"/>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2A2157"/>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2A2157"/>
    <w:rPr>
      <w:color w:val="808080"/>
      <w:bdr w:color="auto" w:space="0" w:sz="0" w:val="none"/>
      <w:shd w:color="auto" w:fill="auto" w:val="clear"/>
    </w:rPr>
  </w:style>
  <w:style w:customStyle="1" w:styleId="eSPISCCParagraphDefaultFont" w:type="character">
    <w:name w:val="eSPIS_CC_Paragraph Default Font"/>
    <w:basedOn w:val="Zadanifontodlomka"/>
    <w:rsid w:val="002A21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15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A215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A2157"/>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2819</properties:Characters>
  <properties:Lines>68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2018-09-13T08:15:00Z</dcterms:created>
  <dc:creator>Ivica Boltužić</dc:creator>
  <cp:lastModifiedBy>Monika Grbac</cp:lastModifiedBy>
  <cp:lastPrinted>2018-09-07T07:23:00Z</cp:lastPrinted>
  <dcterms:modified xmlns:xsi="http://www.w3.org/2001/XMLSchema-instance" xsi:type="dcterms:W3CDTF">2018-09-13T08:15:00Z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St-730/2012-108 / Podnesak - Izvješće stečajnog upravitelja (Autocentar-Rizzitelli tromjesečno izvješće st. upravitelja od 10.06.2018 do10.09.2018_.docx)</vt:lpwstr>
  </prop:property>
  <prop:property name="CC_coloring" pid="4" fmtid="{D5CDD505-2E9C-101B-9397-08002B2CF9AE}">
    <vt:bool>false</vt:bool>
  </prop:property>
  <prop:property name="BrojStranica" pid="5" fmtid="{D5CDD505-2E9C-101B-9397-08002B2CF9AE}">
    <vt:i4>2</vt:i4>
  </prop:property>
</prop:Properties>
</file>