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3d0e" w14:paraId="3fc3d0e" w:rsidRDefault="00AB677A" w:rsidP="00AB677A" w:rsidR="00AB677A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77A" w:rsidP="00AB677A" w:rsidR="00AB677A" w:rsidRPr="00D21A2C"/>
    <w:p w:rsidRDefault="00AB677A" w:rsidP="00AB677A" w:rsidR="00AB677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B677A" w:rsidP="00AB677A" w:rsidR="00AB677A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677A" w:rsidP="00AB677A" w:rsidR="00AB677A">
      <w:pPr>
        <w:jc w:val="center"/>
      </w:pPr>
    </w:p>
    <w:p w:rsidRDefault="00AB677A" w:rsidP="00AB677A" w:rsidR="00AB677A">
      <w:pPr>
        <w:jc w:val="center"/>
      </w:pPr>
      <w:r>
        <w:t xml:space="preserve">U </w:t>
      </w:r>
      <w:r w:rsidR="00522135">
        <w:t xml:space="preserve"> </w:t>
      </w:r>
      <w:r>
        <w:t>I</w:t>
      </w:r>
      <w:r w:rsidR="00522135">
        <w:t xml:space="preserve"> </w:t>
      </w:r>
      <w:r>
        <w:t>M</w:t>
      </w:r>
      <w:r w:rsidR="00522135">
        <w:t xml:space="preserve"> </w:t>
      </w:r>
      <w:r>
        <w:t>E</w:t>
      </w:r>
      <w:r w:rsidR="00522135">
        <w:t xml:space="preserve"> </w:t>
      </w:r>
      <w:r>
        <w:t xml:space="preserve"> R</w:t>
      </w:r>
      <w:r w:rsidR="00522135">
        <w:t xml:space="preserve"> </w:t>
      </w:r>
      <w:r>
        <w:t>E</w:t>
      </w:r>
      <w:r w:rsidR="00522135">
        <w:t xml:space="preserve"> </w:t>
      </w:r>
      <w:r>
        <w:t>P</w:t>
      </w:r>
      <w:r w:rsidR="00522135">
        <w:t xml:space="preserve"> </w:t>
      </w:r>
      <w:r>
        <w:t>U</w:t>
      </w:r>
      <w:r w:rsidR="00522135">
        <w:t xml:space="preserve"> </w:t>
      </w:r>
      <w:r>
        <w:t>B</w:t>
      </w:r>
      <w:r w:rsidR="00522135">
        <w:t xml:space="preserve"> </w:t>
      </w:r>
      <w:r>
        <w:t>L</w:t>
      </w:r>
      <w:r w:rsidR="00522135">
        <w:t xml:space="preserve"> </w:t>
      </w:r>
      <w:r>
        <w:t>I</w:t>
      </w:r>
      <w:r w:rsidR="00522135">
        <w:t xml:space="preserve"> </w:t>
      </w:r>
      <w:r>
        <w:t>K</w:t>
      </w:r>
      <w:r w:rsidR="00522135">
        <w:t xml:space="preserve"> </w:t>
      </w:r>
      <w:r>
        <w:t xml:space="preserve">E </w:t>
      </w:r>
      <w:r w:rsidR="00522135">
        <w:t xml:space="preserve"> </w:t>
      </w:r>
      <w:r>
        <w:t>H</w:t>
      </w:r>
      <w:r w:rsidR="00522135">
        <w:t xml:space="preserve"> </w:t>
      </w:r>
      <w:r>
        <w:t>R</w:t>
      </w:r>
      <w:r w:rsidR="00522135">
        <w:t xml:space="preserve"> </w:t>
      </w:r>
      <w:r>
        <w:t>V</w:t>
      </w:r>
      <w:r w:rsidR="00522135">
        <w:t xml:space="preserve"> </w:t>
      </w:r>
      <w:r>
        <w:t>A</w:t>
      </w:r>
      <w:r w:rsidR="00522135">
        <w:t xml:space="preserve"> </w:t>
      </w:r>
      <w:r>
        <w:t>T</w:t>
      </w:r>
      <w:r w:rsidR="00522135">
        <w:t xml:space="preserve"> </w:t>
      </w:r>
      <w:r>
        <w:t>S</w:t>
      </w:r>
      <w:r w:rsidR="00522135">
        <w:t xml:space="preserve"> </w:t>
      </w:r>
      <w:r>
        <w:t>K</w:t>
      </w:r>
      <w:r w:rsidR="00522135">
        <w:t xml:space="preserve"> </w:t>
      </w:r>
      <w:r>
        <w:t>E</w:t>
      </w:r>
    </w:p>
    <w:p w:rsidRDefault="00AB677A" w:rsidP="00AB677A" w:rsidR="00AB677A">
      <w:pPr>
        <w:jc w:val="center"/>
      </w:pPr>
    </w:p>
    <w:p w:rsidRDefault="00AB677A" w:rsidP="00AB677A" w:rsidR="00AB677A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AB677A" w:rsidP="00AB677A" w:rsidR="00AB677A"/>
    <w:p w:rsidRDefault="006201F6" w:rsidP="00AB677A" w:rsidR="006201F6" w:rsidRPr="00D14516"/>
    <w:p w:rsidRDefault="00AB677A" w:rsidP="00AB677A" w:rsidR="00AB677A" w:rsidRPr="00D14516">
      <w:pPr>
        <w:ind w:firstLine="708"/>
        <w:jc w:val="both"/>
      </w:pPr>
      <w:r w:rsidRPr="00D14516">
        <w:t xml:space="preserve">Trgovački sud u Osijeku, po </w:t>
      </w:r>
      <w:r>
        <w:t xml:space="preserve">stečajnoj sutkinji Nadi Roso, u stečajnom postupku predlagatelja </w:t>
      </w:r>
      <w:r w:rsidR="009A5709">
        <w:t xml:space="preserve">RH MF Porezna uprava zastupani po ŽDO Osijek, za otvaranje stečajnog postupka nad dužnikom </w:t>
      </w:r>
      <w:r w:rsidR="009A5709">
        <w:rPr>
          <w:b/>
        </w:rPr>
        <w:t>FRAXINUS j.d.o.o. za proizvodnju i trgovinu, MBS: 030152697, OIB: 10327389785, Valpovo, Dobriše Cesarića 52</w:t>
      </w:r>
      <w:r w:rsidRPr="00D14516">
        <w:t>,</w:t>
      </w:r>
      <w:r>
        <w:t xml:space="preserve"> dana </w:t>
      </w:r>
      <w:r w:rsidR="00567782">
        <w:t>5. studenog</w:t>
      </w:r>
      <w:r w:rsidR="00FD37E2">
        <w:t xml:space="preserve"> 2018. g.,</w:t>
      </w:r>
    </w:p>
    <w:p w:rsidRDefault="00AB677A" w:rsidP="00AB677A" w:rsidR="00AB677A">
      <w:pPr>
        <w:tabs>
          <w:tab w:pos="3270" w:val="left"/>
        </w:tabs>
        <w:jc w:val="both"/>
      </w:pPr>
      <w:r>
        <w:tab/>
      </w:r>
    </w:p>
    <w:p w:rsidRDefault="006201F6" w:rsidP="00AB677A" w:rsidR="006201F6">
      <w:pPr>
        <w:tabs>
          <w:tab w:pos="3270" w:val="left"/>
        </w:tabs>
        <w:jc w:val="both"/>
      </w:pPr>
    </w:p>
    <w:p w:rsidRDefault="00AB677A" w:rsidP="00AB677A" w:rsidR="00AB677A" w:rsidRPr="00BA7BA2">
      <w:pPr>
        <w:jc w:val="center"/>
      </w:pPr>
      <w:r w:rsidRPr="00B162A4">
        <w:t>r i j e š i o    j e</w:t>
      </w:r>
      <w:r>
        <w:t xml:space="preserve"> :</w:t>
      </w:r>
    </w:p>
    <w:p w:rsidRDefault="00AB677A" w:rsidP="00AB677A" w:rsidR="00AB677A">
      <w:pPr>
        <w:jc w:val="center"/>
        <w:rPr>
          <w:b/>
        </w:rPr>
      </w:pPr>
    </w:p>
    <w:p w:rsidRDefault="006201F6" w:rsidP="00AB677A" w:rsidR="006201F6">
      <w:pPr>
        <w:jc w:val="center"/>
        <w:rPr>
          <w:b/>
        </w:rPr>
      </w:pPr>
    </w:p>
    <w:p w:rsidRDefault="00AB677A" w:rsidP="00AB677A" w:rsidR="00AB677A">
      <w:pPr>
        <w:numPr>
          <w:ilvl w:val="0"/>
          <w:numId w:val="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9A5709">
        <w:rPr>
          <w:b/>
        </w:rPr>
        <w:t>FRAXINUS j.d.o.o. za proizvodnju i trgovinu, MBS: 030152697, OIB: 10327389785, Valpovo, Dobriše Cesarića 52</w:t>
      </w:r>
      <w:r>
        <w:rPr>
          <w:b/>
        </w:rPr>
        <w:t>.</w:t>
      </w:r>
    </w:p>
    <w:p w:rsidRDefault="00AB677A" w:rsidP="00AB677A" w:rsidR="00AB677A">
      <w:pPr>
        <w:ind w:left="1080"/>
        <w:jc w:val="both"/>
        <w:rPr>
          <w:b/>
        </w:rPr>
      </w:pPr>
    </w:p>
    <w:p w:rsidRDefault="00AB677A" w:rsidP="00AB677A" w:rsidR="00AB677A" w:rsidRPr="00A2109E">
      <w:pPr>
        <w:numPr>
          <w:ilvl w:val="0"/>
          <w:numId w:val="1"/>
        </w:numPr>
        <w:jc w:val="both"/>
        <w:rPr>
          <w:b/>
        </w:rPr>
      </w:pPr>
      <w:r w:rsidRPr="00E33447">
        <w:t>Za stečajnog upravitelja određuje se</w:t>
      </w:r>
      <w:r>
        <w:t xml:space="preserve"> </w:t>
      </w:r>
      <w:r>
        <w:rPr>
          <w:b/>
        </w:rPr>
        <w:t>PREDRAG FILAJDIĆ, Sl. Brod, L. Lukića 65, OIB: 32894922284.</w:t>
      </w:r>
    </w:p>
    <w:p w:rsidRDefault="00AB677A" w:rsidP="00AB677A" w:rsidR="00AB677A" w:rsidRPr="00816867">
      <w:pPr>
        <w:jc w:val="both"/>
        <w:rPr>
          <w:b/>
        </w:rPr>
      </w:pPr>
    </w:p>
    <w:p w:rsidRDefault="00AB677A" w:rsidP="00AB677A" w:rsidR="00AB677A" w:rsidRPr="002F1901">
      <w:pPr>
        <w:numPr>
          <w:ilvl w:val="0"/>
          <w:numId w:val="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9A5709">
        <w:rPr>
          <w:b/>
        </w:rPr>
        <w:t>FRAXINUS j.d.o.o. za proizvodnju i trgovinu, MBS: 030152697, OIB: 10327389785, Valpovo, Dobriše Cesarića 52</w:t>
      </w:r>
      <w:r>
        <w:rPr>
          <w:b/>
        </w:rPr>
        <w:t>.</w:t>
      </w:r>
    </w:p>
    <w:p w:rsidRDefault="00AB677A" w:rsidP="00AB677A" w:rsidR="00AB677A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AB677A" w:rsidP="00AB677A" w:rsidR="00AB677A" w:rsidRPr="0074446F">
      <w:pPr>
        <w:numPr>
          <w:ilvl w:val="0"/>
          <w:numId w:val="1"/>
        </w:numPr>
        <w:jc w:val="both"/>
      </w:pPr>
      <w:r w:rsidRPr="0074446F">
        <w:t xml:space="preserve">Rješenje će se objaviti </w:t>
      </w:r>
      <w:r>
        <w:t>na</w:t>
      </w:r>
      <w:r w:rsidRPr="0074446F">
        <w:t xml:space="preserve"> </w:t>
      </w:r>
      <w:r>
        <w:t>e-oglasnoj ploči suda</w:t>
      </w:r>
      <w:r w:rsidRPr="0074446F">
        <w:t xml:space="preserve">. </w:t>
      </w:r>
    </w:p>
    <w:p w:rsidRDefault="00AB677A" w:rsidP="00AB677A" w:rsidR="00AB677A" w:rsidRPr="0074446F">
      <w:pPr>
        <w:jc w:val="both"/>
      </w:pPr>
    </w:p>
    <w:p w:rsidRDefault="00AB677A" w:rsidP="00AB677A" w:rsidR="00AB677A">
      <w:pPr>
        <w:numPr>
          <w:ilvl w:val="0"/>
          <w:numId w:val="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FD37E2" w:rsidP="00FD37E2" w:rsidR="00FD37E2">
      <w:pPr>
        <w:tabs>
          <w:tab w:pos="1335" w:val="left"/>
        </w:tabs>
        <w:jc w:val="both"/>
      </w:pPr>
      <w:r>
        <w:tab/>
      </w:r>
    </w:p>
    <w:p w:rsidRDefault="00522135" w:rsidP="00AB677A" w:rsidR="00522135">
      <w:pPr>
        <w:jc w:val="both"/>
      </w:pPr>
    </w:p>
    <w:p w:rsidRDefault="00522135" w:rsidP="00AB677A" w:rsidR="00522135">
      <w:pPr>
        <w:jc w:val="both"/>
      </w:pPr>
    </w:p>
    <w:p w:rsidRDefault="00AB677A" w:rsidP="00AB677A" w:rsidR="00AB677A">
      <w:pPr>
        <w:jc w:val="center"/>
      </w:pPr>
      <w:r w:rsidRPr="00B162A4">
        <w:t>Obrazloženje</w:t>
      </w:r>
    </w:p>
    <w:p w:rsidRDefault="006201F6" w:rsidP="00AB677A" w:rsidR="006201F6">
      <w:pPr>
        <w:jc w:val="center"/>
      </w:pPr>
    </w:p>
    <w:p w:rsidRDefault="00AB677A" w:rsidP="00AB677A" w:rsidR="00AB677A" w:rsidRPr="0070024A">
      <w:pPr>
        <w:jc w:val="center"/>
      </w:pPr>
    </w:p>
    <w:p w:rsidRDefault="00AB677A" w:rsidP="00AB677A" w:rsidR="00AB677A">
      <w:pPr>
        <w:ind w:firstLine="720"/>
        <w:jc w:val="both"/>
      </w:pPr>
      <w:r w:rsidRPr="005E551C">
        <w:t xml:space="preserve">Rješenjem ovoga suda broj </w:t>
      </w:r>
      <w:r w:rsidR="00FD37E2">
        <w:t xml:space="preserve">6 </w:t>
      </w:r>
      <w:r w:rsidRPr="005E551C">
        <w:t>St-</w:t>
      </w:r>
      <w:r w:rsidR="009A5709">
        <w:t>952/18-9 od 2. srpnja 2018</w:t>
      </w:r>
      <w:r w:rsidR="00FD37E2">
        <w:t>.</w:t>
      </w:r>
      <w:r w:rsidRPr="005E551C">
        <w:t xml:space="preserve"> g. pokrenut je postupak nad dužnikom </w:t>
      </w:r>
      <w:r w:rsidR="009A5709">
        <w:rPr>
          <w:b/>
        </w:rPr>
        <w:t>FRAXINUS j.d.o.o. za proizvodnju i trgovinu, MBS: 030152697, OIB: 10327389785, Valpovo, Dobriše Cesarića 52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>
        <w:t>Predrag Filajdić iz Sl. Broda</w:t>
      </w:r>
      <w:r w:rsidRPr="005E551C">
        <w:t xml:space="preserve"> te je za </w:t>
      </w:r>
      <w:r w:rsidR="009A5709">
        <w:t>26</w:t>
      </w:r>
      <w:r w:rsidR="00FD37E2">
        <w:t>. rujan 2018</w:t>
      </w:r>
      <w:r>
        <w:t>. g.</w:t>
      </w:r>
      <w:r w:rsidRPr="005E551C">
        <w:t xml:space="preserve"> zakazano ročište radi izjašnjenja o prijedlogu za pokretanje stečajnog postupka. </w:t>
      </w:r>
    </w:p>
    <w:p w:rsidRDefault="00AB677A" w:rsidP="00AB677A" w:rsidR="00AB677A">
      <w:pPr>
        <w:ind w:firstLine="720"/>
        <w:jc w:val="both"/>
      </w:pPr>
    </w:p>
    <w:p w:rsidRDefault="00AB677A" w:rsidP="00AB677A" w:rsidR="00AB677A">
      <w:pPr>
        <w:ind w:firstLine="720"/>
        <w:jc w:val="both"/>
      </w:pPr>
      <w:r w:rsidRPr="005E551C">
        <w:lastRenderedPageBreak/>
        <w:t xml:space="preserve">Dana </w:t>
      </w:r>
      <w:r w:rsidR="009A5709">
        <w:t>26</w:t>
      </w:r>
      <w:r w:rsidR="00FD37E2">
        <w:t>. rujna 2018</w:t>
      </w:r>
      <w:r>
        <w:t>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</w:t>
      </w:r>
      <w:r>
        <w:t>:</w:t>
      </w:r>
    </w:p>
    <w:p w:rsidRDefault="009A5709" w:rsidP="00567782" w:rsidR="009A5709" w:rsidRPr="00567782">
      <w:pPr>
        <w:spacing w:after="160"/>
      </w:pPr>
    </w:p>
    <w:p w:rsidRDefault="009A5709" w:rsidP="009A5709" w:rsidR="009A5709">
      <w:pPr>
        <w:jc w:val="both"/>
      </w:pPr>
      <w:r>
        <w:t>Odgovorna osoba dužnika se NIJE odazvao POZIVU za dostavom tražene dokumentacije.</w:t>
      </w:r>
    </w:p>
    <w:p w:rsidRDefault="009A5709" w:rsidP="009A5709" w:rsidR="009A5709">
      <w:pPr>
        <w:jc w:val="both"/>
      </w:pPr>
      <w:r>
        <w:t xml:space="preserve">Privremeni stečajni upravitelj je samostalno i po službenoj dužnosti prikupio potrebnu dokumentaciju od nadležnih institucija FININFO, Poslovna Hrvatska iBisnode. </w:t>
      </w:r>
    </w:p>
    <w:p w:rsidRDefault="009A5709" w:rsidP="009A5709" w:rsidR="009A5709">
      <w:pPr>
        <w:jc w:val="both"/>
      </w:pPr>
      <w:r>
        <w:t>Odgovorna osoba i direktor društva je Željko Balić.</w:t>
      </w:r>
    </w:p>
    <w:p w:rsidRDefault="009A5709" w:rsidP="009A5709" w:rsidR="009A5709">
      <w:pPr>
        <w:jc w:val="both"/>
      </w:pPr>
    </w:p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Nadležni sud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2457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Trgovački sud u Osijeku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MBS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170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030152697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OIB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410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10327389785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Status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390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Bez postupka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Tvrtka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4510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FRAXINUS j.d.o.o. za proizvodnju i trgovinu </w:t>
            </w:r>
          </w:p>
        </w:tc>
      </w:tr>
    </w:tbl>
    <w:p w:rsidRDefault="009A5709" w:rsidP="009A5709" w:rsidR="009A5709">
      <w:pPr>
        <w:rPr>
          <w:vanish/>
        </w:rPr>
      </w:pP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2017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FRAXINUS j.d.o.o.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 xml:space="preserve">Sjedište/adresa 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2503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Valpovo (Grad Valpovo)</w:t>
            </w:r>
            <w:r>
              <w:br/>
              <w:t xml:space="preserve">Dobriše Cesarića 52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Temeljni kapital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157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10,00 kuna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Pravni oblik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4916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jednostavno društvo s ograničenom odgovornošću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Predmet poslovanja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95"/>
        <w:gridCol w:w="6867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Gospodarenje šumama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lastRenderedPageBreak/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Prerada drva i proizvodnja proizvoda od drva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Proizvodnja piljene građe i impregnacija drva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Proizvodnja građevinske stolarije i elemenata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Proizvodnja ostalih proizvoda od drva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Piljenje i blanjanje drva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Kupnja i prodaja robe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Obavljanje trgovačkog posredovanja na domaćem i inozemnom tržištu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Zastupanje inozemnih tvrtki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Prijevoz tereta u unutarnjem i međunarodnom cestovnom prometu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Prijevoz za vlastite potrebe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Osnivači/članovi društva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3730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ŽELJKO BALIĆ, OIB: 69263253561</w:t>
            </w:r>
            <w:r>
              <w:br/>
              <w:t xml:space="preserve">Valpovo, DOBRIŠE CESARIĆA 52 </w:t>
            </w:r>
          </w:p>
          <w:tbl>
            <w:tblPr>
              <w:tblW w:type="auto" w:w="0"/>
              <w:tblCellSpacing w:type="dxa" w:w="15"/>
              <w:tblLook w:val="04A0" w:noVBand="1" w:noHBand="0" w:lastColumn="0" w:firstColumn="1" w:lastRow="0" w:firstRow="1"/>
            </w:tblPr>
            <w:tblGrid>
              <w:gridCol w:w="1963"/>
            </w:tblGrid>
            <w:tr w:rsidTr="004340FF" w:rsidR="009A5709">
              <w:trPr>
                <w:tblCellSpacing w:type="dxa" w:w="15"/>
              </w:trPr>
              <w:tc>
                <w:tcPr>
                  <w:tcW w:type="auto" w:w="0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  <w:vAlign w:val="center"/>
                  <w:hideMark/>
                </w:tcPr>
                <w:p w:rsidRDefault="009A5709" w:rsidP="004340FF" w:rsidR="009A5709">
                  <w:r>
                    <w:t xml:space="preserve">- jedini član j.d.o.o. </w:t>
                  </w:r>
                </w:p>
              </w:tc>
            </w:tr>
          </w:tbl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Osobe ovlaštene za zastupanje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7322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ŽELJKO BALIĆ, OIB: 69263253561</w:t>
            </w:r>
            <w:r>
              <w:br/>
              <w:t xml:space="preserve">Valpovo, Dobriše Cesarića 52 </w:t>
            </w:r>
          </w:p>
          <w:tbl>
            <w:tblPr>
              <w:tblW w:type="auto" w:w="0"/>
              <w:tblCellSpacing w:type="dxa" w:w="15"/>
              <w:tblLook w:val="04A0" w:noVBand="1" w:noHBand="0" w:lastColumn="0" w:firstColumn="1" w:lastRow="0" w:firstRow="1"/>
            </w:tblPr>
            <w:tblGrid>
              <w:gridCol w:w="7232"/>
            </w:tblGrid>
            <w:tr w:rsidTr="004340FF" w:rsidR="009A5709">
              <w:trPr>
                <w:tblCellSpacing w:type="dxa" w:w="15"/>
              </w:trPr>
              <w:tc>
                <w:tcPr>
                  <w:tcW w:type="auto" w:w="0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  <w:vAlign w:val="center"/>
                  <w:hideMark/>
                </w:tcPr>
                <w:p w:rsidRDefault="009A5709" w:rsidP="004340FF" w:rsidR="009A5709">
                  <w:r>
                    <w:t xml:space="preserve">- direktor </w:t>
                  </w:r>
                </w:p>
                <w:tbl>
                  <w:tblPr>
                    <w:tblW w:type="auto" w:w="0"/>
                    <w:tblCellSpacing w:type="dxa" w:w="15"/>
                    <w:tblLook w:val="04A0" w:noVBand="1" w:noHBand="0" w:lastColumn="0" w:firstColumn="1" w:lastRow="0" w:firstRow="1"/>
                  </w:tblPr>
                  <w:tblGrid>
                    <w:gridCol w:w="7142"/>
                  </w:tblGrid>
                  <w:tr w:rsidTr="004340FF" w:rsidR="009A5709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15"/>
                          <w:left w:type="dxa" w:w="15"/>
                          <w:bottom w:type="dxa" w:w="15"/>
                          <w:right w:type="dxa" w:w="15"/>
                        </w:tcMar>
                        <w:vAlign w:val="center"/>
                        <w:hideMark/>
                      </w:tcPr>
                      <w:p w:rsidRDefault="009A5709" w:rsidP="004340FF" w:rsidR="009A5709">
                        <w:r>
                          <w:t>- zastupa društvo samostalno i neograničeno, mandat počinje 20.04.2018.</w:t>
                        </w:r>
                      </w:p>
                    </w:tc>
                  </w:tr>
                </w:tbl>
                <w:p w:rsidRDefault="009A5709" w:rsidP="004340FF" w:rsidR="009A5709">
                  <w:pPr>
                    <w:spacing w:lineRule="auto" w:line="276"/>
                    <w:rPr>
                      <w:sz w:val="22"/>
                      <w:szCs w:val="22"/>
                      <w:lang w:eastAsia="en-GB" w:val="en-GB"/>
                    </w:rPr>
                  </w:pPr>
                </w:p>
              </w:tc>
            </w:tr>
          </w:tbl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Pravni odnosi</w:t>
      </w:r>
    </w:p>
    <w:p w:rsidRDefault="009A5709" w:rsidP="009A5709" w:rsidR="009A5709">
      <w:pPr>
        <w:spacing w:afterAutospacing="true" w:after="100" w:beforeAutospacing="true" w:before="100"/>
        <w:outlineLvl w:val="2"/>
        <w:rPr>
          <w:b/>
          <w:bCs/>
        </w:rPr>
      </w:pPr>
      <w:r>
        <w:rPr>
          <w:b/>
          <w:bCs/>
        </w:rPr>
        <w:t>Osnivački akt: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3590"/>
      </w:tblGrid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Izjava o osnivanju od 05.11.2014. g. 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Financijska izvješća</w:t>
      </w: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495"/>
        <w:gridCol w:w="767"/>
        <w:gridCol w:w="2420"/>
        <w:gridCol w:w="1867"/>
        <w:gridCol w:w="81"/>
      </w:tblGrid>
      <w:tr w:rsidTr="004340FF" w:rsidR="009A5709">
        <w:trPr>
          <w:gridAfter w:val="1"/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Datum predaje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Godina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Obračunsko razdoblje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Vrsta izvještaja </w:t>
            </w:r>
          </w:p>
        </w:tc>
      </w:tr>
      <w:tr w:rsidTr="004340FF" w:rsidR="009A5709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30.04.2018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2017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>01.01.2017 - 31.12.2017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A5709" w:rsidP="004340FF" w:rsidR="009A5709">
            <w:r>
              <w:t xml:space="preserve">GFI-POD izvještaj 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9A5709" w:rsidP="004340FF" w:rsidR="009A5709"/>
        </w:tc>
      </w:tr>
    </w:tbl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center"/>
      </w:pPr>
      <w:r>
        <w:t xml:space="preserve">FINANCIJSKI IZVJEŠTAJ ZA 2017. GODINU. </w:t>
      </w:r>
    </w:p>
    <w:p w:rsidRDefault="009A5709" w:rsidP="009A5709" w:rsidR="009A5709">
      <w:pPr>
        <w:spacing w:after="240"/>
      </w:pPr>
    </w:p>
    <w:tbl>
      <w:tblPr>
        <w:tblW w:type="dxa" w:w="9000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00"/>
      </w:tblGrid>
      <w:tr w:rsidTr="004340FF" w:rsidR="009A5709">
        <w:trPr>
          <w:trHeight w:val="300"/>
          <w:tblCellSpacing w:type="dxa" w:w="15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rPr>
                <w:b/>
                <w:bCs/>
              </w:rPr>
              <w:t>22.08.2018 11:28:24</w:t>
            </w:r>
          </w:p>
        </w:tc>
      </w:tr>
    </w:tbl>
    <w:p w:rsidRDefault="009A5709" w:rsidP="009A5709" w:rsidR="009A5709">
      <w:pPr>
        <w:rPr>
          <w:vanish/>
        </w:rPr>
      </w:pPr>
    </w:p>
    <w:tbl>
      <w:tblPr>
        <w:tblW w:type="dxa" w:w="9000"/>
        <w:tblCellSpacing w:type="dxa" w:w="7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990"/>
        <w:gridCol w:w="5010"/>
      </w:tblGrid>
      <w:tr w:rsidTr="004340FF" w:rsidR="009A5709">
        <w:trPr>
          <w:tblCellSpacing w:type="dxa" w:w="7"/>
        </w:trPr>
        <w:tc>
          <w:tcPr>
            <w:tcW w:type="auto" w:w="0"/>
            <w:gridSpan w:val="2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Osnovni podaci o poslovnom subjektu</w:t>
            </w: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>OIB/Matični broj:</w:t>
            </w:r>
          </w:p>
        </w:tc>
        <w:tc>
          <w:tcPr>
            <w:tcW w:type="dxa" w:w="5100"/>
            <w:vAlign w:val="center"/>
            <w:hideMark/>
          </w:tcPr>
          <w:p w:rsidRDefault="009A5709" w:rsidP="004340FF" w:rsidR="009A5709">
            <w:r>
              <w:t xml:space="preserve">10327389785 / 04299230 </w:t>
            </w: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>Tvrtka:</w:t>
            </w:r>
          </w:p>
        </w:tc>
        <w:tc>
          <w:tcPr>
            <w:tcW w:type="dxa" w:w="5100"/>
            <w:vAlign w:val="center"/>
            <w:hideMark/>
          </w:tcPr>
          <w:p w:rsidRDefault="009A5709" w:rsidP="004340FF" w:rsidR="009A5709">
            <w:r>
              <w:t>FRAXINUS j.d.o.o.</w:t>
            </w:r>
          </w:p>
        </w:tc>
      </w:tr>
      <w:tr w:rsidTr="004340FF" w:rsidR="009A5709">
        <w:trPr>
          <w:tblCellSpacing w:type="dxa" w:w="7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>Adresa: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Dobriše Cesarića 52, 31550 VALPOVO</w:t>
            </w:r>
          </w:p>
        </w:tc>
      </w:tr>
      <w:tr w:rsidTr="004340FF" w:rsidR="009A5709">
        <w:trPr>
          <w:tblCellSpacing w:type="dxa" w:w="7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Datum predaje: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30.04.2018.</w:t>
            </w:r>
          </w:p>
        </w:tc>
      </w:tr>
    </w:tbl>
    <w:p w:rsidRDefault="009A5709" w:rsidP="009A5709" w:rsidR="009A5709"/>
    <w:tbl>
      <w:tblPr>
        <w:tblW w:type="dxa" w:w="9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00"/>
      </w:tblGrid>
      <w:tr w:rsidTr="004340FF" w:rsidR="009A5709">
        <w:trPr>
          <w:trHeight w:val="300"/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>iznosi u kunama</w:t>
            </w:r>
          </w:p>
        </w:tc>
      </w:tr>
    </w:tbl>
    <w:p w:rsidRDefault="009A5709" w:rsidP="009A5709" w:rsidR="009A5709">
      <w:pPr>
        <w:rPr>
          <w:vanish/>
        </w:rPr>
      </w:pPr>
    </w:p>
    <w:tbl>
      <w:tblPr>
        <w:tblW w:type="dxa" w:w="9000"/>
        <w:tblCellSpacing w:type="dxa" w:w="7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149"/>
        <w:gridCol w:w="911"/>
        <w:gridCol w:w="1258"/>
        <w:gridCol w:w="1125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Tr="004340FF" w:rsidR="009A5709">
        <w:trPr>
          <w:tblCellSpacing w:type="dxa" w:w="7"/>
        </w:trPr>
        <w:tc>
          <w:tcPr>
            <w:tcW w:type="auto" w:w="0"/>
            <w:gridSpan w:val="19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Bilanca za poduzetnike </w:t>
            </w:r>
            <w:r>
              <w:rPr>
                <w:b/>
                <w:bCs/>
              </w:rPr>
              <w:br/>
              <w:t xml:space="preserve">Na dan: 31.12.2017. </w:t>
            </w:r>
          </w:p>
        </w:tc>
      </w:tr>
      <w:tr w:rsidTr="004340FF" w:rsidR="009A5709">
        <w:trPr>
          <w:tblCellSpacing w:type="dxa" w:w="7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Naziv pozicije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</w:pPr>
            <w:r>
              <w:t>Rbr. bilješke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</w:pPr>
            <w:r>
              <w:t>Prethodna godina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</w:pPr>
            <w:r>
              <w:t>Tekuća godina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auto" w:w="0"/>
            <w:gridSpan w:val="8"/>
            <w:shd w:fill="CCCCCC" w:color="auto" w:val="clear"/>
            <w:vAlign w:val="center"/>
            <w:hideMark/>
          </w:tcPr>
          <w:p w:rsidRDefault="009A5709" w:rsidP="004340FF" w:rsidR="009A5709">
            <w:r>
              <w:t>AKTIVA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A) POTRAŽIVANJA ZA UPISANI A NEUPLAĆENI KAPITAL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B) DUGOTRAJNA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I. NEMATERIJALNA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II. MATERIJALNA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III. DUGOTRAJNA FINANCIJSKA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IV. POTRAŽIVANJA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V. ODGOĐENA POREZNA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C) KRATKOTRAJNA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r>
              <w:t>2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47.186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102.823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I. ZALIHE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34.069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28.045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II. POTRAŽIVANJA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8.117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62.444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III. KRATKOTRAJNA FINANCIJSKA IMOVINA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IV. NOVAC U BANCI I BLAGAJNI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5.000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12.334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D) PLAĆENI TROŠKOVI BUDUĆEG RAZDOBLJA I OBRAČUNATI PRIHODI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E) UKUPNO AKTIVA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r>
              <w:t>3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47.186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102.823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F) IZVANBILANČNI ZAPISI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auto" w:w="0"/>
            <w:gridSpan w:val="8"/>
            <w:shd w:fill="CCCCCC" w:color="auto" w:val="clear"/>
            <w:vAlign w:val="center"/>
            <w:hideMark/>
          </w:tcPr>
          <w:p w:rsidRDefault="009A5709" w:rsidP="004340FF" w:rsidR="009A5709">
            <w:r>
              <w:t>PASIVA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lastRenderedPageBreak/>
              <w:t xml:space="preserve">A) KAPITAL I REZERVE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r>
              <w:t>4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-89.092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-100.447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I. TEMELJNI (UPISANI) KAPITAL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10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10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II. KAPITALNE REZERVE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III. REZERVE IZ DOBITI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IV. REVALORIZACIJSKE REZERVE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V. REZERVE FER VRIJEDNOSTI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VI. ZADRŽANA DOBIT ILI PRENESENI GUBITAK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-55.259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-89.102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VII. DOBIT ILI GUBITAK POSLOVNE GODINE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-33.843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-11.355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VIII. MANJINSKI (NEKONTROLIRAJUĆI) INTERES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B) REZERVIRANJA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C) DUGOROČNE OBVEZE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D) KRATKOROČNE OBVEZE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r>
              <w:t>6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136.278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203.270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E) ODGOĐENO PLAĆANJE TROŠKOVA I PRIHOD BUDUĆEGA RAZDOBLJA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F) UKUPNO – PASIVA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r>
              <w:t>7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47.186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102.823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G) IZVANBILANČNI ZAPISI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</w:tbl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center"/>
      </w:pPr>
      <w:r>
        <w:t xml:space="preserve">FINANCIJSKI IZVJEŠTAJ ZA 2017. GODINU. </w:t>
      </w:r>
    </w:p>
    <w:p w:rsidRDefault="009A5709" w:rsidP="009A5709" w:rsidR="009A5709">
      <w:pPr>
        <w:spacing w:after="240"/>
      </w:pPr>
    </w:p>
    <w:tbl>
      <w:tblPr>
        <w:tblW w:type="dxa" w:w="9000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00"/>
      </w:tblGrid>
      <w:tr w:rsidTr="004340FF" w:rsidR="009A5709">
        <w:trPr>
          <w:trHeight w:val="300"/>
          <w:tblCellSpacing w:type="dxa" w:w="15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rPr>
                <w:b/>
                <w:bCs/>
              </w:rPr>
              <w:t>22.08.2018 11:28:52</w:t>
            </w:r>
          </w:p>
        </w:tc>
      </w:tr>
    </w:tbl>
    <w:p w:rsidRDefault="009A5709" w:rsidP="009A5709" w:rsidR="009A5709">
      <w:pPr>
        <w:rPr>
          <w:vanish/>
        </w:rPr>
      </w:pPr>
    </w:p>
    <w:tbl>
      <w:tblPr>
        <w:tblW w:type="dxa" w:w="9000"/>
        <w:tblCellSpacing w:type="dxa" w:w="7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990"/>
        <w:gridCol w:w="5010"/>
      </w:tblGrid>
      <w:tr w:rsidTr="004340FF" w:rsidR="009A5709">
        <w:trPr>
          <w:tblCellSpacing w:type="dxa" w:w="7"/>
        </w:trPr>
        <w:tc>
          <w:tcPr>
            <w:tcW w:type="auto" w:w="0"/>
            <w:gridSpan w:val="2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Osnovni podaci o poslovnom subjektu</w:t>
            </w: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>OIB/Matični broj:</w:t>
            </w:r>
          </w:p>
        </w:tc>
        <w:tc>
          <w:tcPr>
            <w:tcW w:type="dxa" w:w="5100"/>
            <w:vAlign w:val="center"/>
            <w:hideMark/>
          </w:tcPr>
          <w:p w:rsidRDefault="009A5709" w:rsidP="004340FF" w:rsidR="009A5709">
            <w:r>
              <w:t xml:space="preserve">10327389785 / 04299230 </w:t>
            </w: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>Tvrtka:</w:t>
            </w:r>
          </w:p>
        </w:tc>
        <w:tc>
          <w:tcPr>
            <w:tcW w:type="dxa" w:w="5100"/>
            <w:vAlign w:val="center"/>
            <w:hideMark/>
          </w:tcPr>
          <w:p w:rsidRDefault="009A5709" w:rsidP="004340FF" w:rsidR="009A5709">
            <w:r>
              <w:t>FRAXINUS j.d.o.o.</w:t>
            </w:r>
          </w:p>
        </w:tc>
      </w:tr>
      <w:tr w:rsidTr="004340FF" w:rsidR="009A5709">
        <w:trPr>
          <w:tblCellSpacing w:type="dxa" w:w="7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Adresa: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Dobriše Cesarića 52, 31550 VALPOVO</w:t>
            </w:r>
          </w:p>
        </w:tc>
      </w:tr>
      <w:tr w:rsidTr="004340FF" w:rsidR="009A5709">
        <w:trPr>
          <w:tblCellSpacing w:type="dxa" w:w="7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Datum predaje: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30.04.2018.</w:t>
            </w:r>
          </w:p>
        </w:tc>
      </w:tr>
    </w:tbl>
    <w:p w:rsidRDefault="009A5709" w:rsidP="009A5709" w:rsidR="009A5709"/>
    <w:tbl>
      <w:tblPr>
        <w:tblW w:type="dxa" w:w="9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00"/>
      </w:tblGrid>
      <w:tr w:rsidTr="004340FF" w:rsidR="009A5709">
        <w:trPr>
          <w:trHeight w:val="300"/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lastRenderedPageBreak/>
              <w:t>iznosi u kunama</w:t>
            </w:r>
          </w:p>
        </w:tc>
      </w:tr>
    </w:tbl>
    <w:p w:rsidRDefault="009A5709" w:rsidP="009A5709" w:rsidR="009A5709">
      <w:pPr>
        <w:rPr>
          <w:vanish/>
        </w:rPr>
      </w:pPr>
    </w:p>
    <w:tbl>
      <w:tblPr>
        <w:tblW w:type="dxa" w:w="9000"/>
        <w:tblCellSpacing w:type="dxa" w:w="7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2990"/>
        <w:gridCol w:w="911"/>
        <w:gridCol w:w="1321"/>
        <w:gridCol w:w="1221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Tr="004340FF" w:rsidR="009A5709">
        <w:trPr>
          <w:tblCellSpacing w:type="dxa" w:w="7"/>
        </w:trPr>
        <w:tc>
          <w:tcPr>
            <w:tcW w:type="auto" w:w="0"/>
            <w:gridSpan w:val="19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Račun dobiti i gubitka za poduzetnike </w:t>
            </w:r>
            <w:r>
              <w:rPr>
                <w:b/>
                <w:bCs/>
              </w:rPr>
              <w:br/>
              <w:t xml:space="preserve">Za razdoblje: 01.01.2017. - 31.12.2017. </w:t>
            </w:r>
          </w:p>
        </w:tc>
      </w:tr>
      <w:tr w:rsidTr="004340FF" w:rsidR="009A5709">
        <w:trPr>
          <w:tblCellSpacing w:type="dxa" w:w="7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Naziv pozicije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</w:pPr>
            <w:r>
              <w:t>Rbr. bilješke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</w:pPr>
            <w:r>
              <w:t>Prethodna godina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</w:pPr>
            <w:r>
              <w:t>Tekuća godina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I. POSLOVNI PRIHODI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42.562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203.232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II. POSLOVNI RASHODI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76.233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214.317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III. FINANCIJSKI PRIHODI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2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IV. FINANCIJSKI RASHODI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r>
              <w:t>13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172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272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V. UDIO U DOBITI OD DRUŠTAVA POVEZANIH SUDJELUJUĆIM INTERESOM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VI. UDIO U DOBITI OD ZAJEDNIČKIH POTHVATA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VII. UDIO U GUBITKU OD DRUŠTAVA POVEZANIH SUDJELUJUĆIM INTERESOM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VIII. UDIO U GUBITKU OD ZAJEDNIČKIH POTHVATA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IX. UKUPNI PRIHODI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42.562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203.234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X. UKUPNI RASHODI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r>
              <w:t>14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76.405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214.589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XI. DOBIT ILI GUBITAK PRIJE OPOREZIVANJA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-33.843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-11.355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XII. POREZ NA DOBIT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  <w:tr w:rsidTr="004340FF" w:rsidR="009A5709">
        <w:trPr>
          <w:tblCellSpacing w:type="dxa" w:w="7"/>
        </w:trPr>
        <w:tc>
          <w:tcPr>
            <w:tcW w:type="dxa" w:w="4050"/>
            <w:vAlign w:val="center"/>
            <w:hideMark/>
          </w:tcPr>
          <w:p w:rsidRDefault="009A5709" w:rsidP="004340FF" w:rsidR="009A5709">
            <w:r>
              <w:t xml:space="preserve">XIII. DOBIT ILI GUBITAK RAZDOBLJA </w:t>
            </w:r>
          </w:p>
        </w:tc>
        <w:tc>
          <w:tcPr>
            <w:tcW w:type="dxa" w:w="750"/>
            <w:shd w:fill="DEDEDE" w:color="auto" w:val="clear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 xml:space="preserve">-33.843 </w:t>
            </w:r>
          </w:p>
        </w:tc>
        <w:tc>
          <w:tcPr>
            <w:tcW w:type="dxa" w:w="1500"/>
            <w:vAlign w:val="center"/>
            <w:hideMark/>
          </w:tcPr>
          <w:p w:rsidRDefault="009A5709" w:rsidP="004340FF" w:rsidR="009A5709">
            <w:pPr>
              <w:jc w:val="right"/>
            </w:pPr>
            <w:r>
              <w:t>-11.355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</w:tr>
    </w:tbl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  <w:r>
        <w:t xml:space="preserve">                                                       2015      2016     2017</w:t>
      </w: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427"/>
        <w:gridCol w:w="1120"/>
        <w:gridCol w:w="820"/>
        <w:gridCol w:w="860"/>
        <w:gridCol w:w="1500"/>
      </w:tblGrid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Poslovni prihodi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0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42.562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203.232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365.png" name="Slika 12" id="1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365.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Rast/pad poslovnih prihoda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377,50%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457.png" name="Slika 11" id="1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457.png"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 xml:space="preserve">Neto dobit/gubitak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-51.607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-33.843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-11.355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391.png" name="Slika 10" id="1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391.png" name="Picture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Rast/pad neto dobiti/gubitka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-1.313,50%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34,42%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66,45%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483.png" name="Slika 9" id="9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483.png" name="Picture 17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EBITDA marža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-79,11%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-5,45%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28.png" name="Slika 8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28.png" name="Picture 18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Faktor zaduženosti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10.png" name="Slika 7" id="7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10.png" name="Picture 19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ROE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31.png" name="Slika 6" id="6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31.png" name="Picture 20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Tekući omjer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0,03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0,35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0,51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02.png" name="Slika 5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02.png" name="Picture 2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Koeficijent vlastitog financiranja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-30,66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-1,89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-0,98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06.png"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06.png" name="Picture 2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Novčani tok iz poslovnih aktivnosti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-43.712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-50.736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17.804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404.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404.png" name="Picture 2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Dani plaćanja dobavljačima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-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59,77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37,62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26.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26.png" name="Picture 2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Broj zaposlenih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noProof/>
              </w:rPr>
              <w:drawing>
                <wp:inline distR="0" distL="0" distB="0" distT="0">
                  <wp:extent cy="285750" cx="952500"/>
                  <wp:effectExtent b="0" r="0" t="0" l="0"/>
                  <wp:docPr descr="https://www.fininfo.hr/v1.5.10.0/Content/Images/Chart/rid_1515.png" name="Slika 25" id="2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https://www.fininfo.hr/v1.5.10.0/Content/Images/Chart/rid_1515.png" name="Picture 25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5750" cx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95"/>
        <w:gridCol w:w="533"/>
        <w:gridCol w:w="532"/>
        <w:gridCol w:w="906"/>
        <w:gridCol w:w="650"/>
        <w:gridCol w:w="906"/>
        <w:gridCol w:w="769"/>
        <w:gridCol w:w="906"/>
        <w:gridCol w:w="769"/>
        <w:gridCol w:w="906"/>
      </w:tblGrid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Bilanca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14./13.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15./14.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16./15.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17./16.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A) POTRAŽIVANJA ZA UPISANI A NEUPLAĆENI KAPITAL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B) DUGOTRAJNA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Nematerijalna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II. Materijalna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Zemljišta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Građevinski objekti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Postrojenja i oprema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4 Ostala materijalna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III. Financijska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Udjeli, dionice i ostali vrijednosni papiri (dugotrajni)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Dani zajmovi, depoziti i sl. (dugotrajni)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Ostala </w:t>
            </w:r>
            <w:r>
              <w:lastRenderedPageBreak/>
              <w:t xml:space="preserve">dugotrajna financijska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lastRenderedPageBreak/>
              <w:t xml:space="preserve">IV. Potraživanja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V. Odgođena porezna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C) KRATKOTRAJNA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1.802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17.920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47.186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2.519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102.823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118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Zalihe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34.069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28.045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-18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Sirovine i materijal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34.069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-100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Proizvodnja u tijeku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Gotovi proizvodi i trgovačka roba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28.045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4 Ostale zalihe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II. Potraživanja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1.055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8.117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62.444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669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Potraživanja od kupaca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57.829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Ostala potraživanja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1.055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8.117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4.615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-43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III. Financijska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Udjeli, dionice i ostali vrijednosni papiri (kratkotrajni)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Dani zajmovi, depoziti i sl. (kratkotrajni)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Ostala kratkotrajna financijska imovina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IV. Novac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747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7.370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5.000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12.334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147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D) PLAĆENI TROŠKOVI BUDUĆEG RAZDOBLJA I OBRAČUNATI PRIHODI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E) UKUPNO AKTIVA</w:t>
            </w:r>
            <w:r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1.802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17.920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47.186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2.519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102.823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118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A) KAPITAL I REZERVE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-3.641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-55.249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-1.417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-89.092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-61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-100.447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-13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Temeljni kapital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Kapitalne </w:t>
            </w:r>
            <w:r>
              <w:lastRenderedPageBreak/>
              <w:t xml:space="preserve">rezerve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lastRenderedPageBreak/>
              <w:t xml:space="preserve">3 Rezerve iz dobiti, revalorizacijske rezerve i rezerve fer vrijednosti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4 Zadržana dobit/preneseni gubici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-55.259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-1.414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-89.102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-61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5 Dobit/gubitak poslovne godine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-51.608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-1.314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-33.843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-11.355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66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6 Manjinski (nekontrolirajući) interes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B) REZERVIRANJA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C) DUGOROČNE OBVEZE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Kamatonosne (financijske) obveze (dugoročne)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Obveze prema dobavljačima (dugoročne)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Ostale dugoročne obveze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D) KRATKOROČNE OBVEZE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57.051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1.463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136.278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139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203.270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49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Kamatonosne (financijske) obveze (kratkoročne)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44.450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99.439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124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88.969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Obveze prema dobavljačima (kratkoročne)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1.126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12.814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1.038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29.078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127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Obveze prema zaposlenicima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2.475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7.449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201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7.866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40.131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410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4 Ostale kratkoročne obveze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1.176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4.026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242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16.159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301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45.092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179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E) ODGOĐENO PLAĆANJE TROŠKOVA I PRIHOD BUDUĆEG RAZDOBLJA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F) UKUPNO PASIVA</w:t>
            </w:r>
            <w:r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1.802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17.920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47.186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2.519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102.823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rPr>
                <w:b/>
                <w:bCs/>
              </w:rPr>
              <w:t>118</w:t>
            </w:r>
          </w:p>
        </w:tc>
      </w:tr>
    </w:tbl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71"/>
        <w:gridCol w:w="512"/>
        <w:gridCol w:w="512"/>
        <w:gridCol w:w="872"/>
        <w:gridCol w:w="625"/>
        <w:gridCol w:w="872"/>
        <w:gridCol w:w="625"/>
        <w:gridCol w:w="872"/>
        <w:gridCol w:w="739"/>
        <w:gridCol w:w="872"/>
      </w:tblGrid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Račun dobiti i gubitka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14./13.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15./14.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16./15.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17./16.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A) POSLOVNI PRIHODI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42.562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203.232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377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Prihodi od prodaje s poduzetnicima unutar grupe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Prihodi od prodaje (izvan grupe)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42.562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203.232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377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Ostali poslovni prihodi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B) POSLOVNI RASHODI (BEZ AMORTIZACIJE)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51.518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1.311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76.233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214.317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181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Troškovi poslovanja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51.518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1.311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76.233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214.317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181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Povećanje/smanjenje zaliha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Materijalni troškovi i troškovi prodane robe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4.000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25.339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533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133.254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426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Troškovi osoblja (bruto)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3.626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43.856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1.109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45.397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73.518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62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4 Vrijednosna usklađenja i rezerviranja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4.192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5 Ostali troškovi i rashodi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3.662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14.548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5.497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3.353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-39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C) DOBIT PRIJE KAMATA, POREZA I AMORTIZACIJE (EBITDA)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-51.518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-1.311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-33.671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-11.085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Amortizacija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D) DOBIT PRIJE KAMATA I POREZA (EBIT)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-51.518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-1.311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-33.671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-11.085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E) NETO REZULTAT FINANCIJSKIH AKTIVNOSTI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-89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-172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-93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-270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Financijski prihodi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II. Financijski rashodi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89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172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93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272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58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F) NETO UDIO U REZULTATU DRUŠTAVA POVEZANIH SUDJELUJUĆIM INTERESOM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Udio u dobiti od društava povezanih </w:t>
            </w:r>
            <w:r>
              <w:lastRenderedPageBreak/>
              <w:t xml:space="preserve">sudjelujućim interesom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lastRenderedPageBreak/>
              <w:t xml:space="preserve">II. Udio u gubitku od društava povezanih sudjelujućim interesom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G) NETO UDIO U REZULTATU ZAJEDNIČKIH POTHVATA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Udio u dobiti od zajedničkih pothvata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II. Udio u gubitku od zajedničkih pothvata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H) UKUPNI PRIHODI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42.562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203.234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378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I) UKUPNI RASHODI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51.607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1.314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76.405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214.589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181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J) DOBIT/GUBITAK PRIJE OPOREZIVANJA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-51.607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-1.314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-33.843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-11.355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66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Porez na dobit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K) NETO DOBIT/GUBITAK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-51.607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-1.314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-33.843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-11.355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66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L) DOBIT/GUBITAK PREKINUTOG POSLOVANJA PRIJE OPOREZIVANJA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Porez na dobit prekinutog poslovanja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M) NETO DOBIT/GUBITAK PREKINUTOG POSLOVANJA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N) DOBIT/GUBITAK UKUPNOG POSLOVANJA PRIJE OPOREZIVANJA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-51.607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-1.314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-33.843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-11.355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66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Porez na dobit ukupnog poslovanja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O) NETO DOBIT/GUBITAK UKUPNOG POSLOVANJA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-51.607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-1.314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-33.843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-11.355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66</w:t>
            </w:r>
          </w:p>
        </w:tc>
      </w:tr>
    </w:tbl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86"/>
        <w:gridCol w:w="496"/>
        <w:gridCol w:w="496"/>
        <w:gridCol w:w="844"/>
        <w:gridCol w:w="606"/>
        <w:gridCol w:w="844"/>
        <w:gridCol w:w="606"/>
        <w:gridCol w:w="844"/>
        <w:gridCol w:w="606"/>
        <w:gridCol w:w="844"/>
      </w:tblGrid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zvještaj o novčanom toku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14./13.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15./14.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16./15.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 prom. 17./16.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Neto dobit/gubitak ukupnog poslovanja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</w:t>
            </w:r>
            <w:r>
              <w:lastRenderedPageBreak/>
              <w:t>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-51.60</w:t>
            </w:r>
            <w:r>
              <w:lastRenderedPageBreak/>
              <w:t>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>-1.314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-33.84</w:t>
            </w:r>
            <w:r>
              <w:lastRenderedPageBreak/>
              <w:t>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>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-11.35</w:t>
            </w:r>
            <w:r>
              <w:lastRenderedPageBreak/>
              <w:t>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>66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lastRenderedPageBreak/>
              <w:t xml:space="preserve">2 Amortizacija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Ostale korekcije novčanog toka iz rezultata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I. Novčani tok iz rezultata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-51.607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-1.314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-33.843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-11.355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66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1 Promjena vrijednosti zaliha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-34.069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6.024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118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2 Promjena vrijednosti kratkotrajnih potraživanja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-1.055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-7.062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-54.327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-669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3 Promjena plaćenih troškova budućeg razdoblja i obračunatih prihoda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4 Promjena ostale imovine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5 Promjena obveza prema dobavljačima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1.126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11.688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938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16.264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39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6 Promjena odgođenog plaćanja troškova i prihoda budućeg razdoblja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48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7 Promjena ostalih obveza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7.824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12.550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61.198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388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tcMar>
              <w:top w:type="dxa" w:w="0"/>
              <w:left w:type="dxa" w:w="300"/>
              <w:bottom w:type="dxa" w:w="0"/>
              <w:right w:type="dxa" w:w="0"/>
            </w:tcMar>
            <w:vAlign w:val="center"/>
            <w:hideMark/>
          </w:tcPr>
          <w:p w:rsidRDefault="009A5709" w:rsidP="004340FF" w:rsidR="009A5709">
            <w:r>
              <w:t xml:space="preserve">II. Promjena radnog kapitala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7.895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116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-16.893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-314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29.159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273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A) NOVČANI TOK IZ POSLOVNIH AKTIVNOSTI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-43.712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-50.736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17.804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135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B) NOVČANI TOK IZ INVESTICIJSKIH AKTIVNOSTI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C) NOVČANI TOK IZ FINANCIJSKIH AKTIVNOSTI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44.449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444.390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54.989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-10.470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-119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D) POVEĆANJE/SMANJENJE NOVCA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737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7.270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4.253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477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7.334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72</w:t>
            </w:r>
          </w:p>
        </w:tc>
      </w:tr>
    </w:tbl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584"/>
        <w:gridCol w:w="540"/>
        <w:gridCol w:w="1191"/>
        <w:gridCol w:w="1071"/>
        <w:gridCol w:w="891"/>
        <w:gridCol w:w="795"/>
      </w:tblGrid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OKAZATELJI LIKVIDNOSTI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23" w:history="true">
              <w:r w:rsidR="009A5709">
                <w:rPr>
                  <w:rStyle w:val="Hiperveza"/>
                </w:rPr>
                <w:t>Pokazatelj trenutne likvidnosti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0,06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24" w:history="true">
              <w:r w:rsidR="009A5709">
                <w:rPr>
                  <w:rStyle w:val="Hiperveza"/>
                </w:rPr>
                <w:t>Brzi odnos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0,37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25" w:history="true">
              <w:r w:rsidR="009A5709">
                <w:rPr>
                  <w:rStyle w:val="Hiperveza"/>
                </w:rPr>
                <w:t>Tekući omjer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0,35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0,51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26" w:history="true">
              <w:r w:rsidR="009A5709">
                <w:rPr>
                  <w:rStyle w:val="Hiperveza"/>
                </w:rPr>
                <w:t>Stupanj pokrića I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27" w:history="true">
              <w:r w:rsidR="009A5709">
                <w:rPr>
                  <w:rStyle w:val="Hiperveza"/>
                </w:rPr>
                <w:t>Stupanj pokrića II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28" w:history="true">
              <w:r w:rsidR="009A5709">
                <w:rPr>
                  <w:rStyle w:val="Hiperveza"/>
                </w:rPr>
                <w:t>Novčano pokriće poslovnih rashoda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0,04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POKAZATELJI ZADUŽENOSTI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29" w:history="true">
              <w:r w:rsidR="009A5709">
                <w:rPr>
                  <w:rStyle w:val="Hiperveza"/>
                </w:rPr>
                <w:t>Koeficijent vlastitog financiranja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-364,10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-30,66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-1,89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-0,98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0" w:history="true">
              <w:r w:rsidR="009A5709">
                <w:rPr>
                  <w:rStyle w:val="Hiperveza"/>
                </w:rPr>
                <w:t>Koeficijent financiranja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1" w:history="true">
              <w:r w:rsidR="009A5709">
                <w:rPr>
                  <w:rStyle w:val="Hiperveza"/>
                </w:rPr>
                <w:t>Pokriće kamate iz EBITDA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-578,85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-415,69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-43,13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2" w:history="true">
              <w:r w:rsidR="009A5709">
                <w:rPr>
                  <w:rStyle w:val="Hiperveza"/>
                </w:rPr>
                <w:t>Pokriće kamate iz EBIT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-578,85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-415,69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-43,13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3" w:history="true">
              <w:r w:rsidR="009A5709">
                <w:rPr>
                  <w:rStyle w:val="Hiperveza"/>
                </w:rPr>
                <w:t>Faktor zaduženosti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4" w:history="true">
              <w:r w:rsidR="009A5709">
                <w:rPr>
                  <w:rStyle w:val="Hiperveza"/>
                </w:rPr>
                <w:t>Pokriće ukupnih obveza iz EBITDA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-2,00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-1,70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-0,35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-0,07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5" w:history="true">
              <w:r w:rsidR="009A5709">
                <w:rPr>
                  <w:rStyle w:val="Hiperveza"/>
                </w:rPr>
                <w:t>Pokriće kratkoročnih obveza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-2,00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-1,70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-0,35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-0,07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6" w:history="true">
              <w:r w:rsidR="009A5709">
                <w:rPr>
                  <w:rStyle w:val="Hiperveza"/>
                </w:rPr>
                <w:t>Godine povrata kamatonosnih obveza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7" w:history="true">
              <w:r w:rsidR="009A5709">
                <w:rPr>
                  <w:rStyle w:val="Hiperveza"/>
                </w:rPr>
                <w:t>Prosječni trošak kamate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0,40%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0,11%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0,27%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POKAZATELJI AKTIVNOSTI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8" w:history="true">
              <w:r w:rsidR="009A5709">
                <w:rPr>
                  <w:rStyle w:val="Hiperveza"/>
                </w:rPr>
                <w:t>Koeficijent obrtaja ukupne imovine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1,74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2,71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39" w:history="true">
              <w:r w:rsidR="009A5709">
                <w:rPr>
                  <w:rStyle w:val="Hiperveza"/>
                </w:rPr>
                <w:t>Koeficijent obrtaja dugotrajne materijalne imovine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0" w:history="true">
              <w:r w:rsidR="009A5709">
                <w:rPr>
                  <w:rStyle w:val="Hiperveza"/>
                </w:rPr>
                <w:t>Koeficijent obrtaja kratkotrajne imovine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1,74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2,71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1" w:history="true">
              <w:r w:rsidR="009A5709">
                <w:rPr>
                  <w:rStyle w:val="Hiperveza"/>
                </w:rPr>
                <w:t>Dani naplate potraživanja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51,93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2" w:history="true">
              <w:r w:rsidR="009A5709">
                <w:rPr>
                  <w:rStyle w:val="Hiperveza"/>
                </w:rPr>
                <w:t>Dani vezivanja zaliha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146,08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55,78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3" w:history="true">
              <w:r w:rsidR="009A5709">
                <w:rPr>
                  <w:rStyle w:val="Hiperveza"/>
                </w:rPr>
                <w:t>Dani plaćanja dobavljačima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59,77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37,62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4" w:history="true">
              <w:r w:rsidR="009A5709">
                <w:rPr>
                  <w:rStyle w:val="Hiperveza"/>
                </w:rPr>
                <w:t>Dani konverzije u novac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70,09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POKAZATELJI PROFITABLNOSTI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5" w:history="true">
              <w:r w:rsidR="009A5709">
                <w:rPr>
                  <w:rStyle w:val="Hiperveza"/>
                </w:rPr>
                <w:t>EBITDA marža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-79,11%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-5,45%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6" w:history="true">
              <w:r w:rsidR="009A5709">
                <w:rPr>
                  <w:rStyle w:val="Hiperveza"/>
                </w:rPr>
                <w:t>EBIT marža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-79,11%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-5,45%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7" w:history="true">
              <w:r w:rsidR="009A5709">
                <w:rPr>
                  <w:rStyle w:val="Hiperveza"/>
                </w:rPr>
                <w:t>Neto marža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-79,51%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-5,59%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8" w:history="true">
              <w:r w:rsidR="009A5709">
                <w:rPr>
                  <w:rStyle w:val="Hiperveza"/>
                </w:rPr>
                <w:t>ROE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49" w:history="true">
              <w:r w:rsidR="009A5709">
                <w:rPr>
                  <w:rStyle w:val="Hiperveza"/>
                </w:rPr>
                <w:t>ROA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-73.020,00%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-5.696,14%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-138,17%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-15,14%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0" w:history="true">
              <w:r w:rsidR="009A5709">
                <w:rPr>
                  <w:rStyle w:val="Hiperveza"/>
                </w:rPr>
                <w:t>Povrat na investirani kapital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POKAZATELJI EKONOMIČNOSTI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1" w:history="true">
              <w:r w:rsidR="009A5709">
                <w:rPr>
                  <w:rStyle w:val="Hiperveza"/>
                </w:rPr>
                <w:t>Ekonomičnost ukupnog (neprekinutog) poslovanja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0,56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0,95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2" w:history="true">
              <w:r w:rsidR="009A5709">
                <w:rPr>
                  <w:rStyle w:val="Hiperveza"/>
                </w:rPr>
                <w:t>Ekonomičnost poslovnih aktivnosti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0,56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0,95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3" w:history="true">
              <w:r w:rsidR="009A5709">
                <w:rPr>
                  <w:rStyle w:val="Hiperveza"/>
                </w:rPr>
                <w:t>Ekonomičnost financijskih aktivnosti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POKAZATELJI ULAGANJA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4" w:history="true">
              <w:r w:rsidR="009A5709">
                <w:rPr>
                  <w:rStyle w:val="Hiperveza"/>
                </w:rPr>
                <w:t>Koeficijent ulaganja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0,00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5" w:history="true">
              <w:r w:rsidR="009A5709">
                <w:rPr>
                  <w:rStyle w:val="Hiperveza"/>
                </w:rPr>
                <w:t>Koeficijent obnavljanja imovine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6" w:history="true">
              <w:r w:rsidR="009A5709">
                <w:rPr>
                  <w:rStyle w:val="Hiperveza"/>
                </w:rPr>
                <w:t>Stopa otpisanosti dugotrajne imovine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7" w:history="true">
              <w:r w:rsidR="009A5709">
                <w:rPr>
                  <w:rStyle w:val="Hiperveza"/>
                </w:rPr>
                <w:t>Pokrivenost amortizacije investicijama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POKAZATELJI ZAPOSLENIH, PRODUKTIVNOSTI I PROSJEČNIH PLAĆA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8" w:history="true">
              <w:r w:rsidR="009A5709">
                <w:rPr>
                  <w:rStyle w:val="Hiperveza"/>
                </w:rPr>
                <w:t>Broj zaposlenih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59" w:history="true">
              <w:r w:rsidR="009A5709">
                <w:rPr>
                  <w:rStyle w:val="Hiperveza"/>
                </w:rPr>
                <w:t>Poslovni prihod po zaposlenom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42.562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203.232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60" w:history="true">
              <w:r w:rsidR="009A5709">
                <w:rPr>
                  <w:rStyle w:val="Hiperveza"/>
                </w:rPr>
                <w:t>Neto dobit/gubitak po zaposlenom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-3.651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-51.607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-33.843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-11.355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61" w:history="true">
              <w:r w:rsidR="009A5709">
                <w:rPr>
                  <w:rStyle w:val="Hiperveza"/>
                </w:rPr>
                <w:t>Prosječna mjesečna bruto plaća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302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3.655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3.783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6.127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62" w:history="true">
              <w:r w:rsidR="009A5709">
                <w:rPr>
                  <w:rStyle w:val="Hiperveza"/>
                </w:rPr>
                <w:t>Prosječna mjesečna neto plaća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206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2.259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2.582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4.109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63" w:history="true">
              <w:r w:rsidR="009A5709">
                <w:rPr>
                  <w:rStyle w:val="Hiperveza"/>
                </w:rPr>
                <w:t>Udio troškova osoblja u poslovnim prihodima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n.s.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106,66%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36,17%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POKAZATELJI POSLOVANJA S INOZEMSTVOM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2016.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2017.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64" w:history="true">
              <w:r w:rsidR="009A5709">
                <w:rPr>
                  <w:rStyle w:val="Hiperveza"/>
                </w:rPr>
                <w:t>Izvoz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42.562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20.190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F61C2C" w:rsidP="004340FF" w:rsidR="009A5709">
            <w:hyperlink r:id="rId65" w:history="true">
              <w:r w:rsidR="009A5709">
                <w:rPr>
                  <w:rStyle w:val="Hiperveza"/>
                </w:rPr>
                <w:t>Uvoz</w:t>
              </w:r>
            </w:hyperlink>
            <w:r w:rsidR="009A5709">
              <w:t xml:space="preserve">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>0</w:t>
            </w:r>
          </w:p>
        </w:tc>
      </w:tr>
    </w:tbl>
    <w:p w:rsidRDefault="009A5709" w:rsidP="009A5709" w:rsidR="009A5709">
      <w:pPr>
        <w:spacing w:afterAutospacing="true" w:after="100" w:beforeAutospacing="true" w:before="100"/>
      </w:pPr>
    </w:p>
    <w:p w:rsidRDefault="009A5709" w:rsidP="009A5709" w:rsidR="009A5709">
      <w:pPr>
        <w:pBdr>
          <w:bottom w:space="1" w:sz="6" w:color="auto" w:val="single"/>
        </w:pBdr>
        <w:jc w:val="center"/>
        <w:rPr>
          <w:vanish/>
        </w:rPr>
      </w:pPr>
      <w:r>
        <w:rPr>
          <w:vanish/>
        </w:rPr>
        <w:t>Top of Form</w:t>
      </w:r>
    </w:p>
    <w:p w:rsidRDefault="009A5709" w:rsidP="009A5709" w:rsidR="009A5709">
      <w:pPr>
        <w:pBdr>
          <w:top w:space="1" w:sz="6" w:color="auto" w:val="single"/>
        </w:pBdr>
        <w:jc w:val="center"/>
        <w:rPr>
          <w:vanish/>
        </w:rPr>
      </w:pPr>
      <w:r>
        <w:rPr>
          <w:vanish/>
        </w:rPr>
        <w:t>Bottom of Form</w:t>
      </w:r>
    </w:p>
    <w:p w:rsidRDefault="009A5709" w:rsidP="009A5709" w:rsidR="009A5709">
      <w:pPr>
        <w:jc w:val="both"/>
        <w:rPr>
          <w:rStyle w:val="tooltip"/>
          <w:rFonts w:eastAsiaTheme="minorEastAsia"/>
          <w:lang w:eastAsia="en-GB"/>
        </w:rPr>
      </w:pPr>
    </w:p>
    <w:p w:rsidRDefault="009A5709" w:rsidP="009A5709" w:rsidR="009A5709">
      <w:pPr>
        <w:jc w:val="both"/>
      </w:pPr>
      <w:r>
        <w:rPr>
          <w:rStyle w:val="tooltip"/>
        </w:rPr>
        <w:t>HR5823400091110687888, Privredna banka Zagreb</w:t>
      </w:r>
    </w:p>
    <w:p w:rsidRDefault="009A5709" w:rsidP="009A5709" w:rsidR="009A5709">
      <w:pPr>
        <w:jc w:val="both"/>
      </w:pPr>
    </w:p>
    <w:p w:rsidRDefault="009A5709" w:rsidP="009A5709" w:rsidR="009A5709">
      <w:pPr>
        <w:spacing w:afterAutospacing="true" w:after="100" w:beforeAutospacing="true" w:before="100"/>
        <w:outlineLvl w:val="1"/>
        <w:rPr>
          <w:b/>
          <w:bCs/>
        </w:rPr>
      </w:pPr>
      <w:r>
        <w:rPr>
          <w:b/>
          <w:bCs/>
        </w:rPr>
        <w:t>Računi i blokade</w:t>
      </w:r>
    </w:p>
    <w:p w:rsidRDefault="009A5709" w:rsidP="009A5709" w:rsidR="009A5709">
      <w:pPr>
        <w:spacing w:afterAutospacing="true" w:after="100" w:beforeAutospacing="true" w:before="100"/>
        <w:outlineLvl w:val="2"/>
        <w:rPr>
          <w:b/>
          <w:bCs/>
        </w:rPr>
      </w:pPr>
      <w:r>
        <w:rPr>
          <w:b/>
          <w:bCs/>
        </w:rPr>
        <w:t>Pregled blokada u promatranom razdoblju</w:t>
      </w:r>
    </w:p>
    <w:p w:rsidRDefault="009A5709" w:rsidP="009A5709" w:rsidR="009A5709">
      <w:r>
        <w:t>Broj dana u blokadi</w:t>
      </w:r>
    </w:p>
    <w:p w:rsidRDefault="009A5709" w:rsidP="009A5709" w:rsidR="009A5709">
      <w:r>
        <w:t>Promatrano razdoblje</w:t>
      </w:r>
    </w:p>
    <w:p w:rsidRDefault="009A5709" w:rsidP="009A5709" w:rsidR="009A5709">
      <w:r>
        <w:t>484/1095</w:t>
      </w:r>
    </w:p>
    <w:p w:rsidRDefault="009A5709" w:rsidP="009A5709" w:rsidR="009A5709"/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14"/>
        <w:gridCol w:w="2267"/>
        <w:gridCol w:w="1606"/>
        <w:gridCol w:w="1678"/>
        <w:gridCol w:w="907"/>
      </w:tblGrid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Račun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Banka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Datum otvaranja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Datum zatvaranja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Blokiran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HR5823400091110687888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Privredna banka Zagreb d.d.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18.11.2014.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DA </w:t>
            </w:r>
          </w:p>
        </w:tc>
      </w:tr>
    </w:tbl>
    <w:p w:rsidRDefault="009A5709" w:rsidP="009A5709" w:rsidR="009A5709">
      <w:pPr>
        <w:rPr>
          <w:vanish/>
        </w:rPr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34"/>
        <w:gridCol w:w="1687"/>
        <w:gridCol w:w="1367"/>
        <w:gridCol w:w="2808"/>
      </w:tblGrid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Red. br.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Početak blokade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Kraj blokade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Trajanje blokade u danima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18.11.2015.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26.11.2015.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8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18.5.2016.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16.6.2016.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29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3.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17.6.2016.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30.6.2016.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13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4.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19.7.2016.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31.8.2016.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43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5.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16.2.2017.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8.3.2017.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20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18.7.2017.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11.12.2017.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146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7.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9.1.2018.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još traje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225 </w:t>
            </w:r>
          </w:p>
        </w:tc>
      </w:tr>
    </w:tbl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  <w:r>
        <w:t>Bilanca za 2017. godinu predana je nadležnim službama dana 30.04.2018.godine. Iz bilančnih zapisa može se utvrditi da dužnik ima materijalnu imovinu u iznosu od 102.832 kuna, od čega zalihe robe čine 28.045 kuna  a potraživanja 62.444 kuna, te novac u blagajni 12.334 kune.</w:t>
      </w:r>
    </w:p>
    <w:p w:rsidRDefault="009A5709" w:rsidP="009A5709" w:rsidR="009A5709">
      <w:pPr>
        <w:jc w:val="both"/>
      </w:pPr>
      <w:r>
        <w:t>S druge strane dužnik ima negativan kapital i rezerve u iznosu od -100.447  i kratkoročne obveze u iznosu od 203.270,00 kuna, pa se na temelju ovoga može zaključiti da je dužnik prezadužen.</w:t>
      </w:r>
    </w:p>
    <w:p w:rsidRDefault="009A5709" w:rsidP="009A5709" w:rsidR="009A5709">
      <w:pPr>
        <w:jc w:val="both"/>
      </w:pPr>
      <w:r>
        <w:t>Račun dobiti i gubitka za 2017. godinu predan je nadležnim službama 30.04.2018. godine i iz njega možemo vidjeti da je dužnik ostvario poslovni prihod u 2017.godini u iznosu od 203.232 kuna, a poslovni rashod od 214.317 kuna, te poslovnu godinu završio s gubitkom od -11.355 kuna.</w:t>
      </w:r>
    </w:p>
    <w:p w:rsidRDefault="009A5709" w:rsidP="009A5709" w:rsidR="009A5709">
      <w:pPr>
        <w:jc w:val="both"/>
        <w:rPr>
          <w:rStyle w:val="tooltip"/>
          <w:rFonts w:eastAsiaTheme="minorEastAsia"/>
          <w:lang w:eastAsia="en-GB"/>
        </w:rPr>
      </w:pPr>
      <w:r>
        <w:t xml:space="preserve">Obzirom na blokadu računa </w:t>
      </w:r>
      <w:r>
        <w:rPr>
          <w:rStyle w:val="tooltip"/>
        </w:rPr>
        <w:t>HR5823400091110687888, kod Privredna banka Zagreb</w:t>
      </w:r>
    </w:p>
    <w:p w:rsidRDefault="009A5709" w:rsidP="009A5709" w:rsidR="009A5709">
      <w:r>
        <w:t>23.8.2017.          26.11.2017.         24.2.2018.       25.5.2018.          23.8.2018.</w:t>
      </w:r>
    </w:p>
    <w:p w:rsidRDefault="009A5709" w:rsidP="009A5709" w:rsidR="009A5709"/>
    <w:p w:rsidRDefault="009A5709" w:rsidP="009A5709" w:rsidR="009A5709">
      <w:r>
        <w:t>Broj dana blokade 485</w:t>
      </w:r>
    </w:p>
    <w:p w:rsidRDefault="009A5709" w:rsidP="009A5709" w:rsidR="009A5709"/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14"/>
        <w:gridCol w:w="2846"/>
        <w:gridCol w:w="2700"/>
        <w:gridCol w:w="6"/>
        <w:gridCol w:w="874"/>
      </w:tblGrid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HR5823400091110687888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 Privredna banka Zagreb d.d.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 Otvoren račun 18.11.2014.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spacing w:lineRule="auto" w:line="276"/>
              <w:rPr>
                <w:sz w:val="22"/>
                <w:szCs w:val="22"/>
                <w:lang w:eastAsia="en-GB" w:val="en-GB"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BlokDA </w:t>
            </w:r>
          </w:p>
        </w:tc>
      </w:tr>
    </w:tbl>
    <w:p w:rsidRDefault="009A5709" w:rsidP="009A5709" w:rsidR="009A5709">
      <w:pPr>
        <w:rPr>
          <w:vanish/>
        </w:rPr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34"/>
        <w:gridCol w:w="1807"/>
        <w:gridCol w:w="6"/>
        <w:gridCol w:w="6"/>
        <w:gridCol w:w="6"/>
        <w:gridCol w:w="1487"/>
        <w:gridCol w:w="2928"/>
      </w:tblGrid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Red. br.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Početak blokade </w:t>
            </w:r>
          </w:p>
        </w:tc>
        <w:tc>
          <w:tcPr>
            <w:tcW w:type="auto" w:w="0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</w:tc>
        <w:tc>
          <w:tcPr>
            <w:tcW w:type="auto" w:w="0"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</w:p>
        </w:tc>
        <w:tc>
          <w:tcPr>
            <w:tcW w:type="auto" w:w="0"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Kraj blokade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Trajanje blokade u danima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 18.11.2015. </w:t>
            </w:r>
          </w:p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26.11.2015.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8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 18.5.2016. </w:t>
            </w:r>
          </w:p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16.6.2016.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29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lastRenderedPageBreak/>
              <w:t xml:space="preserve">3.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 17.6.2016. </w:t>
            </w:r>
          </w:p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30.6.2016.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13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4.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 19.7.2016. </w:t>
            </w:r>
          </w:p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31.8.2016.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43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5.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 16.2.2017. </w:t>
            </w:r>
          </w:p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8.3.2017.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20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6.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 18.7.2017. </w:t>
            </w:r>
          </w:p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11.12.2017.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146 </w:t>
            </w:r>
          </w:p>
        </w:tc>
      </w:tr>
      <w:tr w:rsidTr="004340FF" w:rsidR="009A5709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7.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    9.1.2018. </w:t>
            </w:r>
          </w:p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</w:tcPr>
          <w:p w:rsidRDefault="009A5709" w:rsidP="004340FF" w:rsidR="009A5709"/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još traje </w:t>
            </w:r>
          </w:p>
        </w:tc>
        <w:tc>
          <w:tcPr>
            <w:tcW w:type="auto" w:w="0"/>
            <w:vAlign w:val="center"/>
            <w:hideMark/>
          </w:tcPr>
          <w:p w:rsidRDefault="009A5709" w:rsidP="004340FF" w:rsidR="009A5709">
            <w:r>
              <w:t xml:space="preserve">226 </w:t>
            </w:r>
          </w:p>
        </w:tc>
      </w:tr>
    </w:tbl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  <w:r>
        <w:t>Prilaže se i Potvrda zemljišno knjižnog odjela iz koje je vidljivo da dužnik nije upisan u upisnike nekretnina.</w:t>
      </w:r>
    </w:p>
    <w:p w:rsidRDefault="009A5709" w:rsidP="009A5709" w:rsidR="009A5709">
      <w:pPr>
        <w:jc w:val="both"/>
      </w:pPr>
      <w:r>
        <w:t>Radnih strojeva i registriranih vozila dužnik također nema.</w:t>
      </w:r>
    </w:p>
    <w:p w:rsidRDefault="009A5709" w:rsidP="009A5709" w:rsidR="009A5709">
      <w:pPr>
        <w:jc w:val="both"/>
      </w:pPr>
    </w:p>
    <w:p w:rsidRDefault="009A5709" w:rsidP="009A5709" w:rsidR="009A5709">
      <w:pPr>
        <w:pStyle w:val="Odlomakpopisa"/>
        <w:numPr>
          <w:ilvl w:val="0"/>
          <w:numId w:val="38"/>
        </w:numPr>
        <w:spacing w:lineRule="auto" w:line="240"/>
        <w:jc w:val="both"/>
        <w:rPr>
          <w:rFonts w:eastAsia="Times New Roman"/>
          <w:szCs w:val="24"/>
          <w:lang w:eastAsia="hr-HR" w:val="hr-HR"/>
        </w:rPr>
      </w:pPr>
      <w:r>
        <w:rPr>
          <w:rFonts w:eastAsia="Times New Roman"/>
          <w:szCs w:val="24"/>
          <w:lang w:eastAsia="hr-HR" w:val="hr-HR"/>
        </w:rPr>
        <w:t>Stečajni upravitelj utvrdio je postojanje stečajnih razloga i to kumulativno, insolventnost i prezaduženost dužnika</w:t>
      </w:r>
    </w:p>
    <w:p w:rsidRDefault="009A5709" w:rsidP="009A5709" w:rsidR="009A5709">
      <w:pPr>
        <w:pStyle w:val="Odlomakpopisa"/>
        <w:numPr>
          <w:ilvl w:val="0"/>
          <w:numId w:val="38"/>
        </w:numPr>
        <w:spacing w:lineRule="auto" w:line="240"/>
        <w:jc w:val="both"/>
        <w:rPr>
          <w:rFonts w:eastAsia="Times New Roman"/>
          <w:szCs w:val="24"/>
          <w:lang w:eastAsia="hr-HR" w:val="hr-HR"/>
        </w:rPr>
      </w:pPr>
      <w:r>
        <w:rPr>
          <w:rFonts w:eastAsia="Times New Roman"/>
          <w:szCs w:val="24"/>
          <w:lang w:eastAsia="hr-HR" w:val="hr-HR"/>
        </w:rPr>
        <w:t>Sukladno čalanku 119. stavak 2. točka 3. Stečajnog zakona  utvrđeno je da se imovinom dužnika ne mogu namiriti troškovi stečajnog postupka.</w:t>
      </w:r>
    </w:p>
    <w:p w:rsidRDefault="009A5709" w:rsidP="009A5709" w:rsidR="009A5709">
      <w:pPr>
        <w:pStyle w:val="Odlomakpopisa"/>
        <w:numPr>
          <w:ilvl w:val="0"/>
          <w:numId w:val="38"/>
        </w:numPr>
        <w:spacing w:lineRule="auto" w:line="240"/>
        <w:jc w:val="both"/>
        <w:rPr>
          <w:rFonts w:eastAsia="Times New Roman"/>
          <w:szCs w:val="24"/>
          <w:lang w:eastAsia="hr-HR" w:val="hr-HR"/>
        </w:rPr>
      </w:pPr>
      <w:r>
        <w:rPr>
          <w:rFonts w:eastAsia="Times New Roman"/>
          <w:szCs w:val="24"/>
          <w:lang w:eastAsia="hr-HR" w:val="hr-HR"/>
        </w:rPr>
        <w:t xml:space="preserve">Stečajni upravitelj </w:t>
      </w:r>
      <w:r w:rsidR="00567782">
        <w:rPr>
          <w:rFonts w:eastAsia="Times New Roman"/>
          <w:szCs w:val="24"/>
          <w:lang w:eastAsia="hr-HR" w:val="hr-HR"/>
        </w:rPr>
        <w:t>predložio je</w:t>
      </w:r>
      <w:r>
        <w:rPr>
          <w:rFonts w:eastAsia="Times New Roman"/>
          <w:szCs w:val="24"/>
          <w:lang w:eastAsia="hr-HR" w:val="hr-HR"/>
        </w:rPr>
        <w:t xml:space="preserve"> otvaranje stečajnog postupka i postupanje u smislu članka 132. Stečajnog zakona</w:t>
      </w: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</w:pPr>
    </w:p>
    <w:p w:rsidRDefault="009A5709" w:rsidP="009A5709" w:rsidR="009A5709">
      <w:pPr>
        <w:jc w:val="both"/>
        <w:rPr>
          <w:rFonts w:eastAsiaTheme="minorEastAsia"/>
          <w:lang w:eastAsia="en-GB" w:val="en-GB"/>
        </w:rPr>
      </w:pPr>
      <w:r>
        <w:t>PREDRAČUN TROŠKOVA OTVORENOG STEČAJNOG POSTUPKA</w:t>
      </w:r>
    </w:p>
    <w:p w:rsidRDefault="009A5709" w:rsidP="009A5709" w:rsidR="009A5709">
      <w:pPr>
        <w:ind w:left="360"/>
        <w:jc w:val="both"/>
      </w:pPr>
      <w:r>
        <w:t>Predvidivi  troškovi otvaranja stečajnog postupka iznosili bi 13.000,00 kuna za 6 mjeseci, a isti bi se odnosili na:</w:t>
      </w:r>
    </w:p>
    <w:p w:rsidRDefault="009A5709" w:rsidP="009A5709" w:rsidR="009A5709">
      <w:pPr>
        <w:tabs>
          <w:tab w:pos="7890" w:val="left"/>
        </w:tabs>
        <w:ind w:left="360"/>
        <w:jc w:val="both"/>
      </w:pPr>
      <w:r>
        <w:t>- otvaranje žiro računa                                                                     200,00</w:t>
      </w:r>
      <w:r>
        <w:tab/>
      </w:r>
    </w:p>
    <w:p w:rsidRDefault="009A5709" w:rsidP="009A5709" w:rsidR="009A5709">
      <w:pPr>
        <w:ind w:left="360"/>
        <w:jc w:val="both"/>
      </w:pPr>
      <w:r>
        <w:t>- izradu žiga,                                                                                       200,00</w:t>
      </w:r>
    </w:p>
    <w:p w:rsidRDefault="009A5709" w:rsidP="009A5709" w:rsidR="009A5709">
      <w:pPr>
        <w:ind w:left="360"/>
        <w:jc w:val="both"/>
      </w:pPr>
      <w:r>
        <w:t>- arhiviranje građe dužnika,                                                          2.000,00</w:t>
      </w:r>
    </w:p>
    <w:p w:rsidRDefault="009A5709" w:rsidP="009A5709" w:rsidR="009A5709">
      <w:pPr>
        <w:ind w:left="360"/>
        <w:jc w:val="both"/>
      </w:pPr>
      <w:r>
        <w:t>- nagradu i naknadu za rad stečajnom upravitelju,                  6.000,00</w:t>
      </w:r>
    </w:p>
    <w:p w:rsidRDefault="009A5709" w:rsidP="009A5709" w:rsidR="009A5709">
      <w:pPr>
        <w:ind w:left="360"/>
        <w:jc w:val="both"/>
      </w:pPr>
      <w:r>
        <w:t>-knjigovodstvene usluge,                                                              3.600,00</w:t>
      </w:r>
    </w:p>
    <w:p w:rsidRDefault="009A5709" w:rsidP="009A5709" w:rsidR="009A5709">
      <w:pPr>
        <w:ind w:left="360"/>
        <w:jc w:val="both"/>
      </w:pPr>
      <w:r>
        <w:t>-uredski materijal                                                                              600,00</w:t>
      </w:r>
    </w:p>
    <w:p w:rsidRDefault="009A5709" w:rsidP="009A5709" w:rsidR="009A5709">
      <w:pPr>
        <w:ind w:left="360"/>
        <w:jc w:val="both"/>
      </w:pPr>
      <w:r>
        <w:t xml:space="preserve">- i dr.troškovi                                                                                      400,00  </w:t>
      </w:r>
    </w:p>
    <w:p w:rsidRDefault="009A5709" w:rsidP="009A5709" w:rsidR="009A5709">
      <w:pPr>
        <w:jc w:val="both"/>
        <w:rPr>
          <w:bCs/>
        </w:rPr>
      </w:pPr>
    </w:p>
    <w:p w:rsidRDefault="009A5709" w:rsidP="009A5709" w:rsidR="009A5709">
      <w:pPr>
        <w:jc w:val="both"/>
        <w:rPr>
          <w:bCs/>
        </w:rPr>
      </w:pPr>
      <w:r>
        <w:rPr>
          <w:bCs/>
        </w:rPr>
        <w:tab/>
        <w:t xml:space="preserve">Priv. st. uprav. u spis </w:t>
      </w:r>
      <w:r w:rsidR="00567782">
        <w:rPr>
          <w:bCs/>
        </w:rPr>
        <w:t>je predao</w:t>
      </w:r>
      <w:r>
        <w:rPr>
          <w:bCs/>
        </w:rPr>
        <w:t xml:space="preserve"> Potvrdu zk. odjela Valpovo od 21.8.2018. g. i Bonitetno izvješće za dužnika iz kojih je razvidno da dužnik nema imovine.</w:t>
      </w:r>
    </w:p>
    <w:p w:rsidRDefault="00AB677A" w:rsidP="00FD37E2" w:rsidR="00AB677A" w:rsidRPr="005E551C">
      <w:pPr>
        <w:jc w:val="center"/>
      </w:pPr>
    </w:p>
    <w:p w:rsidRDefault="00AB677A" w:rsidP="00AB677A" w:rsidR="00AB677A" w:rsidRPr="005E551C">
      <w:pPr>
        <w:ind w:firstLine="708"/>
        <w:jc w:val="both"/>
      </w:pPr>
      <w:r w:rsidRPr="005E551C">
        <w:t xml:space="preserve">Rješenjem ovoga suda broj </w:t>
      </w:r>
      <w:r w:rsidR="00FD37E2">
        <w:t xml:space="preserve">6 </w:t>
      </w:r>
      <w:r w:rsidRPr="005E551C">
        <w:t>St-</w:t>
      </w:r>
      <w:r w:rsidR="009A5709">
        <w:t>952/18-13 od 27. rujna</w:t>
      </w:r>
      <w:r w:rsidR="00FD37E2">
        <w:t xml:space="preserve"> 2018</w:t>
      </w:r>
      <w:r>
        <w:t>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9A5709">
        <w:t>13.000</w:t>
      </w:r>
      <w:r w:rsidR="00FD37E2">
        <w:t>,00</w:t>
      </w:r>
      <w:r w:rsidRPr="005E551C">
        <w:t xml:space="preserve"> kn na ime predujma za pokriće troškova kako prethodnog tako i otvorenog stečajnog postupka.</w:t>
      </w:r>
    </w:p>
    <w:p w:rsidRDefault="00AB677A" w:rsidP="00AB677A" w:rsidR="00AB677A" w:rsidRPr="005E551C">
      <w:pPr>
        <w:ind w:firstLine="708"/>
        <w:jc w:val="both"/>
      </w:pPr>
    </w:p>
    <w:p w:rsidRDefault="00AB677A" w:rsidP="00AB677A" w:rsidR="00AB677A" w:rsidRPr="005E551C">
      <w:pPr>
        <w:ind w:firstLine="708"/>
        <w:jc w:val="both"/>
      </w:pPr>
      <w:r w:rsidRPr="005E551C">
        <w:t xml:space="preserve">Navedeno rješenje objavljeno je </w:t>
      </w:r>
      <w:r>
        <w:t xml:space="preserve">na e-oglasnoj ploči Trgovačkog suda u Osijeku dana </w:t>
      </w:r>
      <w:r w:rsidR="009A5709">
        <w:t>1. listopada</w:t>
      </w:r>
      <w:r w:rsidR="00FD37E2">
        <w:t xml:space="preserve"> 2018. g.</w:t>
      </w:r>
    </w:p>
    <w:p w:rsidRDefault="00AB677A" w:rsidP="00AB677A" w:rsidR="00AB677A" w:rsidRPr="005E551C">
      <w:pPr>
        <w:ind w:firstLine="708"/>
        <w:jc w:val="both"/>
      </w:pPr>
      <w:r w:rsidRPr="005E551C">
        <w:t xml:space="preserve"> </w:t>
      </w:r>
    </w:p>
    <w:p w:rsidRDefault="00AB677A" w:rsidP="00AB677A" w:rsidR="00AB677A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AB677A" w:rsidP="009A5709" w:rsidR="00AB677A" w:rsidRPr="005E551C">
      <w:pPr>
        <w:jc w:val="both"/>
      </w:pPr>
    </w:p>
    <w:p w:rsidRDefault="00AB677A" w:rsidP="009A5709" w:rsidR="009A5709">
      <w:pPr>
        <w:pStyle w:val="Odlomakpopisa"/>
        <w:spacing w:lineRule="auto" w:line="240"/>
        <w:ind w:firstLine="708" w:left="0"/>
        <w:jc w:val="both"/>
      </w:pPr>
      <w:r w:rsidRPr="001B3F65">
        <w:t xml:space="preserve">Sud je proveo uvid u priloženu dokumentaciju i to: </w:t>
      </w:r>
      <w:r w:rsidR="009A5709">
        <w:rPr>
          <w:szCs w:val="24"/>
          <w:lang w:val="hr-HR"/>
        </w:rPr>
        <w:t xml:space="preserve">Zahtjev za provedbu skraćenog st. postupka od 10.5.2018. g., izvadak iz sudskog registra za dužnika, </w:t>
      </w:r>
      <w:r w:rsidR="009A5709" w:rsidRPr="00743C38">
        <w:rPr>
          <w:szCs w:val="24"/>
          <w:lang w:val="hr-HR"/>
        </w:rPr>
        <w:t xml:space="preserve">Prijedlog </w:t>
      </w:r>
      <w:r w:rsidR="009A5709">
        <w:rPr>
          <w:szCs w:val="24"/>
          <w:lang w:val="hr-HR"/>
        </w:rPr>
        <w:t xml:space="preserve">PU za otvaranje st. postupka od 30.5.2018. g., dopis PU od 28.5.2018. g., godišnje fin. izvješće za 2016. g., podaci Porezne uprave o imovini dužnika od 28.5.2018. g., Očevidnik o redoslijedu plaćanja </w:t>
      </w:r>
      <w:r w:rsidR="009A5709">
        <w:rPr>
          <w:szCs w:val="24"/>
          <w:lang w:val="hr-HR"/>
        </w:rPr>
        <w:lastRenderedPageBreak/>
        <w:t xml:space="preserve">FINE od 28.5.2018. g., podaci o blokadi računa dužnika PU od 28.5.2018. g., stanje računa poreznog obveznika na dan 28.5.2018. g., Rješenje TS Osijek 19 St-850/18 od 4.6.2018. g., Uvjerenje Centra za vozila od 24.7.2018. g., </w:t>
      </w:r>
      <w:r w:rsidR="009A5709">
        <w:rPr>
          <w:bCs/>
        </w:rPr>
        <w:t>Potvrda zk. odjela Valpovo od 21.8.2018. g. i Bonitetno izvješće za dužnika</w:t>
      </w:r>
    </w:p>
    <w:p w:rsidRDefault="00AB677A" w:rsidP="009A5709" w:rsidR="00AB677A">
      <w:pPr>
        <w:pStyle w:val="Odlomakpopisa"/>
        <w:spacing w:lineRule="auto" w:line="240"/>
        <w:ind w:firstLine="708" w:left="0"/>
        <w:jc w:val="both"/>
      </w:pPr>
    </w:p>
    <w:p w:rsidRDefault="00AB677A" w:rsidP="009A5709" w:rsidR="00AB677A" w:rsidRPr="00FD37E2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AB677A">
        <w:rPr>
          <w:lang w:val="hr-HR"/>
        </w:rPr>
        <w:t>Slijedom navedenog a temeljem provedenog dokaznog postupka sud je utvrdio da su ispunjene pretpostavke za otvaranje stečajnog postupka nad dužnikom propisane čl. 5 Stečajnog zakona („Narodne novine“ broj 71/15</w:t>
      </w:r>
      <w:r w:rsidR="00FD37E2">
        <w:rPr>
          <w:lang w:val="hr-HR"/>
        </w:rPr>
        <w:t xml:space="preserve"> i 104/17</w:t>
      </w:r>
      <w:r w:rsidRPr="00AB677A">
        <w:rPr>
          <w:lang w:val="hr-HR"/>
        </w:rPr>
        <w:t xml:space="preserve">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  <w:r>
        <w:tab/>
      </w:r>
    </w:p>
    <w:p w:rsidRDefault="00AB677A" w:rsidP="00FD37E2" w:rsidR="00FD37E2">
      <w:pPr>
        <w:jc w:val="both"/>
      </w:pPr>
      <w:r>
        <w:tab/>
        <w:t>Za stečajnog upravitelja, automatskim odabirom, imenovan je Predrag Filajdić iz Slavonskog Broda s liste A stečajnih upravitelja za područje nadležnosti ovoga suda a sukladno čl. 84 st. 1 u vezi s čl. 85 st. 2 SZ.</w:t>
      </w:r>
    </w:p>
    <w:p w:rsidRDefault="00AB677A" w:rsidP="00FD37E2" w:rsidR="00AB677A">
      <w:pPr>
        <w:jc w:val="both"/>
      </w:pPr>
    </w:p>
    <w:p w:rsidRDefault="00567782" w:rsidP="00FD37E2" w:rsidR="00567782">
      <w:pPr>
        <w:jc w:val="both"/>
      </w:pPr>
    </w:p>
    <w:p w:rsidRDefault="00AB677A" w:rsidP="00AB677A" w:rsidR="00AB677A">
      <w:pPr>
        <w:jc w:val="center"/>
      </w:pPr>
      <w:r w:rsidRPr="00D2596C">
        <w:t xml:space="preserve">U Osijeku </w:t>
      </w:r>
      <w:r w:rsidR="009A5709">
        <w:t>5. studenog</w:t>
      </w:r>
      <w:r w:rsidR="00FD37E2">
        <w:t xml:space="preserve"> 2018. g.</w:t>
      </w:r>
    </w:p>
    <w:p w:rsidRDefault="00AB677A" w:rsidP="00AB677A" w:rsidR="00AB677A">
      <w:pPr>
        <w:jc w:val="center"/>
      </w:pPr>
    </w:p>
    <w:p w:rsidRDefault="00AB677A" w:rsidP="00AB677A" w:rsidR="00AB677A">
      <w:pPr>
        <w:jc w:val="center"/>
      </w:pPr>
    </w:p>
    <w:p w:rsidRDefault="00AB677A" w:rsidP="00AB677A" w:rsidR="00AB677A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AB677A" w:rsidP="00AB677A" w:rsidR="00AB677A">
      <w:pPr>
        <w:ind w:hanging="5760" w:left="5760"/>
      </w:pPr>
      <w:r>
        <w:tab/>
      </w:r>
      <w:r>
        <w:tab/>
        <w:t xml:space="preserve">Nada Roso        </w:t>
      </w:r>
    </w:p>
    <w:p w:rsidRDefault="00AB677A" w:rsidP="00AB677A" w:rsidR="00AB677A">
      <w:r>
        <w:t xml:space="preserve">                                                                                                       </w:t>
      </w:r>
    </w:p>
    <w:p w:rsidRDefault="00AB677A" w:rsidP="00AB677A" w:rsidR="00AB677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B677A" w:rsidP="00AB677A" w:rsidR="00AB677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B677A" w:rsidP="00AB677A" w:rsidR="00AB677A">
      <w:pPr>
        <w:jc w:val="both"/>
        <w:rPr>
          <w:b/>
        </w:rPr>
      </w:pPr>
    </w:p>
    <w:p w:rsidRDefault="00AB677A" w:rsidP="00AB677A" w:rsidR="00AB677A" w:rsidRPr="007C599D">
      <w:pPr>
        <w:jc w:val="both"/>
        <w:rPr>
          <w:b/>
        </w:rPr>
      </w:pPr>
    </w:p>
    <w:p w:rsidRDefault="00AB677A" w:rsidP="00AB677A" w:rsidR="00AB677A" w:rsidRPr="007D7E9A">
      <w:pPr>
        <w:jc w:val="both"/>
      </w:pPr>
      <w:r w:rsidRPr="007D7E9A">
        <w:t>DNA:</w:t>
      </w:r>
    </w:p>
    <w:p w:rsidRDefault="00AB677A" w:rsidP="00AB677A" w:rsidR="00AB677A" w:rsidRPr="00D61BDE">
      <w:pPr>
        <w:tabs>
          <w:tab w:pos="4320" w:val="center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 xml:space="preserve">stečajni uprav. </w:t>
      </w:r>
      <w:r w:rsidRPr="00D61BDE">
        <w:t>Predrag Filajdić, Sl. Brod, L. Lukića 65</w:t>
      </w:r>
    </w:p>
    <w:p w:rsidRDefault="00AB677A" w:rsidP="00AB677A" w:rsidR="00AB677A">
      <w:pPr>
        <w:tabs>
          <w:tab w:pos="4320" w:val="center"/>
        </w:tabs>
      </w:pPr>
      <w:r>
        <w:t>2</w:t>
      </w:r>
      <w:r w:rsidRPr="007D7E9A">
        <w:t>.</w:t>
      </w:r>
      <w:r w:rsidRPr="007D7E9A">
        <w:rPr>
          <w:b/>
        </w:rPr>
        <w:t xml:space="preserve"> </w:t>
      </w:r>
      <w:r w:rsidRPr="007D7E9A">
        <w:t xml:space="preserve">ŽDO </w:t>
      </w:r>
      <w:r>
        <w:t>Osijek</w:t>
      </w:r>
    </w:p>
    <w:p w:rsidRDefault="00FD37E2" w:rsidP="00AB677A" w:rsidR="00AB677A">
      <w:pPr>
        <w:tabs>
          <w:tab w:pos="4965" w:val="left"/>
        </w:tabs>
        <w:jc w:val="both"/>
      </w:pPr>
      <w:r>
        <w:t>3</w:t>
      </w:r>
      <w:r w:rsidR="00AB677A" w:rsidRPr="0017695F">
        <w:t>. dužnik</w:t>
      </w:r>
    </w:p>
    <w:p w:rsidRDefault="00FD37E2" w:rsidP="00AB677A" w:rsidR="00AB677A">
      <w:pPr>
        <w:tabs>
          <w:tab w:pos="4965" w:val="left"/>
        </w:tabs>
        <w:jc w:val="both"/>
      </w:pPr>
      <w:r>
        <w:t>4</w:t>
      </w:r>
      <w:r w:rsidR="00AB677A">
        <w:t>. FINA</w:t>
      </w:r>
      <w:r w:rsidR="00AB677A" w:rsidRPr="00BA7BA2">
        <w:tab/>
      </w:r>
    </w:p>
    <w:p w:rsidRDefault="00FD37E2" w:rsidP="00AB677A" w:rsidR="00AB677A">
      <w:pPr>
        <w:tabs>
          <w:tab w:pos="3225" w:val="left"/>
          <w:tab w:pos="5850" w:val="left"/>
        </w:tabs>
        <w:jc w:val="both"/>
      </w:pPr>
      <w:r>
        <w:t>5</w:t>
      </w:r>
      <w:r w:rsidR="00AB677A" w:rsidRPr="007D7E9A">
        <w:t xml:space="preserve">. </w:t>
      </w:r>
      <w:r w:rsidR="00AB677A">
        <w:t>e-</w:t>
      </w:r>
      <w:r w:rsidR="00AB677A" w:rsidRPr="007D7E9A">
        <w:t>ogl. pl.</w:t>
      </w:r>
    </w:p>
    <w:p w:rsidRDefault="00FD37E2" w:rsidP="00AB677A" w:rsidR="00AB677A">
      <w:pPr>
        <w:tabs>
          <w:tab w:pos="3225" w:val="left"/>
          <w:tab w:pos="5850" w:val="left"/>
        </w:tabs>
        <w:jc w:val="both"/>
      </w:pPr>
      <w:r>
        <w:t>6</w:t>
      </w:r>
      <w:r w:rsidR="00AB677A">
        <w:t>. Registar TS Osijek</w:t>
      </w:r>
    </w:p>
    <w:p w:rsidRDefault="00FD37E2" w:rsidP="00567782" w:rsidR="00AB677A">
      <w:pPr>
        <w:tabs>
          <w:tab w:pos="1710" w:val="left"/>
        </w:tabs>
        <w:jc w:val="both"/>
      </w:pPr>
      <w:r>
        <w:t>7</w:t>
      </w:r>
      <w:r w:rsidR="00AB677A">
        <w:t xml:space="preserve">. kal. </w:t>
      </w:r>
      <w:r w:rsidR="00567782">
        <w:t>5.12.</w:t>
      </w: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ind w:firstLine="720"/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522135" w:rsidP="00AB677A" w:rsidR="00522135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  <w:bookmarkStart w:name="_GoBack" w:id="0"/>
      <w:bookmarkEnd w:id="0"/>
    </w:p>
    <w:sectPr w:rsidR="00AB677A">
      <w:headerReference w:type="default" r:id="rId6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C2C" w:rsidP="00AB677A" w:rsidR="00F61C2C">
      <w:r>
        <w:separator/>
      </w:r>
    </w:p>
  </w:endnote>
  <w:endnote w:id="0" w:type="continuationSeparator">
    <w:p w:rsidRDefault="00F61C2C" w:rsidP="00AB677A" w:rsidR="00F61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C2C" w:rsidP="00AB677A" w:rsidR="00F61C2C">
      <w:r>
        <w:separator/>
      </w:r>
    </w:p>
  </w:footnote>
  <w:footnote w:id="0" w:type="continuationSeparator">
    <w:p w:rsidRDefault="00F61C2C" w:rsidP="00AB677A" w:rsidR="00F61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5850395"/>
      <w:docPartObj>
        <w:docPartGallery w:val="Page Numbers (Top of Page)"/>
        <w:docPartUnique/>
      </w:docPartObj>
    </w:sdtPr>
    <w:sdtEndPr/>
    <w:sdtContent>
      <w:p w:rsidRDefault="00AB677A" w:rsidR="00AB67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248">
          <w:rPr>
            <w:noProof/>
          </w:rPr>
          <w:t>15</w:t>
        </w:r>
        <w:r>
          <w:fldChar w:fldCharType="end"/>
        </w:r>
      </w:p>
    </w:sdtContent>
  </w:sdt>
  <w:p w:rsidRDefault="006201F6" w:rsidP="006201F6" w:rsidR="006201F6">
    <w:pPr>
      <w:jc w:val="right"/>
    </w:pPr>
    <w:r>
      <w:t>Broj: 6 St-</w:t>
    </w:r>
    <w:r w:rsidR="009A5709">
      <w:t>952</w:t>
    </w:r>
    <w:r>
      <w:t>/18-</w:t>
    </w:r>
    <w:r w:rsidR="009A5709">
      <w:t>16</w:t>
    </w:r>
  </w:p>
  <w:p w:rsidRDefault="00AB677A" w:rsidR="00AB67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5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83291A"/>
    <w:multiLevelType w:val="hybridMultilevel"/>
    <w:tmpl w:val="15607A3C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0C6DC1"/>
    <w:multiLevelType w:val="hybridMultilevel"/>
    <w:tmpl w:val="21505C78"/>
    <w:lvl w:tplc="298C43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1E3A452F"/>
    <w:multiLevelType w:val="hybridMultilevel"/>
    <w:tmpl w:val="0EEE2C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3342F15"/>
    <w:multiLevelType w:val="hybridMultilevel"/>
    <w:tmpl w:val="5A1AFD1C"/>
    <w:lvl w:tplc="95E647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1DF62FA"/>
    <w:multiLevelType w:val="hybridMultilevel"/>
    <w:tmpl w:val="51EE999C"/>
    <w:lvl w:tplc="8F681E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9E70676"/>
    <w:multiLevelType w:val="hybridMultilevel"/>
    <w:tmpl w:val="CB4C9FB0"/>
    <w:lvl w:tplc="E0EEC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D5D4E9E"/>
    <w:multiLevelType w:val="hybridMultilevel"/>
    <w:tmpl w:val="ED70AA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D5A39A6"/>
    <w:multiLevelType w:val="hybridMultilevel"/>
    <w:tmpl w:val="7A5E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00866B1"/>
    <w:multiLevelType w:val="hybridMultilevel"/>
    <w:tmpl w:val="2E3407C2"/>
    <w:lvl w:tplc="13309E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0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6CF28A3"/>
    <w:multiLevelType w:val="hybridMultilevel"/>
    <w:tmpl w:val="97E23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F733244"/>
    <w:multiLevelType w:val="hybridMultilevel"/>
    <w:tmpl w:val="49583D4C"/>
    <w:lvl w:tplc="FF0AADF0" w:ilvl="0">
      <w:start w:val="1"/>
      <w:numFmt w:val="bullet"/>
      <w:lvlText w:val="–"/>
      <w:lvlJc w:val="left"/>
      <w:pPr>
        <w:tabs>
          <w:tab w:pos="1450" w:val="num"/>
        </w:tabs>
        <w:ind w:hanging="256" w:left="1450"/>
      </w:pPr>
      <w:rPr>
        <w:rFonts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33"/>
  </w:num>
  <w:num w:numId="2">
    <w:abstractNumId w:val="9"/>
  </w:num>
  <w:num w:numId="3">
    <w:abstractNumId w:val="10"/>
  </w:num>
  <w:num w:numId="4">
    <w:abstractNumId w:val="28"/>
  </w:num>
  <w:num w:numId="5">
    <w:abstractNumId w:val="26"/>
  </w:num>
  <w:num w:numId="6">
    <w:abstractNumId w:val="29"/>
  </w:num>
  <w:num w:numId="7">
    <w:abstractNumId w:val="14"/>
  </w:num>
  <w:num w:numId="8">
    <w:abstractNumId w:val="11"/>
  </w:num>
  <w:num w:numId="9">
    <w:abstractNumId w:val="18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3"/>
  </w:num>
  <w:num w:numId="14">
    <w:abstractNumId w:val="4"/>
  </w:num>
  <w:num w:numId="15">
    <w:abstractNumId w:val="20"/>
  </w:num>
  <w:num w:numId="16">
    <w:abstractNumId w:val="17"/>
  </w:num>
  <w:num w:numId="17">
    <w:abstractNumId w:val="32"/>
  </w:num>
  <w:num w:numId="18">
    <w:abstractNumId w:val="22"/>
  </w:num>
  <w:num w:numId="19">
    <w:abstractNumId w:val="21"/>
  </w:num>
  <w:num w:numId="20">
    <w:abstractNumId w:val="16"/>
  </w:num>
  <w:num w:numId="21">
    <w:abstractNumId w:val="6"/>
  </w:num>
  <w:num w:numId="22">
    <w:abstractNumId w:val="34"/>
  </w:num>
  <w:num w:numId="23">
    <w:abstractNumId w:val="19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"/>
  </w:num>
  <w:num w:numId="27">
    <w:abstractNumId w:val="27"/>
  </w:num>
  <w:num w:numId="28">
    <w:abstractNumId w:val="24"/>
  </w:num>
  <w:num w:numId="29">
    <w:abstractNumId w:val="30"/>
  </w:num>
  <w:num w:numId="30">
    <w:abstractNumId w:val="8"/>
  </w:num>
  <w:num w:numId="31">
    <w:abstractNumId w:val="5"/>
  </w:num>
  <w:num w:numId="32">
    <w:abstractNumId w:val="7"/>
  </w:num>
  <w:num w:numId="33">
    <w:abstractNumId w:val="31"/>
  </w:num>
  <w:num w:numId="34">
    <w:abstractNumId w:val="12"/>
  </w:num>
  <w:num w:numId="35">
    <w:abstractNumId w:val="13"/>
  </w:num>
  <w:num w:numId="36">
    <w:abstractNumId w:val="25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77A"/>
    <w:rsid w:val="00113454"/>
    <w:rsid w:val="00522135"/>
    <w:rsid w:val="005608C6"/>
    <w:rsid w:val="00567782"/>
    <w:rsid w:val="006201F6"/>
    <w:rsid w:val="009A5709"/>
    <w:rsid w:val="00A13340"/>
    <w:rsid w:val="00A92D50"/>
    <w:rsid w:val="00AB677A"/>
    <w:rsid w:val="00C01B89"/>
    <w:rsid w:val="00D65096"/>
    <w:rsid w:val="00F16248"/>
    <w:rsid w:val="00F61C2C"/>
    <w:rsid w:val="00FD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7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D37E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B677A"/>
    <w:rPr>
      <w:b/>
      <w:bCs/>
    </w:rPr>
  </w:style>
  <w:style w:styleId="Bezproreda" w:type="paragraph">
    <w:name w:val="No Spacing"/>
    <w:link w:val="BezproredaChar"/>
    <w:uiPriority w:val="1"/>
    <w:qFormat/>
    <w:rsid w:val="00AB67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link w:val="Bezproreda"/>
    <w:uiPriority w:val="1"/>
    <w:rsid w:val="00AB677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unhideWhenUsed/>
    <w:rsid w:val="00AB67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AB677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B677A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B677A"/>
    <w:rPr>
      <w:rFonts w:cs="Times New Roman" w:eastAsia="Calibri" w:hAnsi="Times New Roman" w:ascii="Times New Roman"/>
      <w:sz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B67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677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AB67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677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FD37E2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D37E2"/>
  </w:style>
  <w:style w:styleId="Tijeloteksta2" w:type="paragraph">
    <w:name w:val="Body Text 2"/>
    <w:basedOn w:val="Normal"/>
    <w:link w:val="Tijeloteksta2Char"/>
    <w:uiPriority w:val="99"/>
    <w:rsid w:val="00FD37E2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FD37E2"/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Bezproreda1" w:type="paragraph">
    <w:name w:val="Bez proreda1"/>
    <w:rsid w:val="00FD37E2"/>
    <w:pPr>
      <w:suppressAutoHyphens/>
      <w:spacing w:lineRule="atLeast" w:line="100" w:after="0"/>
    </w:pPr>
    <w:rPr>
      <w:rFonts w:cs="Mangal" w:eastAsia="SimSun" w:hAnsi="Times New Roman" w:ascii="Times New Roma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FD37E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FD37E2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FD37E2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D37E2"/>
    <w:rPr>
      <w:rFonts w:cs="Times New Roman" w:eastAsia="Times New Roman" w:hAnsi="Times New Roman" w:ascii="Times New Roman"/>
      <w:sz w:val="24"/>
      <w:szCs w:val="24"/>
      <w:lang w:eastAsia="hr-HR"/>
    </w:rPr>
  </w:style>
  <w:style w:styleId="Istaknuto" w:type="character">
    <w:name w:val="Emphasis"/>
    <w:qFormat/>
    <w:rsid w:val="00FD37E2"/>
    <w:rPr>
      <w:i/>
      <w:iCs/>
    </w:rPr>
  </w:style>
  <w:style w:styleId="Naslov" w:type="paragraph">
    <w:name w:val="Title"/>
    <w:basedOn w:val="Normal"/>
    <w:next w:val="Normal"/>
    <w:link w:val="NaslovChar"/>
    <w:qFormat/>
    <w:rsid w:val="00FD37E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rsid w:val="00FD37E2"/>
    <w:rPr>
      <w:rFonts w:cs="Times New Roman" w:eastAsia="Times New Roman" w:hAnsi="Cambria" w:ascii="Cambria"/>
      <w:b/>
      <w:bCs/>
      <w:kern w:val="28"/>
      <w:sz w:val="32"/>
      <w:szCs w:val="32"/>
      <w:lang w:eastAsia="hr-HR"/>
    </w:rPr>
  </w:style>
  <w:style w:customStyle="true" w:styleId="Odlomakpopisa1" w:type="paragraph">
    <w:name w:val="Odlomak popisa1"/>
    <w:basedOn w:val="Normal"/>
    <w:qFormat/>
    <w:rsid w:val="00FD37E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cimalAligned" w:type="paragraph">
    <w:name w:val="Decimal Aligned"/>
    <w:basedOn w:val="Normal"/>
    <w:uiPriority w:val="40"/>
    <w:qFormat/>
    <w:rsid w:val="00FD37E2"/>
    <w:pPr>
      <w:tabs>
        <w:tab w:pos="360" w:val="decimal"/>
      </w:tabs>
      <w:spacing w:lineRule="auto" w:line="276" w:after="200"/>
    </w:pPr>
    <w:rPr>
      <w:rFonts w:hAnsi="Calibri" w:asci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FD37E2"/>
    <w:rPr>
      <w:rFonts w:cs="Times New Roman" w:eastAsia="Times New Roman"/>
      <w:bCs w:val="false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FD37E2"/>
    <w:pPr>
      <w:spacing w:lineRule="auto" w:line="240" w:after="0"/>
    </w:pPr>
    <w:rPr>
      <w:rFonts w:cs="Times New Roman" w:eastAsia="Times New Roman" w:hAnsi="Calibri" w:ascii="Calibri"/>
      <w:color w:val="365F91"/>
      <w:lang w:bidi="en-US" w:val="en-US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Default" w:type="paragraph">
    <w:name w:val="Default"/>
    <w:rsid w:val="00FD37E2"/>
    <w:pPr>
      <w:autoSpaceDE w:val="false"/>
      <w:autoSpaceDN w:val="false"/>
      <w:adjustRightInd w:val="false"/>
      <w:spacing w:lineRule="auto" w:line="240" w:after="0"/>
    </w:pPr>
    <w:rPr>
      <w:rFonts w:cs="Times New Roman" w:eastAsia="SimSun" w:hAnsi="Times New Roman" w:ascii="Times New Roman"/>
      <w:color w:val="000000"/>
      <w:sz w:val="24"/>
      <w:szCs w:val="24"/>
      <w:lang w:eastAsia="zh-CN"/>
    </w:rPr>
  </w:style>
  <w:style w:styleId="SlijeenaHiperveza" w:type="character">
    <w:name w:val="FollowedHyperlink"/>
    <w:uiPriority w:val="99"/>
    <w:unhideWhenUsed/>
    <w:rsid w:val="00FD37E2"/>
    <w:rPr>
      <w:color w:val="800080"/>
      <w:u w:val="single"/>
    </w:rPr>
  </w:style>
  <w:style w:styleId="Obinitekst" w:type="paragraph">
    <w:name w:val="Plain Text"/>
    <w:basedOn w:val="Normal"/>
    <w:link w:val="ObinitekstChar"/>
    <w:unhideWhenUsed/>
    <w:rsid w:val="00FD37E2"/>
    <w:rPr>
      <w:rFonts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rsid w:val="00FD37E2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tooltip" w:type="character">
    <w:name w:val="_tooltip"/>
    <w:rsid w:val="00FD37E2"/>
  </w:style>
  <w:style w:styleId="Tekstrezerviranogmjesta" w:type="character">
    <w:name w:val="Placeholder Text"/>
    <w:basedOn w:val="Zadanifontodlomka"/>
    <w:uiPriority w:val="99"/>
    <w:semiHidden/>
    <w:rsid w:val="00F162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162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62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2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2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7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D37E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B677A"/>
    <w:rPr>
      <w:b/>
      <w:bCs/>
    </w:rPr>
  </w:style>
  <w:style w:styleId="Bezproreda" w:type="paragraph">
    <w:name w:val="No Spacing"/>
    <w:link w:val="BezproredaChar"/>
    <w:uiPriority w:val="1"/>
    <w:qFormat/>
    <w:rsid w:val="00AB67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link w:val="Bezproreda"/>
    <w:uiPriority w:val="1"/>
    <w:rsid w:val="00AB677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unhideWhenUsed/>
    <w:rsid w:val="00AB67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AB677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B677A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B677A"/>
    <w:rPr>
      <w:rFonts w:ascii="Times New Roman" w:cs="Times New Roman" w:eastAsia="Calibri" w:hAnsi="Times New Roman"/>
      <w:sz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B67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677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AB67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677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FD37E2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D37E2"/>
  </w:style>
  <w:style w:styleId="Tijeloteksta2" w:type="paragraph">
    <w:name w:val="Body Text 2"/>
    <w:basedOn w:val="Normal"/>
    <w:link w:val="Tijeloteksta2Char"/>
    <w:uiPriority w:val="99"/>
    <w:rsid w:val="00FD37E2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FD37E2"/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Bezproreda1" w:type="paragraph">
    <w:name w:val="Bez proreda1"/>
    <w:rsid w:val="00FD37E2"/>
    <w:pPr>
      <w:suppressAutoHyphens/>
      <w:spacing w:after="0" w:line="100" w:lineRule="atLeast"/>
    </w:pPr>
    <w:rPr>
      <w:rFonts w:ascii="Times New Roman" w:cs="Mangal" w:eastAsia="SimSun" w:hAnsi="Times New Roma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FD37E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FD37E2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FD37E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D37E2"/>
    <w:rPr>
      <w:rFonts w:ascii="Times New Roman" w:cs="Times New Roman" w:eastAsia="Times New Roman" w:hAnsi="Times New Roman"/>
      <w:sz w:val="24"/>
      <w:szCs w:val="24"/>
      <w:lang w:eastAsia="hr-HR"/>
    </w:rPr>
  </w:style>
  <w:style w:styleId="Istaknuto" w:type="character">
    <w:name w:val="Emphasis"/>
    <w:qFormat/>
    <w:rsid w:val="00FD37E2"/>
    <w:rPr>
      <w:i/>
      <w:iCs/>
    </w:rPr>
  </w:style>
  <w:style w:styleId="Naslov" w:type="paragraph">
    <w:name w:val="Title"/>
    <w:basedOn w:val="Normal"/>
    <w:next w:val="Normal"/>
    <w:link w:val="NaslovChar"/>
    <w:qFormat/>
    <w:rsid w:val="00FD37E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rsid w:val="00FD37E2"/>
    <w:rPr>
      <w:rFonts w:ascii="Cambria" w:cs="Times New Roman" w:eastAsia="Times New Roman" w:hAnsi="Cambria"/>
      <w:b/>
      <w:bCs/>
      <w:kern w:val="28"/>
      <w:sz w:val="32"/>
      <w:szCs w:val="32"/>
      <w:lang w:eastAsia="hr-HR"/>
    </w:rPr>
  </w:style>
  <w:style w:customStyle="1" w:styleId="Odlomakpopisa1" w:type="paragraph">
    <w:name w:val="Odlomak popisa1"/>
    <w:basedOn w:val="Normal"/>
    <w:qFormat/>
    <w:rsid w:val="00FD37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cimalAligned" w:type="paragraph">
    <w:name w:val="Decimal Aligned"/>
    <w:basedOn w:val="Normal"/>
    <w:uiPriority w:val="40"/>
    <w:qFormat/>
    <w:rsid w:val="00FD37E2"/>
    <w:pPr>
      <w:tabs>
        <w:tab w:pos="360" w:val="decimal"/>
      </w:tabs>
      <w:spacing w:after="200" w:line="276" w:lineRule="auto"/>
    </w:pPr>
    <w:rPr>
      <w:rFonts w:ascii="Calibri" w:hAns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FD37E2"/>
    <w:rPr>
      <w:rFonts w:cs="Times New Roman" w:eastAsia="Times New Roman"/>
      <w:bCs w:val="0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FD37E2"/>
    <w:pPr>
      <w:spacing w:after="0" w:line="240" w:lineRule="auto"/>
    </w:pPr>
    <w:rPr>
      <w:rFonts w:ascii="Calibri" w:cs="Times New Roman" w:eastAsia="Times New Roman" w:hAnsi="Calibri"/>
      <w:color w:val="365F91"/>
      <w:lang w:bidi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Default" w:type="paragraph">
    <w:name w:val="Default"/>
    <w:rsid w:val="00FD37E2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SimSun" w:hAnsi="Times New Roman"/>
      <w:color w:val="000000"/>
      <w:sz w:val="24"/>
      <w:szCs w:val="24"/>
      <w:lang w:eastAsia="zh-CN"/>
    </w:rPr>
  </w:style>
  <w:style w:styleId="SlijeenaHiperveza" w:type="character">
    <w:name w:val="FollowedHyperlink"/>
    <w:uiPriority w:val="99"/>
    <w:unhideWhenUsed/>
    <w:rsid w:val="00FD37E2"/>
    <w:rPr>
      <w:color w:val="800080"/>
      <w:u w:val="single"/>
    </w:rPr>
  </w:style>
  <w:style w:styleId="Obinitekst" w:type="paragraph">
    <w:name w:val="Plain Text"/>
    <w:basedOn w:val="Normal"/>
    <w:link w:val="ObinitekstChar"/>
    <w:unhideWhenUsed/>
    <w:rsid w:val="00FD37E2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FD37E2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tooltip" w:type="character">
    <w:name w:val="_tooltip"/>
    <w:rsid w:val="00FD37E2"/>
  </w:style>
  <w:style w:styleId="Tekstrezerviranogmjesta" w:type="character">
    <w:name w:val="Placeholder Text"/>
    <w:basedOn w:val="Zadanifontodlomka"/>
    <w:uiPriority w:val="99"/>
    <w:semiHidden/>
    <w:rsid w:val="00F162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162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62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2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2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yperlink" Target="https://www.fininfo.hr/Eucenje/SetDictionary/66" TargetMode="External"/><Relationship Id="rId39" Type="http://schemas.openxmlformats.org/officeDocument/2006/relationships/hyperlink" Target="https://www.fininfo.hr/Eucenje/SetDictionary/86" TargetMode="External"/><Relationship Id="rId21" Type="http://schemas.openxmlformats.org/officeDocument/2006/relationships/image" Target="media/image12.png"/><Relationship Id="rId34" Type="http://schemas.openxmlformats.org/officeDocument/2006/relationships/hyperlink" Target="https://www.fininfo.hr/Eucenje/SetDictionary/74" TargetMode="External"/><Relationship Id="rId42" Type="http://schemas.openxmlformats.org/officeDocument/2006/relationships/hyperlink" Target="https://www.fininfo.hr/Eucenje/SetDictionary/110" TargetMode="External"/><Relationship Id="rId47" Type="http://schemas.openxmlformats.org/officeDocument/2006/relationships/hyperlink" Target="https://www.fininfo.hr/Eucenje/SetDictionary/94" TargetMode="External"/><Relationship Id="rId50" Type="http://schemas.openxmlformats.org/officeDocument/2006/relationships/hyperlink" Target="https://www.fininfo.hr/Eucenje/SetDictionary/111" TargetMode="External"/><Relationship Id="rId55" Type="http://schemas.openxmlformats.org/officeDocument/2006/relationships/hyperlink" Target="https://www.fininfo.hr/Eucenje/SetDictionary/103" TargetMode="External"/><Relationship Id="rId63" Type="http://schemas.openxmlformats.org/officeDocument/2006/relationships/hyperlink" Target="https://www.fininfo.hr/Eucenje/SetDictionary/83" TargetMode="External"/><Relationship Id="rId68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9" Type="http://schemas.openxmlformats.org/officeDocument/2006/relationships/hyperlink" Target="https://www.fininfo.hr/Eucenje/SetDictionary/7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fininfo.hr/Eucenje/SetDictionary/63" TargetMode="External"/><Relationship Id="rId32" Type="http://schemas.openxmlformats.org/officeDocument/2006/relationships/hyperlink" Target="https://www.fininfo.hr/Eucenje/SetDictionary/109" TargetMode="External"/><Relationship Id="rId37" Type="http://schemas.openxmlformats.org/officeDocument/2006/relationships/hyperlink" Target="https://www.fininfo.hr/Eucenje/SetDictionary/77" TargetMode="External"/><Relationship Id="rId40" Type="http://schemas.openxmlformats.org/officeDocument/2006/relationships/hyperlink" Target="https://www.fininfo.hr/Eucenje/SetDictionary/87" TargetMode="External"/><Relationship Id="rId45" Type="http://schemas.openxmlformats.org/officeDocument/2006/relationships/hyperlink" Target="https://www.fininfo.hr/Eucenje/SetDictionary/92" TargetMode="External"/><Relationship Id="rId53" Type="http://schemas.openxmlformats.org/officeDocument/2006/relationships/hyperlink" Target="https://www.fininfo.hr/Eucenje/SetDictionary/100" TargetMode="External"/><Relationship Id="rId58" Type="http://schemas.openxmlformats.org/officeDocument/2006/relationships/hyperlink" Target="https://www.fininfo.hr/Eucenje/SetDictionary/78" TargetMode="External"/><Relationship Id="rId66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hyperlink" Target="https://www.fininfo.hr/Eucenje/SetDictionary/108" TargetMode="External"/><Relationship Id="rId28" Type="http://schemas.openxmlformats.org/officeDocument/2006/relationships/hyperlink" Target="https://www.fininfo.hr/Eucenje/SetDictionary/68" TargetMode="External"/><Relationship Id="rId36" Type="http://schemas.openxmlformats.org/officeDocument/2006/relationships/hyperlink" Target="https://www.fininfo.hr/Eucenje/SetDictionary/76" TargetMode="External"/><Relationship Id="rId49" Type="http://schemas.openxmlformats.org/officeDocument/2006/relationships/hyperlink" Target="https://www.fininfo.hr/Eucenje/SetDictionary/97" TargetMode="External"/><Relationship Id="rId57" Type="http://schemas.openxmlformats.org/officeDocument/2006/relationships/hyperlink" Target="https://www.fininfo.hr/Eucenje/SetDictionary/107" TargetMode="External"/><Relationship Id="rId61" Type="http://schemas.openxmlformats.org/officeDocument/2006/relationships/hyperlink" Target="https://www.fininfo.hr/Eucenje/SetDictionary/81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hyperlink" Target="https://www.fininfo.hr/Eucenje/SetDictionary/72" TargetMode="External"/><Relationship Id="rId44" Type="http://schemas.openxmlformats.org/officeDocument/2006/relationships/hyperlink" Target="https://www.fininfo.hr/Eucenje/SetDictionary/90" TargetMode="External"/><Relationship Id="rId52" Type="http://schemas.openxmlformats.org/officeDocument/2006/relationships/hyperlink" Target="https://www.fininfo.hr/Eucenje/SetDictionary/99" TargetMode="External"/><Relationship Id="rId60" Type="http://schemas.openxmlformats.org/officeDocument/2006/relationships/hyperlink" Target="https://www.fininfo.hr/Eucenje/SetDictionary/80" TargetMode="External"/><Relationship Id="rId65" Type="http://schemas.openxmlformats.org/officeDocument/2006/relationships/hyperlink" Target="https://www.fininfo.hr/Eucenje/SetDictionary/167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yperlink" Target="https://www.fininfo.hr/Eucenje/SetDictionary/67" TargetMode="External"/><Relationship Id="rId30" Type="http://schemas.openxmlformats.org/officeDocument/2006/relationships/hyperlink" Target="https://www.fininfo.hr/Eucenje/SetDictionary/71" TargetMode="External"/><Relationship Id="rId35" Type="http://schemas.openxmlformats.org/officeDocument/2006/relationships/hyperlink" Target="https://www.fininfo.hr/Eucenje/SetDictionary/75" TargetMode="External"/><Relationship Id="rId43" Type="http://schemas.openxmlformats.org/officeDocument/2006/relationships/hyperlink" Target="https://www.fininfo.hr/Eucenje/SetDictionary/89" TargetMode="External"/><Relationship Id="rId48" Type="http://schemas.openxmlformats.org/officeDocument/2006/relationships/hyperlink" Target="https://www.fininfo.hr/Eucenje/SetDictionary/95" TargetMode="External"/><Relationship Id="rId56" Type="http://schemas.openxmlformats.org/officeDocument/2006/relationships/hyperlink" Target="https://www.fininfo.hr/Eucenje/SetDictionary/104" TargetMode="External"/><Relationship Id="rId64" Type="http://schemas.openxmlformats.org/officeDocument/2006/relationships/hyperlink" Target="https://www.fininfo.hr/Eucenje/SetDictionary/168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fininfo.hr/Eucenje/SetDictionary/112" TargetMode="Externa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yperlink" Target="https://www.fininfo.hr/Eucenje/SetDictionary/64" TargetMode="External"/><Relationship Id="rId33" Type="http://schemas.openxmlformats.org/officeDocument/2006/relationships/hyperlink" Target="https://www.fininfo.hr/Eucenje/SetDictionary/73" TargetMode="External"/><Relationship Id="rId38" Type="http://schemas.openxmlformats.org/officeDocument/2006/relationships/hyperlink" Target="https://www.fininfo.hr/Eucenje/SetDictionary/85" TargetMode="External"/><Relationship Id="rId46" Type="http://schemas.openxmlformats.org/officeDocument/2006/relationships/hyperlink" Target="https://www.fininfo.hr/Eucenje/SetDictionary/93" TargetMode="External"/><Relationship Id="rId59" Type="http://schemas.openxmlformats.org/officeDocument/2006/relationships/hyperlink" Target="https://www.fininfo.hr/Eucenje/SetDictionary/79" TargetMode="External"/><Relationship Id="rId67" Type="http://schemas.openxmlformats.org/officeDocument/2006/relationships/fontTable" Target="fontTable.xml"/><Relationship Id="rId20" Type="http://schemas.openxmlformats.org/officeDocument/2006/relationships/image" Target="media/image11.png"/><Relationship Id="rId41" Type="http://schemas.openxmlformats.org/officeDocument/2006/relationships/hyperlink" Target="https://www.fininfo.hr/Eucenje/SetDictionary/88" TargetMode="External"/><Relationship Id="rId54" Type="http://schemas.openxmlformats.org/officeDocument/2006/relationships/hyperlink" Target="https://www.fininfo.hr/Eucenje/SetDictionary/102" TargetMode="External"/><Relationship Id="rId62" Type="http://schemas.openxmlformats.org/officeDocument/2006/relationships/hyperlink" Target="https://www.fininfo.hr/Eucenje/SetDictionary/8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St-952/2018</izvorni_sadrzaj>
    <derivirana_varijabla naziv="DomainObject.Predmet.OznakaBroj_1">St-952/2018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FRAXINUS j.d.o.o. za proizvodnju i trgovinu</izvorni_sadrzaj>
    <derivirana_varijabla naziv="DomainObject.Predmet.ProtustrankaFormated_1">  FRAXINUS j.d.o.o. za proizvodnju i trgovinu</derivirana_varijabla>
  </DomainObject.Predmet.ProtustrankaFormated>
  <DomainObject.Predmet.ProtustrankaFormatedOIB>
    <izvorni_sadrzaj>  FRAXINUS j.d.o.o. za proizvodnju i trgovinu, OIB 10327389785</izvorni_sadrzaj>
    <derivirana_varijabla naziv="DomainObject.Predmet.ProtustrankaFormatedOIB_1">  FRAXINUS j.d.o.o. za proizvodnju i trgovinu, OIB 10327389785</derivirana_varijabla>
  </DomainObject.Predmet.ProtustrankaFormatedOIB>
  <DomainObject.Predmet.ProtustrankaFormatedWithAdress>
    <izvorni_sadrzaj> FRAXINUS j.d.o.o. za proizvodnju i trgovinu, Dobriše Cesarića 52, 31550 Valpovo</izvorni_sadrzaj>
    <derivirana_varijabla naziv="DomainObject.Predmet.ProtustrankaFormatedWithAdress_1"> FRAXINUS j.d.o.o. za proizvodnju i trgovinu, Dobriše Cesarića 52, 31550 Valpovo</derivirana_varijabla>
  </DomainObject.Predmet.ProtustrankaFormatedWithAdress>
  <DomainObject.Predmet.ProtustrankaFormatedWithAdressOIB>
    <izvorni_sadrzaj> FRAXINUS j.d.o.o. za proizvodnju i trgovinu, OIB 10327389785, Dobriše Cesarića 52, 31550 Valpovo</izvorni_sadrzaj>
    <derivirana_varijabla naziv="DomainObject.Predmet.ProtustrankaFormatedWithAdressOIB_1"> FRAXINUS j.d.o.o. za proizvodnju i trgovinu, OIB 10327389785, Dobriše Cesarića 52, 31550 Valpovo</derivirana_varijabla>
  </DomainObject.Predmet.ProtustrankaFormatedWithAdressOIB>
  <DomainObject.Predmet.ProtustrankaWithAdress>
    <izvorni_sadrzaj>FRAXINUS j.d.o.o. za proizvodnju i trgovinu Dobriše Cesarića 52, 31550 Valpovo</izvorni_sadrzaj>
    <derivirana_varijabla naziv="DomainObject.Predmet.ProtustrankaWithAdress_1">FRAXINUS j.d.o.o. za proizvodnju i trgovinu Dobriše Cesarića 52, 31550 Valpovo</derivirana_varijabla>
  </DomainObject.Predmet.ProtustrankaWithAdress>
  <DomainObject.Predmet.ProtustrankaWithAdressOIB>
    <izvorni_sadrzaj>FRAXINUS j.d.o.o. za proizvodnju i trgovinu, OIB 10327389785, Dobriše Cesarića 52, 31550 Valpovo</izvorni_sadrzaj>
    <derivirana_varijabla naziv="DomainObject.Predmet.ProtustrankaWithAdressOIB_1">FRAXINUS j.d.o.o. za proizvodnju i trgovinu, OIB 10327389785, Dobriše Cesarića 52, 31550 Valpovo</derivirana_varijabla>
  </DomainObject.Predmet.ProtustrankaWithAdressOIB>
  <DomainObject.Predmet.ProtustrankaNazivFormated>
    <izvorni_sadrzaj>FRAXINUS j.d.o.o. za proizvodnju i trgovinu</izvorni_sadrzaj>
    <derivirana_varijabla naziv="DomainObject.Predmet.ProtustrankaNazivFormated_1">FRAXINUS j.d.o.o. za proizvodnju i trgovinu</derivirana_varijabla>
  </DomainObject.Predmet.ProtustrankaNazivFormated>
  <DomainObject.Predmet.ProtustrankaNazivFormatedOIB>
    <izvorni_sadrzaj>FRAXINUS j.d.o.o. za proizvodnju i trgovinu, OIB 10327389785</izvorni_sadrzaj>
    <derivirana_varijabla naziv="DomainObject.Predmet.ProtustrankaNazivFormatedOIB_1">FRAXINUS j.d.o.o. za proizvodnju i trgovinu, OIB 10327389785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FRAXINUS j.d.o.o. za proizvodnju i trgovinu</item>
    </izvorni_sadrzaj>
    <derivirana_varijabla naziv="DomainObject.Predmet.ProtuStrankaListFormated_1">
      <item>FRAXINUS j.d.o.o. za proizvodnju i trgovinu</item>
    </derivirana_varijabla>
  </DomainObject.Predmet.ProtuStrankaListFormated>
  <DomainObject.Predmet.ProtuStrankaListFormatedOIB>
    <izvorni_sadrzaj>
      <item>FRAXINUS j.d.o.o. za proizvodnju i trgovinu, OIB 10327389785</item>
    </izvorni_sadrzaj>
    <derivirana_varijabla naziv="DomainObject.Predmet.ProtuStrankaListFormatedOIB_1">
      <item>FRAXINUS j.d.o.o. za proizvodnju i trgovinu, OIB 10327389785</item>
    </derivirana_varijabla>
  </DomainObject.Predmet.ProtuStrankaListFormatedOIB>
  <DomainObject.Predmet.ProtuStrankaListFormatedWithAdress>
    <izvorni_sadrzaj>
      <item>FRAXINUS j.d.o.o. za proizvodnju i trgovinu, Dobriše Cesarića 52, 31550 Valpovo</item>
    </izvorni_sadrzaj>
    <derivirana_varijabla naziv="DomainObject.Predmet.ProtuStrankaListFormatedWithAdress_1">
      <item>FRAXINUS j.d.o.o. za proizvodnju i trgovinu, Dobriše Cesarića 52, 31550 Valpovo</item>
    </derivirana_varijabla>
  </DomainObject.Predmet.ProtuStrankaListFormatedWithAdress>
  <DomainObject.Predmet.ProtuStrankaListFormatedWithAdressOIB>
    <izvorni_sadrzaj>
      <item>FRAXINUS j.d.o.o. za proizvodnju i trgovinu, OIB 10327389785, Dobriše Cesarića 52, 31550 Valpovo</item>
    </izvorni_sadrzaj>
    <derivirana_varijabla naziv="DomainObject.Predmet.ProtuStrankaListFormatedWithAdressOIB_1">
      <item>FRAXINUS j.d.o.o. za proizvodnju i trgovinu, OIB 10327389785, Dobriše Cesarića 52, 31550 Valpovo</item>
    </derivirana_varijabla>
  </DomainObject.Predmet.ProtuStrankaListFormatedWithAdressOIB>
  <DomainObject.Predmet.ProtuStrankaListNazivFormated>
    <izvorni_sadrzaj>
      <item>FRAXINUS j.d.o.o. za proizvodnju i trgovinu</item>
    </izvorni_sadrzaj>
    <derivirana_varijabla naziv="DomainObject.Predmet.ProtuStrankaListNazivFormated_1">
      <item>FRAXINUS j.d.o.o. za proizvodnju i trgovinu</item>
    </derivirana_varijabla>
  </DomainObject.Predmet.ProtuStrankaListNazivFormated>
  <DomainObject.Predmet.ProtuStrankaListNazivFormatedOIB>
    <izvorni_sadrzaj>
      <item>FRAXINUS j.d.o.o. za proizvodnju i trgovinu, OIB 10327389785</item>
    </izvorni_sadrzaj>
    <derivirana_varijabla naziv="DomainObject.Predmet.ProtuStrankaListNazivFormatedOIB_1">
      <item>FRAXINUS j.d.o.o. za proizvodnju i trgovinu, OIB 10327389785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FRAXINUS j.d.o.o. za proizvodnju i trgovinu</izvorni_sadrzaj>
    <derivirana_varijabla naziv="DomainObject.Predmet.ProtustrankaIDrugi_1">FRAXINUS j.d.o.o. za proizvodnju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FRAXINUS j.d.o.o. za proizvodnju i trgovinu, OIB 10327389785, Dobriše Cesarića 52, 31550 Valpovo</izvorni_sadrzaj>
    <derivirana_varijabla naziv="DomainObject.Predmet.ProtustrankaIDrugiAdressOIB_1">FRAXINUS j.d.o.o. za proizvodnju i trgovinu, OIB 10327389785, Dobriše Cesarića 52,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FRAXINUS j.d.o.o. za proizvodnju i trgovinu</item>
      <item>RH MF PODRUČNI URED OSIJEK</item>
    </izvorni_sadrzaj>
    <derivirana_varijabla naziv="DomainObject.Predmet.SudioniciListNaziv_1">
      <item>FRAXINUS j.d.o.o. za proizvodnju i trgovinu</item>
      <item>RH MF PODRUČNI URED OSIJEK</item>
    </derivirana_varijabla>
  </DomainObject.Predmet.SudioniciListNaziv>
  <DomainObject.Predmet.SudioniciListAdressOIB>
    <izvorni_sadrzaj>
      <item>FRAXINUS j.d.o.o. za proizvodnju i trgovinu, OIB 10327389785, Dobriše Cesarića 52,31550 Valpovo</item>
      <item>RH MF PODRUČNI URED OSIJEK, OIB 18683136487</item>
    </izvorni_sadrzaj>
    <derivirana_varijabla naziv="DomainObject.Predmet.SudioniciListAdressOIB_1">
      <item>FRAXINUS j.d.o.o. za proizvodnju i trgovinu, OIB 10327389785, Dobriše Cesarića 52,31550 Valpovo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10327389785</item>
      <item>, OIB 18683136487</item>
    </izvorni_sadrzaj>
    <derivirana_varijabla naziv="DomainObject.Predmet.SudioniciListNazivOIB_1">
      <item>, OIB 10327389785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St-952/2018-13</izvorni_sadrzaj>
    <derivirana_varijabla naziv="DomainObject.PredzadnjaOdlukaIzPredmeta.Oznaka_1">St-952/2018-13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65329-0A03-4063-8754-0289643F2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17</properties:Pages>
  <properties:Words>3552</properties:Words>
  <properties:Characters>17898</properties:Characters>
  <properties:Lines>3045</properties:Lines>
  <properties:Paragraphs>1745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2018-11-05T07:58:00Z</dcterms:created>
  <dc:creator>Danijela Sekulić</dc:creator>
  <cp:lastModifiedBy>Danijela Sekulić</cp:lastModifiedBy>
  <cp:lastPrinted>2018-11-05T08:12:00Z</cp:lastPrinted>
  <dcterms:modified xmlns:xsi="http://www.w3.org/2001/XMLSchema-instance" xsi:type="dcterms:W3CDTF">2018-11-05T08:16:00Z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(FRAXINUS -FILAJDIĆ.docx)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17</vt:i4>
  </prop:property>
</prop:Properties>
</file>