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bd47" w14:paraId="bddbd47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2C346D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C346D" w:rsidR="00EE75C3" w:rsidRPr="00EE75C3">
      <w:pPr>
        <w:pStyle w:val="Bezproreda"/>
        <w:spacing w:after="0"/>
      </w:pPr>
    </w:p>
    <w:p w:rsidRDefault="002C346D" w:rsidP="002C346D" w:rsidR="002C346D">
      <w:pPr>
        <w:pStyle w:val="Bezproreda"/>
        <w:spacing w:after="0"/>
      </w:pPr>
    </w:p>
    <w:p w:rsidRDefault="005B7AE9" w:rsidP="002C346D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C346D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75610F">
        <w:t>2 St-105/15-57</w:t>
      </w:r>
    </w:p>
    <w:p w:rsidRDefault="00373F06" w:rsidP="002C346D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2C346D" w:rsidR="002C346D">
      <w:pPr>
        <w:spacing w:after="0"/>
      </w:pPr>
    </w:p>
    <w:p w:rsidRDefault="00AE4C90" w:rsidP="002C346D" w:rsidR="00AE4C90">
      <w:pPr>
        <w:spacing w:after="0"/>
      </w:pPr>
    </w:p>
    <w:p w:rsidRDefault="0075610F" w:rsidP="0075610F" w:rsidR="0075610F">
      <w:pPr>
        <w:pStyle w:val="Bezproreda"/>
        <w:jc w:val="center"/>
      </w:pPr>
      <w:r>
        <w:t>R E P U B L I K A   H R V A T S K A</w:t>
      </w:r>
    </w:p>
    <w:p w:rsidRDefault="00AE4C90" w:rsidP="0075610F" w:rsidR="00AE4C90">
      <w:pPr>
        <w:pStyle w:val="Bezproreda"/>
        <w:jc w:val="center"/>
      </w:pPr>
    </w:p>
    <w:p w:rsidRDefault="0075610F" w:rsidP="0075610F" w:rsidR="0075610F">
      <w:pPr>
        <w:pStyle w:val="Bezproreda"/>
        <w:jc w:val="center"/>
      </w:pPr>
      <w:r>
        <w:t>R J E Š E NJ E</w:t>
      </w:r>
    </w:p>
    <w:p w:rsidRDefault="00AE4C90" w:rsidP="0075610F" w:rsidR="00AE4C90">
      <w:pPr>
        <w:pStyle w:val="Bezproreda"/>
        <w:jc w:val="center"/>
      </w:pPr>
    </w:p>
    <w:p w:rsidRDefault="0075610F" w:rsidP="00AE4C90" w:rsidR="00AE4C90">
      <w:pPr>
        <w:jc w:val="both"/>
        <w:rPr>
          <w:rFonts w:cs="Times New Roman"/>
        </w:rPr>
      </w:pPr>
      <w:r>
        <w:rPr>
          <w:rFonts w:cs="Times New Roman"/>
        </w:rPr>
        <w:t xml:space="preserve">             </w:t>
      </w:r>
      <w:r>
        <w:rPr>
          <w:rFonts w:cs="Times New Roman"/>
          <w:bCs/>
        </w:rPr>
        <w:t>Trgovački sud u Varaždinu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>p</w:t>
      </w:r>
      <w:r>
        <w:rPr>
          <w:rFonts w:cs="Times New Roman"/>
        </w:rPr>
        <w:t xml:space="preserve">o sutkinji toga suda Meliti Poljanec Bubaš, kao stečajnoj sutkinji, u stečajnom postupku nad stečajnim dužnikom TIHOMIROM KOKOLEKOM vlasnikom obrta PUTNIČKA AGENCIJA EXPRESS-TOURS, Čakovec, OIB: 92415294899, dana 13. rujna 2017. </w:t>
      </w:r>
    </w:p>
    <w:p w:rsidRDefault="0075610F" w:rsidP="00AE4C90" w:rsidR="0075610F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75610F" w:rsidP="0075610F" w:rsidR="0075610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  I. Bivšem direktoru dužnika Tihomiru Kokoleku, OIB: 92415294899, s prebivalištem u Ludbregu, Ulica Braće Radić 3, izriče se novčana kazna u iznosu od 1.000,00 kn, koju je dužan platiti u roku od osam dana od primitka ovoga rješenja, na račun </w:t>
      </w:r>
      <w:r>
        <w:rPr>
          <w:rFonts w:cs="Times New Roman" w:eastAsia="Calibri"/>
        </w:rPr>
        <w:t>Državnog proračuna Republike Hrvatske broj HR1210010051863000160, model HR64, poziv na broj odobrenja 5045-3574-22010515,</w:t>
      </w:r>
      <w:r>
        <w:rPr>
          <w:rFonts w:cs="Times New Roman"/>
        </w:rPr>
        <w:t xml:space="preserve"> i u istom roku o tome dostaviti dokaz u ovaj spis.</w:t>
      </w:r>
    </w:p>
    <w:p w:rsidRDefault="0075610F" w:rsidP="0075610F" w:rsidR="0075610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 II. Ako bivši direktor dužnika Tihomir Kokolek, OIB: 92415294899, s prebivalištem u Ludbregu, Ulica Braće Radić 3, ne plati novčanu kaznu u zadanom roku, izricati će mu se daljnje novčane kazne, sve dok se ne pokori nalogu suda iz točke 1. rješenja ovoga suda poslovnoga broja St-105/15-43 od 3. veljače 2017. godine.</w:t>
      </w:r>
    </w:p>
    <w:p w:rsidRDefault="0075610F" w:rsidP="0075610F" w:rsidR="0075610F">
      <w:pPr>
        <w:jc w:val="both"/>
        <w:rPr>
          <w:rFonts w:cs="Times New Roman"/>
        </w:rPr>
      </w:pPr>
      <w:r>
        <w:rPr>
          <w:rFonts w:cs="Times New Roman"/>
        </w:rPr>
        <w:tab/>
        <w:t>III. Na izricanje i provedbu novčane kazne na odgovarajući se način primjenjuju pravila ovršnog postupka o ovrsi radi ostvarenja radnje koju može obaviti samo dužnik.</w:t>
      </w:r>
    </w:p>
    <w:p w:rsidRDefault="00AE4C90" w:rsidP="0075610F" w:rsidR="00AE4C90">
      <w:pPr>
        <w:jc w:val="center"/>
        <w:rPr>
          <w:rFonts w:cs="Times New Roman"/>
        </w:rPr>
      </w:pPr>
    </w:p>
    <w:p w:rsidRDefault="0075610F" w:rsidP="0075610F" w:rsidR="0075610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5610F" w:rsidP="0075610F" w:rsidR="0075610F">
      <w:pPr>
        <w:jc w:val="both"/>
        <w:rPr>
          <w:rFonts w:cs="Times New Roman"/>
        </w:rPr>
      </w:pPr>
      <w:r>
        <w:rPr>
          <w:rFonts w:cs="Times New Roman"/>
        </w:rPr>
        <w:tab/>
        <w:t>Rješenjem ovoga suda poslovnoga broja St-105/15-43 od 3. veljače 2017. naloženo je bivšem direktoru dužnika predati stečajnoj upraviteljici dokumentaciju stečajnog dužnika, uz prijetnju izricanjem novčane kazne, primjenom čl. 145. st. 2. u vezi sa čl. 107. st. 5. Stečajnog zakona (NN br. 44/96, 29/99, 129/00, 123/03, 197/03, 187/04, 82/06, 116/10, 25/12, 133/12, dalje SZ).</w:t>
      </w:r>
    </w:p>
    <w:p w:rsidRDefault="00AE4C90" w:rsidP="0075610F" w:rsidR="00AE4C90">
      <w:pPr>
        <w:jc w:val="both"/>
        <w:rPr>
          <w:rFonts w:cs="Times New Roman"/>
        </w:rPr>
      </w:pPr>
      <w:r>
        <w:rPr>
          <w:rFonts w:cs="Times New Roman"/>
        </w:rPr>
        <w:tab/>
        <w:t>Stečajna upraviteljica dostavila je ovom sudu izvješće  od 31. srpnja 2017., u kojem navodi da bivši direktor stečajnog dužnika nije do dana pisanja toga izvješća postupio po rješenju ovog suda broj St-105/15-43 od 3. veljače 2017., zbog čega predlaže da se istom i nadalje izriču novčane kazne dok se ne pokori nalogu suda i ne preda stečajnoj upravitelj</w:t>
      </w:r>
      <w:r w:rsidR="00DE30F1">
        <w:rPr>
          <w:rFonts w:cs="Times New Roman"/>
        </w:rPr>
        <w:t>i</w:t>
      </w:r>
      <w:r>
        <w:rPr>
          <w:rFonts w:cs="Times New Roman"/>
        </w:rPr>
        <w:t>ci financijsku dokumentaciju stečajnog dužnika.</w:t>
      </w:r>
    </w:p>
    <w:p w:rsidRDefault="0075610F" w:rsidP="00AE4C90" w:rsidR="00AE4C90">
      <w:pPr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 w:rsidR="00AE4C90">
        <w:rPr>
          <w:rFonts w:cs="Times New Roman"/>
        </w:rPr>
        <w:t>Zbog navedenog, a b</w:t>
      </w:r>
      <w:r>
        <w:rPr>
          <w:rFonts w:cs="Times New Roman"/>
        </w:rPr>
        <w:t xml:space="preserve">udući da </w:t>
      </w:r>
      <w:r w:rsidR="00AE4C90">
        <w:rPr>
          <w:rFonts w:cs="Times New Roman"/>
        </w:rPr>
        <w:t xml:space="preserve">bivši direktor stečajnog dužnika </w:t>
      </w:r>
      <w:r>
        <w:rPr>
          <w:rFonts w:cs="Times New Roman"/>
        </w:rPr>
        <w:t xml:space="preserve">nije postupio po nalogu suda, sud je primjenom čl. 107. st. 5. i 6. u vezi sa čl. 109. SZ-a odlučio kao u izreci. </w:t>
      </w:r>
      <w:r>
        <w:rPr>
          <w:rFonts w:cs="Times New Roman"/>
        </w:rPr>
        <w:tab/>
      </w:r>
    </w:p>
    <w:p w:rsidRDefault="00AE4C90" w:rsidP="0075610F" w:rsidR="00AE4C90">
      <w:pPr>
        <w:jc w:val="center"/>
        <w:rPr>
          <w:rFonts w:cs="Times New Roman"/>
        </w:rPr>
      </w:pPr>
    </w:p>
    <w:p w:rsidRDefault="0075610F" w:rsidP="0075610F" w:rsidR="0075610F">
      <w:pPr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AE4C90">
        <w:rPr>
          <w:rFonts w:cs="Times New Roman"/>
        </w:rPr>
        <w:t xml:space="preserve">13. rujna </w:t>
      </w:r>
      <w:r>
        <w:rPr>
          <w:rFonts w:cs="Times New Roman"/>
        </w:rPr>
        <w:t xml:space="preserve">2017. </w:t>
      </w:r>
    </w:p>
    <w:p w:rsidRDefault="0075610F" w:rsidP="0075610F" w:rsidR="0075610F">
      <w:pPr>
        <w:pStyle w:val="Tijeloteksta"/>
        <w:spacing w:after="0"/>
        <w:ind w:left="5760"/>
        <w:rPr>
          <w:rFonts w:cs="Times New Roman"/>
        </w:rPr>
      </w:pPr>
      <w:r>
        <w:rPr>
          <w:rFonts w:cs="Times New Roman"/>
        </w:rPr>
        <w:t xml:space="preserve">           SUTKINJA:</w:t>
      </w:r>
    </w:p>
    <w:p w:rsidRDefault="00AE4C90" w:rsidP="0075610F" w:rsidR="00AE4C90">
      <w:pPr>
        <w:pStyle w:val="Tijeloteksta"/>
        <w:spacing w:after="0"/>
        <w:ind w:left="5760"/>
        <w:rPr>
          <w:rFonts w:cs="Times New Roman"/>
        </w:rPr>
      </w:pPr>
    </w:p>
    <w:p w:rsidRDefault="0075610F" w:rsidP="0075610F" w:rsidR="0075610F">
      <w:pPr>
        <w:pStyle w:val="Tijeloteksta"/>
        <w:spacing w:after="0"/>
        <w:ind w:left="5760"/>
        <w:rPr>
          <w:rFonts w:cs="Times New Roman"/>
        </w:rPr>
      </w:pPr>
      <w:r>
        <w:rPr>
          <w:rFonts w:cs="Times New Roman"/>
        </w:rPr>
        <w:t xml:space="preserve">     Melita Poljanec Bubaš</w:t>
      </w:r>
      <w:r w:rsidR="00DE30F1">
        <w:rPr>
          <w:rFonts w:cs="Times New Roman"/>
        </w:rPr>
        <w:t>, v. r.</w:t>
      </w:r>
    </w:p>
    <w:p w:rsidRDefault="00AE4C90" w:rsidP="0075610F" w:rsidR="00AE4C90">
      <w:pPr>
        <w:pStyle w:val="Tijeloteksta"/>
        <w:spacing w:after="0"/>
        <w:ind w:left="5760"/>
        <w:rPr>
          <w:rFonts w:cs="Times New Roman"/>
        </w:rPr>
      </w:pPr>
    </w:p>
    <w:p w:rsidRDefault="00DE30F1" w:rsidP="00DE30F1" w:rsidR="00DE30F1">
      <w:pPr>
        <w:pStyle w:val="Tijeloteksta"/>
        <w:spacing w:after="0"/>
        <w:ind w:left="4962"/>
        <w:rPr>
          <w:rFonts w:cs="Times New Roman"/>
        </w:rPr>
      </w:pPr>
    </w:p>
    <w:p w:rsidRDefault="00AE4C90" w:rsidP="0075610F" w:rsidR="00AE4C90">
      <w:pPr>
        <w:pStyle w:val="Tijeloteksta"/>
        <w:spacing w:after="0"/>
        <w:ind w:left="5760"/>
        <w:rPr>
          <w:rFonts w:cs="Times New Roman"/>
        </w:rPr>
      </w:pPr>
    </w:p>
    <w:p w:rsidRDefault="0075610F" w:rsidP="00AE4C90" w:rsidR="0075610F">
      <w:pPr>
        <w:spacing w:after="0"/>
        <w:rPr>
          <w:rFonts w:cs="Times New Roman"/>
        </w:rPr>
      </w:pPr>
    </w:p>
    <w:p w:rsidRDefault="00AE4C90" w:rsidP="00AE4C90" w:rsidR="0075610F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="0075610F">
        <w:rPr>
          <w:rFonts w:cs="Times New Roman"/>
        </w:rPr>
        <w:t>UPUTA O PRAVNOM LIJEKU</w:t>
      </w:r>
    </w:p>
    <w:p w:rsidRDefault="00AE4C90" w:rsidP="00AE4C90" w:rsidR="0075610F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/>
        </w:rPr>
      </w:pPr>
      <w:r>
        <w:rPr>
          <w:rFonts w:cs="Times New Roman"/>
          <w:lang w:eastAsia="hr-HR"/>
        </w:rPr>
        <w:tab/>
      </w:r>
      <w:r w:rsidR="0075610F">
        <w:rPr>
          <w:rFonts w:cs="Times New Roman"/>
          <w:lang w:eastAsia="hr-HR"/>
        </w:rPr>
        <w:t>Protiv  ovog   rješenja   nezadovoljna  stranka  ima  pravo  žalbe u  roku  od osam  dana od dana dostave ovog rješenja, u  tri  primjerka, putem  ovog  suda, Visokom trgovačkom sudu Republike Hrvatske.</w:t>
      </w:r>
    </w:p>
    <w:p w:rsidRDefault="00AE4C90" w:rsidP="0075610F" w:rsidR="00AE4C90">
      <w:pPr>
        <w:rPr>
          <w:rFonts w:cs="Times New Roman"/>
        </w:rPr>
      </w:pPr>
    </w:p>
    <w:p w:rsidRDefault="0075610F" w:rsidP="00AE4C90" w:rsidR="0075610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5610F" w:rsidP="00F34820" w:rsidR="0075610F">
      <w:pPr>
        <w:numPr>
          <w:ilvl w:val="0"/>
          <w:numId w:val="45"/>
        </w:numPr>
        <w:spacing w:after="0"/>
        <w:rPr>
          <w:rFonts w:cs="Times New Roman"/>
        </w:rPr>
      </w:pPr>
      <w:r>
        <w:rPr>
          <w:rFonts w:cs="Times New Roman"/>
        </w:rPr>
        <w:t>stečajnoj upraviteljici Jeleni Stankus Tkalec, Varaždin, Zagrebačka 91</w:t>
      </w:r>
    </w:p>
    <w:p w:rsidRDefault="0075610F" w:rsidP="00F34820" w:rsidR="0075610F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  <w:rPr>
          <w:rFonts w:cs="Times New Roman"/>
          <w:color w:val="000000"/>
        </w:rPr>
      </w:pPr>
      <w:r>
        <w:rPr>
          <w:rFonts w:cs="Times New Roman"/>
          <w:color w:val="000000"/>
        </w:rPr>
        <w:t>Tihomiru Kokoleku, s prebivalištem u Ludbregu, Ulica Braće Radić 3</w:t>
      </w:r>
    </w:p>
    <w:p w:rsidRDefault="0075610F" w:rsidP="00F34820" w:rsidR="0075610F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5610F" w:rsidP="0075610F" w:rsidR="0075610F">
      <w:pPr>
        <w:pStyle w:val="Naslov3"/>
        <w:numPr>
          <w:ilvl w:val="0"/>
          <w:numId w:val="0"/>
        </w:numPr>
        <w:rPr>
          <w:rFonts w:cs="Times New Roman"/>
          <w:b w:val="false"/>
        </w:rPr>
      </w:pPr>
    </w:p>
    <w:p w:rsidRDefault="0075610F" w:rsidP="0075610F" w:rsidR="0075610F">
      <w:pPr>
        <w:jc w:val="center"/>
        <w:rPr>
          <w:rFonts w:cs="Times New Roman"/>
        </w:rPr>
      </w:pPr>
    </w:p>
    <w:p w:rsidRDefault="0075610F" w:rsidP="0075610F" w:rsidR="0075610F">
      <w:pPr>
        <w:rPr>
          <w:rFonts w:hAnsiTheme="minorHAnsi" w:asciiTheme="minorHAnsi"/>
          <w:sz w:val="22"/>
          <w:szCs w:val="22"/>
        </w:rPr>
      </w:pPr>
    </w:p>
    <w:p w:rsidRDefault="00671542" w:rsidP="002C346D" w:rsidR="00671542">
      <w:pPr>
        <w:spacing w:after="0"/>
      </w:pPr>
    </w:p>
    <w:sectPr w:rsidSect="00981C40" w:rsidR="00671542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E46" w:rsidP="00537B78" w:rsidR="00B83E46">
      <w:r>
        <w:separator/>
      </w:r>
    </w:p>
  </w:endnote>
  <w:endnote w:id="0" w:type="continuationSeparator">
    <w:p w:rsidRDefault="00B83E46" w:rsidP="00537B78" w:rsidR="00B83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E46" w:rsidP="00537B78" w:rsidR="00B83E46">
      <w:r>
        <w:separator/>
      </w:r>
    </w:p>
  </w:footnote>
  <w:footnote w:id="0" w:type="continuationSeparator">
    <w:p w:rsidRDefault="00B83E46" w:rsidP="00537B78" w:rsidR="00B83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AE9">
          <w:t>2</w:t>
        </w:r>
        <w:r>
          <w:fldChar w:fldCharType="end"/>
        </w:r>
      </w:p>
      <w:p w:rsidRDefault="008068AA" w:rsidP="00180077" w:rsidR="0002578D" w:rsidRPr="00180077">
        <w:pPr>
          <w:pStyle w:val="Zaglavlje"/>
          <w:rPr>
            <w:b/>
          </w:rPr>
        </w:pPr>
        <w:r>
          <w:t>Poslovni broj:</w:t>
        </w:r>
        <w:r w:rsidR="00AE4C90">
          <w:t xml:space="preserve"> </w:t>
        </w:r>
        <w:r>
          <w:t xml:space="preserve">2 </w:t>
        </w:r>
        <w:r w:rsidR="0075610F">
          <w:t>St-105/15-5</w:t>
        </w:r>
        <w:r w:rsidR="00DE30F1">
          <w:t>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01892"/>
    <w:multiLevelType w:val="hybridMultilevel"/>
    <w:tmpl w:val="A5F2CDD6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AE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10F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C90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2FA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3E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0F1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4820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788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St-105/2015-57</izvorni_sadrzaj>
    <derivirana_varijabla naziv="DomainObject.Oznaka_1">St-105/2015-57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  <item>Porezna uprava, Područni ured Sjeverna Hrvatska, Ispostava Varaždin, Ul. braće Radić 2, 42000 Varaždin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  <item>Porezna uprava, Područni ured Sjeverna Hrvatska, Ispostava Varaždin, Ul. braće Radić 2, 42000 Varaždin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  <item>Porezna uprava, Područni ured Sjeverna Hrvatska, Ispostava Varaždin, Ul. braće Radić 2, 42000 Varaždin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  <item>Porezna uprava, Područni ured Sjeverna Hrvatska, Ispostava Varaždin,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St-105/2015-57</izvorni_sadrzaj>
    <derivirana_varijabla naziv="DomainObject.PoslovniBrojDokumenta_1">St-105/2015-57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  <item>Porezna uprava, Područni ured Sjeverna Hrvatska, Ispostava Varaždin, Ul. braće Radić 2,42000 Varaždin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  <item>Porezna uprava, Područni ured Sjeverna Hrvatska, Ispostava Varaždin,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FB4A1-9789-48D9-9176-1CCA7B5D9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2306</properties:Characters>
  <properties:Lines>64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2017-09-13T06:56:00Z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2017-09-15T10:37:00Z</cp:lastPrinted>
  <dcterms:modified xmlns:xsi="http://www.w3.org/2001/XMLSchema-instance" xsi:type="dcterms:W3CDTF">2017-09-15T10:39:00Z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St-105/2015-57 / Odluka - Rješenje - novčano kažnjavanje stečajnog upravitelja, vještaka i odgovorne osobe stečajnog dužnika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