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a7bf4" w14:paraId="f3a7bf4" w:rsidRDefault="00FE4DA0" w:rsidP="00FE4DA0" w:rsidR="00FE4DA0">
      <w:pPr>
        <w:jc w:val="center"/>
        <w15:collapsed w:val="false"/>
        <w:rPr>
          <w:bCs/>
        </w:rPr>
      </w:pPr>
      <w:bookmarkStart w:name="_GoBack" w:id="0"/>
      <w:bookmarkEnd w:id="0"/>
    </w:p>
    <w:p w:rsidRDefault="00FE4DA0" w:rsidP="00FE4DA0" w:rsidR="00FE4DA0" w:rsidRPr="00FF4584">
      <w:pPr>
        <w:jc w:val="center"/>
        <w:rPr>
          <w:b/>
        </w:rPr>
      </w:pPr>
      <w:r w:rsidRPr="00FF4584">
        <w:rPr>
          <w:b/>
        </w:rPr>
        <w:t>Z A P I S N I K</w:t>
      </w:r>
    </w:p>
    <w:p w:rsidRDefault="00FE4DA0" w:rsidP="00FE4DA0" w:rsidR="00FE4DA0" w:rsidRPr="00502355">
      <w:pPr>
        <w:jc w:val="center"/>
        <w:rPr>
          <w:b/>
          <w:bCs/>
        </w:rPr>
      </w:pPr>
    </w:p>
    <w:p w:rsidRDefault="00FE4DA0" w:rsidP="00FE4DA0" w:rsidR="00FE4DA0">
      <w:pPr>
        <w:jc w:val="both"/>
      </w:pPr>
      <w:r w:rsidRPr="00502355">
        <w:t xml:space="preserve">sastavljen kod Trgovačkog suda u Zadru, sa SKUPŠTINE VJEROVNIKA, u stečajnom postupku nad stečajnim dužnikom REGIONALNA VELETRŽNICA BENKOVAC d.d. u stečaju, Benkovac, </w:t>
      </w:r>
      <w:r>
        <w:t xml:space="preserve">dana 6. ožujka 2019. </w:t>
      </w:r>
    </w:p>
    <w:p w:rsidRDefault="00FE4DA0" w:rsidP="00FE4DA0" w:rsidR="00FE4DA0" w:rsidRPr="00502355">
      <w:pPr>
        <w:jc w:val="both"/>
      </w:pPr>
    </w:p>
    <w:p w:rsidRDefault="00FE4DA0" w:rsidP="00FE4DA0" w:rsidR="00FE4DA0" w:rsidRPr="00502355">
      <w:pPr>
        <w:jc w:val="both"/>
      </w:pPr>
      <w:r w:rsidRPr="00502355">
        <w:t>Nazočni od suda:</w:t>
      </w:r>
    </w:p>
    <w:p w:rsidRDefault="00FE4DA0" w:rsidP="00FE4DA0" w:rsidR="00FE4DA0" w:rsidRPr="00502355">
      <w:pPr>
        <w:jc w:val="both"/>
      </w:pPr>
      <w:r>
        <w:t>Tomislav Jurlina, stečajni</w:t>
      </w:r>
      <w:r w:rsidRPr="00502355">
        <w:t xml:space="preserve"> su</w:t>
      </w:r>
      <w:r>
        <w:t>dac</w:t>
      </w:r>
    </w:p>
    <w:p w:rsidRDefault="00FE4DA0" w:rsidP="00FE4DA0" w:rsidR="00FE4DA0" w:rsidRPr="00502355">
      <w:pPr>
        <w:jc w:val="both"/>
      </w:pPr>
      <w:r>
        <w:t>Anita Basa</w:t>
      </w:r>
      <w:r w:rsidRPr="00502355">
        <w:t>, zapisničarka</w:t>
      </w:r>
    </w:p>
    <w:p w:rsidRDefault="00FE4DA0" w:rsidP="00FE4DA0" w:rsidR="00FE4DA0" w:rsidRPr="00502355">
      <w:pPr>
        <w:jc w:val="both"/>
      </w:pPr>
      <w:r w:rsidRPr="00502355">
        <w:t xml:space="preserve">Početak u </w:t>
      </w:r>
      <w:r>
        <w:t>11,00</w:t>
      </w:r>
      <w:r w:rsidRPr="00502355">
        <w:t xml:space="preserve"> sati.</w:t>
      </w:r>
    </w:p>
    <w:p w:rsidRDefault="00FE4DA0" w:rsidP="00FE4DA0" w:rsidR="00FE4DA0" w:rsidRPr="00502355">
      <w:pPr>
        <w:jc w:val="both"/>
      </w:pPr>
    </w:p>
    <w:p w:rsidRDefault="00FE4DA0" w:rsidP="00FE4DA0" w:rsidR="00FE4DA0" w:rsidRPr="00502355">
      <w:pPr>
        <w:jc w:val="both"/>
      </w:pPr>
      <w:r w:rsidRPr="00502355">
        <w:t>Utvrđuje se da je pristupio Ante Poljak, stečajni upravitelj.</w:t>
      </w:r>
    </w:p>
    <w:p w:rsidRDefault="00FE4DA0" w:rsidP="00FE4DA0" w:rsidR="00FE4DA0" w:rsidRPr="00502355">
      <w:pPr>
        <w:jc w:val="both"/>
      </w:pPr>
    </w:p>
    <w:p w:rsidRDefault="00FE4DA0" w:rsidP="00FE4DA0" w:rsidR="00FE4DA0">
      <w:pPr>
        <w:jc w:val="both"/>
      </w:pPr>
      <w:r w:rsidRPr="00502355">
        <w:t>Utvrđuje se da su na današnje ročište pristupili za vjerovnike:</w:t>
      </w:r>
    </w:p>
    <w:p w:rsidRDefault="000A78EB" w:rsidP="000A78EB" w:rsidR="000A78EB" w:rsidRPr="00502355">
      <w:pPr>
        <w:pStyle w:val="Odlomakpopisa"/>
        <w:numPr>
          <w:ilvl w:val="0"/>
          <w:numId w:val="1"/>
        </w:numPr>
        <w:jc w:val="both"/>
      </w:pPr>
      <w:r>
        <w:t xml:space="preserve">Grad Benkovac, zakonski zastupnik </w:t>
      </w:r>
      <w:r w:rsidR="00EF1FBF">
        <w:t>Tomislav Bulić</w:t>
      </w:r>
    </w:p>
    <w:p w:rsidRDefault="00FE4DA0" w:rsidP="00FE4DA0" w:rsidR="00FE4DA0">
      <w:pPr>
        <w:numPr>
          <w:ilvl w:val="0"/>
          <w:numId w:val="1"/>
        </w:numPr>
        <w:jc w:val="both"/>
      </w:pPr>
      <w:r>
        <w:t xml:space="preserve">Hrvatski zavod za zapošljavanje, Središnji ured Zagreb, po punomoćniku Trpimir Gugić, odvjetnik u Odvjetničkom društvu Gugić i Kovačić iz Zagreba </w:t>
      </w:r>
    </w:p>
    <w:p w:rsidRDefault="000A78EB" w:rsidP="00FE4DA0" w:rsidR="00FE4DA0">
      <w:pPr>
        <w:numPr>
          <w:ilvl w:val="0"/>
          <w:numId w:val="1"/>
        </w:numPr>
        <w:jc w:val="both"/>
      </w:pPr>
      <w:r>
        <w:t>CERP</w:t>
      </w:r>
      <w:r w:rsidR="00FE4DA0">
        <w:t xml:space="preserve"> </w:t>
      </w:r>
      <w:r>
        <w:t>kao pravni slijednik Agencije za upravljanje državnom imovinom po punomoćnici Ines Vukobratović, dipl. iur., prilaže punomoć</w:t>
      </w:r>
    </w:p>
    <w:p w:rsidRDefault="00FE4DA0" w:rsidP="00EF1FBF" w:rsidR="00EF1FBF">
      <w:pPr>
        <w:numPr>
          <w:ilvl w:val="0"/>
          <w:numId w:val="1"/>
        </w:numPr>
        <w:jc w:val="both"/>
      </w:pPr>
      <w:r>
        <w:t>Republika Hrvatska</w:t>
      </w:r>
      <w:r w:rsidR="000A78EB">
        <w:t>, Porezna uprava</w:t>
      </w:r>
      <w:r>
        <w:t xml:space="preserve">, zastupnica po zakonu </w:t>
      </w:r>
      <w:r w:rsidR="000A78EB">
        <w:t>Svetlana Barišić</w:t>
      </w:r>
      <w:r>
        <w:t xml:space="preserve">, zamjenica ŽDO u Zadru </w:t>
      </w:r>
    </w:p>
    <w:p w:rsidRDefault="000A78EB" w:rsidP="00FE4DA0" w:rsidR="000A78EB">
      <w:pPr>
        <w:numPr>
          <w:ilvl w:val="0"/>
          <w:numId w:val="1"/>
        </w:numPr>
        <w:jc w:val="both"/>
      </w:pPr>
      <w:r>
        <w:t>Agencija za zaštitu radničkih potraživanja</w:t>
      </w:r>
      <w:r w:rsidR="00EF1FBF">
        <w:t>, zakonski zastupnik Ivan Madunić, ravnatelj</w:t>
      </w:r>
    </w:p>
    <w:p w:rsidRDefault="00EF1FBF" w:rsidP="00EF1FBF" w:rsidR="00EF1FBF">
      <w:pPr>
        <w:ind w:left="720"/>
        <w:jc w:val="both"/>
      </w:pPr>
    </w:p>
    <w:p w:rsidRDefault="00D870E8" w:rsidP="00EF1FBF" w:rsidR="00D870E8">
      <w:pPr>
        <w:ind w:left="720"/>
        <w:jc w:val="both"/>
      </w:pPr>
      <w:r>
        <w:t xml:space="preserve">Utvrđuje se da je dana 5. ožujka 2019. u spis zaprimljen podnesak HBOR-a. </w:t>
      </w:r>
    </w:p>
    <w:p w:rsidRDefault="00D870E8" w:rsidP="00EF1FBF" w:rsidR="00D870E8">
      <w:pPr>
        <w:ind w:left="720"/>
        <w:jc w:val="both"/>
      </w:pPr>
    </w:p>
    <w:p w:rsidRDefault="00EF1FBF" w:rsidP="00D870E8" w:rsidR="00FE4DA0">
      <w:pPr>
        <w:ind w:left="708"/>
        <w:jc w:val="both"/>
      </w:pPr>
      <w:r>
        <w:t>Utvrđuje se da je na skupštinu pristupio Milivoj Urlić, zakonski zastupnik trgovačkog društva Parma Fish d.o.o., Split.</w:t>
      </w:r>
    </w:p>
    <w:p w:rsidRDefault="00FE4DA0" w:rsidP="00FE4DA0" w:rsidR="00FE4DA0">
      <w:pPr>
        <w:jc w:val="both"/>
      </w:pPr>
    </w:p>
    <w:p w:rsidRDefault="00FE4DA0" w:rsidP="00D870E8" w:rsidR="00FE4DA0" w:rsidRPr="00502355">
      <w:pPr>
        <w:ind w:firstLine="708"/>
        <w:jc w:val="both"/>
      </w:pPr>
      <w:r w:rsidRPr="00502355">
        <w:t xml:space="preserve">Utvrđuje se da je oglas o održavanju današnje skupštine </w:t>
      </w:r>
      <w:r>
        <w:t>objavljen na mrežnoj e-oglasnoj ploči Trgovački sud u Zadru dana 11. veljače 2019.</w:t>
      </w:r>
      <w:r w:rsidRPr="00502355">
        <w:t>, sa slijedećim dnevnim redom:</w:t>
      </w:r>
      <w:r>
        <w:t xml:space="preserve"> </w:t>
      </w:r>
    </w:p>
    <w:p w:rsidRDefault="00FE4DA0" w:rsidP="00FE4DA0" w:rsidR="00FE4DA0" w:rsidRPr="00502355">
      <w:pPr>
        <w:jc w:val="both"/>
      </w:pPr>
    </w:p>
    <w:p w:rsidRDefault="00FE4DA0" w:rsidP="00FE4DA0" w:rsidR="00FE4DA0">
      <w:pPr>
        <w:pStyle w:val="Odlomakpopisa"/>
        <w:numPr>
          <w:ilvl w:val="0"/>
          <w:numId w:val="2"/>
        </w:numPr>
        <w:contextualSpacing w:val="false"/>
        <w:jc w:val="both"/>
      </w:pPr>
      <w:r>
        <w:t xml:space="preserve">Donošenje odluke o prodaji nekretnina stečajnog dužnika upisanih u zk. ul. 765 i zk. ul. 770, k.o. </w:t>
      </w:r>
      <w:r w:rsidR="00B82D81">
        <w:t>Buković</w:t>
      </w:r>
      <w:r>
        <w:t>, kao cjeline</w:t>
      </w:r>
      <w:r w:rsidR="002A7759">
        <w:t>.</w:t>
      </w:r>
    </w:p>
    <w:p w:rsidRDefault="00FE4DA0" w:rsidP="00FE4DA0" w:rsidR="00FE4DA0">
      <w:pPr>
        <w:jc w:val="both"/>
      </w:pPr>
    </w:p>
    <w:p w:rsidRDefault="00FE4DA0" w:rsidP="00FE4DA0" w:rsidR="00FE4DA0">
      <w:pPr>
        <w:jc w:val="both"/>
      </w:pPr>
      <w:r w:rsidRPr="00502355">
        <w:t>Potom se utvrđuje postotak glasova nazočnih na današnjoj skupštini.</w:t>
      </w:r>
    </w:p>
    <w:p w:rsidRDefault="002A7759" w:rsidP="00FE4DA0" w:rsidR="002A7759">
      <w:pPr>
        <w:jc w:val="both"/>
      </w:pPr>
    </w:p>
    <w:tbl>
      <w:tblPr>
        <w:tblW w:type="dxa" w:w="9102"/>
        <w:tblInd w:type="dxa" w:w="93"/>
        <w:tblLook w:val="04A0" w:noVBand="1" w:noHBand="0" w:lastColumn="0" w:firstColumn="1" w:lastRow="0" w:firstRow="1"/>
      </w:tblPr>
      <w:tblGrid>
        <w:gridCol w:w="621"/>
        <w:gridCol w:w="3420"/>
        <w:gridCol w:w="1779"/>
        <w:gridCol w:w="2352"/>
        <w:gridCol w:w="1272"/>
      </w:tblGrid>
      <w:tr w:rsidTr="000A78EB" w:rsidR="000A78EB" w:rsidRPr="000A78EB">
        <w:trPr>
          <w:trHeight w:val="255"/>
        </w:trPr>
        <w:tc>
          <w:tcPr>
            <w:tcW w:type="dxa" w:w="422"/>
            <w:tcBorders>
              <w:top w:val="nil"/>
              <w:left w:val="nil"/>
              <w:bottom w:val="nil"/>
              <w:right w:val="nil"/>
            </w:tcBorders>
            <w:shd w:fill="auto" w:color="auto" w:val="clear"/>
            <w:noWrap/>
            <w:vAlign w:val="bottom"/>
            <w:hideMark/>
          </w:tcPr>
          <w:p w:rsidRDefault="000A78EB" w:rsidP="000A78EB" w:rsidR="000A78EB" w:rsidRPr="000A78EB">
            <w:pPr>
              <w:rPr>
                <w:rFonts w:cs="Arial" w:hAnsi="Arial" w:ascii="Arial"/>
                <w:sz w:val="20"/>
                <w:szCs w:val="20"/>
              </w:rPr>
            </w:pPr>
          </w:p>
        </w:tc>
        <w:tc>
          <w:tcPr>
            <w:tcW w:type="dxa" w:w="3420"/>
            <w:tcBorders>
              <w:top w:val="nil"/>
              <w:left w:val="nil"/>
              <w:bottom w:val="nil"/>
              <w:right w:val="nil"/>
            </w:tcBorders>
            <w:shd w:fill="auto" w:color="auto" w:val="clear"/>
            <w:noWrap/>
            <w:vAlign w:val="bottom"/>
            <w:hideMark/>
          </w:tcPr>
          <w:p w:rsidRDefault="000A78EB" w:rsidP="000A78EB" w:rsidR="000A78EB" w:rsidRPr="000A78EB">
            <w:pPr>
              <w:rPr>
                <w:rFonts w:cs="Arial" w:hAnsi="Arial" w:ascii="Arial"/>
                <w:sz w:val="20"/>
                <w:szCs w:val="20"/>
              </w:rPr>
            </w:pPr>
          </w:p>
        </w:tc>
        <w:tc>
          <w:tcPr>
            <w:tcW w:type="dxa" w:w="1779"/>
            <w:tcBorders>
              <w:top w:val="nil"/>
              <w:left w:val="nil"/>
              <w:bottom w:val="nil"/>
              <w:right w:val="nil"/>
            </w:tcBorders>
            <w:shd w:fill="auto" w:color="auto" w:val="clear"/>
            <w:noWrap/>
            <w:vAlign w:val="bottom"/>
            <w:hideMark/>
          </w:tcPr>
          <w:p w:rsidRDefault="000A78EB" w:rsidP="000A78EB" w:rsidR="000A78EB" w:rsidRPr="000A78EB">
            <w:pPr>
              <w:jc w:val="center"/>
              <w:rPr>
                <w:rFonts w:cs="Arial" w:hAnsi="Arial" w:ascii="Arial"/>
                <w:sz w:val="20"/>
                <w:szCs w:val="20"/>
              </w:rPr>
            </w:pPr>
            <w:r w:rsidRPr="000A78EB">
              <w:rPr>
                <w:rFonts w:cs="Arial" w:hAnsi="Arial" w:ascii="Arial"/>
                <w:sz w:val="20"/>
                <w:szCs w:val="20"/>
              </w:rPr>
              <w:t>#NAZIV?</w:t>
            </w:r>
          </w:p>
        </w:tc>
        <w:tc>
          <w:tcPr>
            <w:tcW w:type="dxa" w:w="2352"/>
            <w:tcBorders>
              <w:top w:val="nil"/>
              <w:left w:val="nil"/>
              <w:bottom w:val="nil"/>
              <w:right w:val="nil"/>
            </w:tcBorders>
            <w:shd w:fill="auto" w:color="auto" w:val="clear"/>
            <w:noWrap/>
            <w:vAlign w:val="bottom"/>
            <w:hideMark/>
          </w:tcPr>
          <w:p w:rsidRDefault="000A78EB" w:rsidP="000A78EB" w:rsidR="000A78EB" w:rsidRPr="000A78EB">
            <w:pPr>
              <w:rPr>
                <w:rFonts w:cs="Arial" w:hAnsi="Arial" w:ascii="Arial"/>
                <w:sz w:val="20"/>
                <w:szCs w:val="20"/>
              </w:rPr>
            </w:pPr>
          </w:p>
        </w:tc>
        <w:tc>
          <w:tcPr>
            <w:tcW w:type="dxa" w:w="1129"/>
            <w:tcBorders>
              <w:top w:val="nil"/>
              <w:left w:val="nil"/>
              <w:bottom w:val="nil"/>
              <w:right w:val="nil"/>
            </w:tcBorders>
            <w:shd w:fill="auto" w:color="auto" w:val="clear"/>
            <w:noWrap/>
            <w:vAlign w:val="bottom"/>
            <w:hideMark/>
          </w:tcPr>
          <w:p w:rsidRDefault="000A78EB" w:rsidP="000A78EB" w:rsidR="000A78EB" w:rsidRPr="000A78EB">
            <w:pPr>
              <w:rPr>
                <w:rFonts w:cs="Arial" w:hAnsi="Arial" w:ascii="Arial"/>
                <w:sz w:val="20"/>
                <w:szCs w:val="20"/>
              </w:rPr>
            </w:pPr>
          </w:p>
        </w:tc>
      </w:tr>
      <w:tr w:rsidTr="000A78EB" w:rsidR="000A78EB" w:rsidRPr="000A78EB">
        <w:trPr>
          <w:trHeight w:val="360"/>
        </w:trPr>
        <w:tc>
          <w:tcPr>
            <w:tcW w:type="dxa" w:w="5621"/>
            <w:gridSpan w:val="3"/>
            <w:tcBorders>
              <w:top w:val="nil"/>
              <w:left w:val="nil"/>
              <w:bottom w:val="nil"/>
              <w:right w:val="nil"/>
            </w:tcBorders>
            <w:shd w:fill="auto" w:color="auto" w:val="clear"/>
            <w:noWrap/>
            <w:vAlign w:val="bottom"/>
            <w:hideMark/>
          </w:tcPr>
          <w:p w:rsidRDefault="000A78EB" w:rsidP="000A78EB" w:rsidR="000A78EB" w:rsidRPr="000A78EB">
            <w:pPr>
              <w:jc w:val="center"/>
              <w:rPr>
                <w:rFonts w:cs="Arial" w:hAnsi="Arial" w:ascii="Arial"/>
                <w:b/>
                <w:bCs/>
              </w:rPr>
            </w:pPr>
            <w:r w:rsidRPr="000A78EB">
              <w:rPr>
                <w:rFonts w:cs="Arial" w:hAnsi="Arial" w:ascii="Arial"/>
                <w:b/>
                <w:bCs/>
              </w:rPr>
              <w:t>Zbroj ukupno priznatih tražbina</w:t>
            </w:r>
          </w:p>
        </w:tc>
        <w:tc>
          <w:tcPr>
            <w:tcW w:type="dxa" w:w="2352"/>
            <w:tcBorders>
              <w:top w:val="nil"/>
              <w:left w:val="nil"/>
              <w:bottom w:val="nil"/>
              <w:right w:val="nil"/>
            </w:tcBorders>
            <w:shd w:fill="auto" w:color="auto" w:val="clear"/>
            <w:noWrap/>
            <w:vAlign w:val="bottom"/>
            <w:hideMark/>
          </w:tcPr>
          <w:p w:rsidRDefault="000A78EB" w:rsidP="000A78EB" w:rsidR="000A78EB" w:rsidRPr="000A78EB">
            <w:pPr>
              <w:jc w:val="right"/>
              <w:rPr>
                <w:rFonts w:cs="Arial" w:hAnsi="Arial" w:ascii="Arial"/>
                <w:b/>
                <w:bCs/>
                <w:color w:val="000000"/>
                <w:sz w:val="28"/>
                <w:szCs w:val="28"/>
              </w:rPr>
            </w:pPr>
            <w:r w:rsidRPr="000A78EB">
              <w:rPr>
                <w:rFonts w:cs="Arial" w:hAnsi="Arial" w:ascii="Arial"/>
                <w:b/>
                <w:bCs/>
                <w:color w:val="000000"/>
                <w:sz w:val="28"/>
                <w:szCs w:val="28"/>
              </w:rPr>
              <w:t>54.919.904,00</w:t>
            </w:r>
          </w:p>
        </w:tc>
        <w:tc>
          <w:tcPr>
            <w:tcW w:type="dxa" w:w="1129"/>
            <w:tcBorders>
              <w:top w:val="nil"/>
              <w:left w:val="nil"/>
              <w:bottom w:val="nil"/>
              <w:right w:val="nil"/>
            </w:tcBorders>
            <w:shd w:fill="auto" w:color="auto" w:val="clear"/>
            <w:noWrap/>
            <w:vAlign w:val="bottom"/>
            <w:hideMark/>
          </w:tcPr>
          <w:p w:rsidRDefault="000A78EB" w:rsidP="000A78EB" w:rsidR="000A78EB" w:rsidRPr="000A78EB">
            <w:pPr>
              <w:rPr>
                <w:rFonts w:cs="Arial" w:hAnsi="Arial" w:ascii="Arial"/>
                <w:sz w:val="20"/>
                <w:szCs w:val="20"/>
              </w:rPr>
            </w:pPr>
          </w:p>
        </w:tc>
      </w:tr>
      <w:tr w:rsidTr="000A78EB" w:rsidR="000A78EB" w:rsidRPr="000A78EB">
        <w:trPr>
          <w:trHeight w:val="255"/>
        </w:trPr>
        <w:tc>
          <w:tcPr>
            <w:tcW w:type="dxa" w:w="422"/>
            <w:tcBorders>
              <w:top w:val="nil"/>
              <w:left w:val="nil"/>
              <w:bottom w:val="nil"/>
              <w:right w:val="nil"/>
            </w:tcBorders>
            <w:shd w:fill="auto" w:color="auto" w:val="clear"/>
            <w:noWrap/>
            <w:vAlign w:val="bottom"/>
            <w:hideMark/>
          </w:tcPr>
          <w:p w:rsidRDefault="000A78EB" w:rsidP="000A78EB" w:rsidR="000A78EB" w:rsidRPr="000A78EB">
            <w:pPr>
              <w:rPr>
                <w:rFonts w:cs="Arial" w:hAnsi="Arial" w:ascii="Arial"/>
                <w:sz w:val="20"/>
                <w:szCs w:val="20"/>
              </w:rPr>
            </w:pPr>
          </w:p>
        </w:tc>
        <w:tc>
          <w:tcPr>
            <w:tcW w:type="dxa" w:w="3420"/>
            <w:tcBorders>
              <w:top w:val="nil"/>
              <w:left w:val="nil"/>
              <w:bottom w:val="nil"/>
              <w:right w:val="nil"/>
            </w:tcBorders>
            <w:shd w:fill="auto" w:color="auto" w:val="clear"/>
            <w:noWrap/>
            <w:vAlign w:val="bottom"/>
            <w:hideMark/>
          </w:tcPr>
          <w:p w:rsidRDefault="000A78EB" w:rsidP="000A78EB" w:rsidR="000A78EB" w:rsidRPr="000A78EB">
            <w:pPr>
              <w:rPr>
                <w:rFonts w:cs="Arial" w:hAnsi="Arial" w:ascii="Arial"/>
                <w:sz w:val="20"/>
                <w:szCs w:val="20"/>
              </w:rPr>
            </w:pPr>
          </w:p>
        </w:tc>
        <w:tc>
          <w:tcPr>
            <w:tcW w:type="dxa" w:w="1779"/>
            <w:tcBorders>
              <w:top w:val="nil"/>
              <w:left w:val="nil"/>
              <w:bottom w:val="nil"/>
              <w:right w:val="nil"/>
            </w:tcBorders>
            <w:shd w:fill="auto" w:color="auto" w:val="clear"/>
            <w:noWrap/>
            <w:vAlign w:val="bottom"/>
            <w:hideMark/>
          </w:tcPr>
          <w:p w:rsidRDefault="000A78EB" w:rsidP="000A78EB" w:rsidR="000A78EB" w:rsidRPr="000A78EB">
            <w:pPr>
              <w:rPr>
                <w:rFonts w:cs="Arial" w:hAnsi="Arial" w:ascii="Arial"/>
                <w:sz w:val="20"/>
                <w:szCs w:val="20"/>
              </w:rPr>
            </w:pPr>
          </w:p>
        </w:tc>
        <w:tc>
          <w:tcPr>
            <w:tcW w:type="dxa" w:w="2352"/>
            <w:tcBorders>
              <w:top w:val="nil"/>
              <w:left w:val="nil"/>
              <w:bottom w:val="nil"/>
              <w:right w:val="nil"/>
            </w:tcBorders>
            <w:shd w:fill="auto" w:color="auto" w:val="clear"/>
            <w:noWrap/>
            <w:vAlign w:val="bottom"/>
            <w:hideMark/>
          </w:tcPr>
          <w:p w:rsidRDefault="000A78EB" w:rsidP="000A78EB" w:rsidR="000A78EB" w:rsidRPr="000A78EB">
            <w:pPr>
              <w:rPr>
                <w:rFonts w:cs="Arial" w:hAnsi="Arial" w:ascii="Arial"/>
                <w:sz w:val="20"/>
                <w:szCs w:val="20"/>
              </w:rPr>
            </w:pPr>
          </w:p>
        </w:tc>
        <w:tc>
          <w:tcPr>
            <w:tcW w:type="dxa" w:w="1129"/>
            <w:tcBorders>
              <w:top w:val="nil"/>
              <w:left w:val="nil"/>
              <w:bottom w:val="nil"/>
              <w:right w:val="nil"/>
            </w:tcBorders>
            <w:shd w:fill="auto" w:color="auto" w:val="clear"/>
            <w:noWrap/>
            <w:vAlign w:val="bottom"/>
            <w:hideMark/>
          </w:tcPr>
          <w:p w:rsidRDefault="000A78EB" w:rsidP="000A78EB" w:rsidR="000A78EB" w:rsidRPr="000A78EB">
            <w:pPr>
              <w:rPr>
                <w:rFonts w:cs="Arial" w:hAnsi="Arial" w:ascii="Arial"/>
                <w:sz w:val="20"/>
                <w:szCs w:val="20"/>
              </w:rPr>
            </w:pPr>
          </w:p>
        </w:tc>
      </w:tr>
      <w:tr w:rsidTr="000A78EB" w:rsidR="000A78EB" w:rsidRPr="000A78EB">
        <w:trPr>
          <w:trHeight w:val="255"/>
        </w:trPr>
        <w:tc>
          <w:tcPr>
            <w:tcW w:type="dxa" w:w="422"/>
            <w:tcBorders>
              <w:top w:val="nil"/>
              <w:left w:val="nil"/>
              <w:bottom w:val="nil"/>
              <w:right w:val="nil"/>
            </w:tcBorders>
            <w:shd w:fill="auto" w:color="auto" w:val="clear"/>
            <w:noWrap/>
            <w:vAlign w:val="bottom"/>
            <w:hideMark/>
          </w:tcPr>
          <w:p w:rsidRDefault="000A78EB" w:rsidP="000A78EB" w:rsidR="000A78EB" w:rsidRPr="000A78EB">
            <w:pPr>
              <w:rPr>
                <w:rFonts w:cs="Arial" w:hAnsi="Arial" w:ascii="Arial"/>
                <w:sz w:val="20"/>
                <w:szCs w:val="20"/>
              </w:rPr>
            </w:pPr>
          </w:p>
        </w:tc>
        <w:tc>
          <w:tcPr>
            <w:tcW w:type="dxa" w:w="3420"/>
            <w:tcBorders>
              <w:top w:val="nil"/>
              <w:left w:val="nil"/>
              <w:bottom w:val="nil"/>
              <w:right w:val="nil"/>
            </w:tcBorders>
            <w:shd w:fill="auto" w:color="auto" w:val="clear"/>
            <w:noWrap/>
            <w:vAlign w:val="bottom"/>
            <w:hideMark/>
          </w:tcPr>
          <w:p w:rsidRDefault="000A78EB" w:rsidP="000A78EB" w:rsidR="000A78EB" w:rsidRPr="000A78EB">
            <w:pPr>
              <w:rPr>
                <w:rFonts w:cs="Arial" w:hAnsi="Arial" w:ascii="Arial"/>
                <w:sz w:val="20"/>
                <w:szCs w:val="20"/>
              </w:rPr>
            </w:pPr>
          </w:p>
        </w:tc>
        <w:tc>
          <w:tcPr>
            <w:tcW w:type="dxa" w:w="1779"/>
            <w:tcBorders>
              <w:top w:val="nil"/>
              <w:left w:val="nil"/>
              <w:bottom w:val="nil"/>
              <w:right w:val="nil"/>
            </w:tcBorders>
            <w:shd w:fill="auto" w:color="auto" w:val="clear"/>
            <w:noWrap/>
            <w:vAlign w:val="bottom"/>
            <w:hideMark/>
          </w:tcPr>
          <w:p w:rsidRDefault="000A78EB" w:rsidP="000A78EB" w:rsidR="000A78EB" w:rsidRPr="000A78EB">
            <w:pPr>
              <w:rPr>
                <w:rFonts w:cs="Arial" w:hAnsi="Arial" w:ascii="Arial"/>
                <w:sz w:val="20"/>
                <w:szCs w:val="20"/>
              </w:rPr>
            </w:pPr>
          </w:p>
        </w:tc>
        <w:tc>
          <w:tcPr>
            <w:tcW w:type="dxa" w:w="2352"/>
            <w:tcBorders>
              <w:top w:val="nil"/>
              <w:left w:val="nil"/>
              <w:bottom w:val="nil"/>
              <w:right w:val="nil"/>
            </w:tcBorders>
            <w:shd w:fill="auto" w:color="auto" w:val="clear"/>
            <w:noWrap/>
            <w:vAlign w:val="bottom"/>
            <w:hideMark/>
          </w:tcPr>
          <w:p w:rsidRDefault="000A78EB" w:rsidP="000A78EB" w:rsidR="000A78EB" w:rsidRPr="000A78EB">
            <w:pPr>
              <w:rPr>
                <w:rFonts w:cs="Arial" w:hAnsi="Arial" w:ascii="Arial"/>
                <w:sz w:val="20"/>
                <w:szCs w:val="20"/>
              </w:rPr>
            </w:pPr>
          </w:p>
        </w:tc>
        <w:tc>
          <w:tcPr>
            <w:tcW w:type="dxa" w:w="1129"/>
            <w:tcBorders>
              <w:top w:val="nil"/>
              <w:left w:val="nil"/>
              <w:bottom w:val="nil"/>
              <w:right w:val="nil"/>
            </w:tcBorders>
            <w:shd w:fill="auto" w:color="auto" w:val="clear"/>
            <w:noWrap/>
            <w:vAlign w:val="bottom"/>
            <w:hideMark/>
          </w:tcPr>
          <w:p w:rsidRDefault="000A78EB" w:rsidP="000A78EB" w:rsidR="000A78EB" w:rsidRPr="000A78EB">
            <w:pPr>
              <w:rPr>
                <w:rFonts w:cs="Arial" w:hAnsi="Arial" w:ascii="Arial"/>
                <w:sz w:val="20"/>
                <w:szCs w:val="20"/>
              </w:rPr>
            </w:pPr>
          </w:p>
        </w:tc>
      </w:tr>
      <w:tr w:rsidTr="000A78EB" w:rsidR="000A78EB" w:rsidRPr="000A78EB">
        <w:trPr>
          <w:trHeight w:val="300"/>
        </w:trPr>
        <w:tc>
          <w:tcPr>
            <w:tcW w:type="dxa" w:w="422"/>
            <w:tcBorders>
              <w:top w:val="nil"/>
              <w:left w:val="nil"/>
              <w:bottom w:val="nil"/>
              <w:right w:val="nil"/>
            </w:tcBorders>
            <w:shd w:fill="auto" w:color="auto" w:val="clear"/>
            <w:noWrap/>
            <w:vAlign w:val="bottom"/>
            <w:hideMark/>
          </w:tcPr>
          <w:p w:rsidRDefault="000A78EB" w:rsidP="000A78EB" w:rsidR="000A78EB" w:rsidRPr="000A78EB">
            <w:pPr>
              <w:rPr>
                <w:rFonts w:cs="Arial" w:hAnsi="Arial" w:ascii="Arial"/>
                <w:sz w:val="20"/>
                <w:szCs w:val="20"/>
              </w:rPr>
            </w:pPr>
          </w:p>
        </w:tc>
        <w:tc>
          <w:tcPr>
            <w:tcW w:type="dxa" w:w="3420"/>
            <w:tcBorders>
              <w:top w:val="nil"/>
              <w:left w:val="nil"/>
              <w:bottom w:val="nil"/>
              <w:right w:val="nil"/>
            </w:tcBorders>
            <w:shd w:fill="auto" w:color="auto" w:val="clear"/>
            <w:noWrap/>
            <w:vAlign w:val="bottom"/>
            <w:hideMark/>
          </w:tcPr>
          <w:p w:rsidRDefault="000A78EB" w:rsidP="000A78EB" w:rsidR="000A78EB" w:rsidRPr="000A78EB">
            <w:pPr>
              <w:rPr>
                <w:rFonts w:cs="Arial" w:hAnsi="Arial" w:ascii="Arial"/>
                <w:sz w:val="20"/>
                <w:szCs w:val="20"/>
              </w:rPr>
            </w:pPr>
            <w:r w:rsidRPr="000A78EB">
              <w:rPr>
                <w:rFonts w:cs="Arial" w:hAnsi="Arial" w:ascii="Arial"/>
                <w:sz w:val="20"/>
                <w:szCs w:val="20"/>
              </w:rPr>
              <w:t>.</w:t>
            </w:r>
          </w:p>
        </w:tc>
        <w:tc>
          <w:tcPr>
            <w:tcW w:type="dxa" w:w="1779"/>
            <w:tcBorders>
              <w:top w:val="nil"/>
              <w:left w:val="nil"/>
              <w:bottom w:val="nil"/>
              <w:right w:val="nil"/>
            </w:tcBorders>
            <w:shd w:fill="auto" w:color="auto" w:val="clear"/>
            <w:noWrap/>
            <w:vAlign w:val="bottom"/>
            <w:hideMark/>
          </w:tcPr>
          <w:p w:rsidRDefault="000A78EB" w:rsidP="000A78EB" w:rsidR="000A78EB" w:rsidRPr="000A78EB">
            <w:pPr>
              <w:jc w:val="right"/>
              <w:rPr>
                <w:rFonts w:cs="Arial" w:hAnsi="Arial" w:ascii="Arial"/>
                <w:b/>
                <w:bCs/>
                <w:i/>
                <w:iCs/>
                <w:color w:val="FF0000"/>
              </w:rPr>
            </w:pPr>
            <w:r w:rsidRPr="000A78EB">
              <w:rPr>
                <w:rFonts w:cs="Arial" w:hAnsi="Arial" w:ascii="Arial"/>
                <w:b/>
                <w:bCs/>
                <w:i/>
                <w:iCs/>
                <w:color w:val="FF0000"/>
              </w:rPr>
              <w:t>28.142.703,76</w:t>
            </w:r>
          </w:p>
        </w:tc>
        <w:tc>
          <w:tcPr>
            <w:tcW w:type="dxa" w:w="2352"/>
            <w:tcBorders>
              <w:top w:val="nil"/>
              <w:left w:val="nil"/>
              <w:bottom w:val="nil"/>
              <w:right w:val="nil"/>
            </w:tcBorders>
            <w:shd w:fill="auto" w:color="auto" w:val="clear"/>
            <w:noWrap/>
            <w:vAlign w:val="bottom"/>
            <w:hideMark/>
          </w:tcPr>
          <w:p w:rsidRDefault="000A78EB" w:rsidP="000A78EB" w:rsidR="000A78EB" w:rsidRPr="000A78EB">
            <w:pPr>
              <w:jc w:val="center"/>
              <w:rPr>
                <w:rFonts w:cs="Arial" w:hAnsi="Arial" w:ascii="Arial"/>
                <w:b/>
                <w:bCs/>
                <w:i/>
                <w:iCs/>
                <w:color w:val="993300"/>
              </w:rPr>
            </w:pPr>
            <w:r w:rsidRPr="000A78EB">
              <w:rPr>
                <w:rFonts w:cs="Arial" w:hAnsi="Arial" w:ascii="Arial"/>
                <w:b/>
                <w:bCs/>
                <w:i/>
                <w:iCs/>
                <w:color w:val="993300"/>
              </w:rPr>
              <w:t>51,24</w:t>
            </w:r>
          </w:p>
        </w:tc>
        <w:tc>
          <w:tcPr>
            <w:tcW w:type="dxa" w:w="1129"/>
            <w:tcBorders>
              <w:top w:val="nil"/>
              <w:left w:val="nil"/>
              <w:bottom w:val="nil"/>
              <w:right w:val="nil"/>
            </w:tcBorders>
            <w:shd w:fill="auto" w:color="auto" w:val="clear"/>
            <w:noWrap/>
            <w:vAlign w:val="bottom"/>
            <w:hideMark/>
          </w:tcPr>
          <w:p w:rsidRDefault="000A78EB" w:rsidP="000A78EB" w:rsidR="000A78EB" w:rsidRPr="000A78EB">
            <w:pPr>
              <w:jc w:val="center"/>
              <w:rPr>
                <w:rFonts w:cs="Arial" w:hAnsi="Arial" w:ascii="Arial"/>
                <w:b/>
                <w:bCs/>
                <w:i/>
                <w:iCs/>
                <w:color w:val="0000FF"/>
              </w:rPr>
            </w:pPr>
            <w:r w:rsidRPr="000A78EB">
              <w:rPr>
                <w:rFonts w:cs="Arial" w:hAnsi="Arial" w:ascii="Arial"/>
                <w:b/>
                <w:bCs/>
                <w:i/>
                <w:iCs/>
                <w:color w:val="0000FF"/>
              </w:rPr>
              <w:t>100,00</w:t>
            </w:r>
          </w:p>
        </w:tc>
      </w:tr>
      <w:tr w:rsidTr="000A78EB" w:rsidR="000A78EB" w:rsidRPr="000A78EB">
        <w:trPr>
          <w:trHeight w:val="322"/>
        </w:trPr>
        <w:tc>
          <w:tcPr>
            <w:tcW w:type="dxa" w:w="422"/>
            <w:vMerge w:val="restart"/>
            <w:tcBorders>
              <w:top w:val="nil"/>
              <w:left w:val="nil"/>
              <w:bottom w:val="nil"/>
              <w:right w:val="nil"/>
            </w:tcBorders>
            <w:shd w:fill="auto" w:color="auto" w:val="clear"/>
            <w:vAlign w:val="center"/>
            <w:hideMark/>
          </w:tcPr>
          <w:p w:rsidRDefault="000A78EB" w:rsidP="000A78EB" w:rsidR="000A78EB" w:rsidRPr="000A78EB">
            <w:pPr>
              <w:jc w:val="center"/>
              <w:rPr>
                <w:rFonts w:cs="Arial" w:hAnsi="Arial" w:ascii="Arial"/>
                <w:b/>
                <w:bCs/>
                <w:sz w:val="28"/>
                <w:szCs w:val="28"/>
              </w:rPr>
            </w:pPr>
            <w:r w:rsidRPr="000A78EB">
              <w:rPr>
                <w:rFonts w:cs="Arial" w:hAnsi="Arial" w:ascii="Arial"/>
                <w:b/>
                <w:bCs/>
                <w:sz w:val="28"/>
                <w:szCs w:val="28"/>
              </w:rPr>
              <w:t>RB</w:t>
            </w:r>
          </w:p>
        </w:tc>
        <w:tc>
          <w:tcPr>
            <w:tcW w:type="dxa" w:w="3420"/>
            <w:vMerge w:val="restart"/>
            <w:tcBorders>
              <w:top w:val="nil"/>
              <w:left w:val="nil"/>
              <w:bottom w:val="nil"/>
              <w:right w:val="nil"/>
            </w:tcBorders>
            <w:shd w:fill="auto" w:color="auto" w:val="clear"/>
            <w:vAlign w:val="center"/>
            <w:hideMark/>
          </w:tcPr>
          <w:p w:rsidRDefault="000A78EB" w:rsidP="000A78EB" w:rsidR="000A78EB" w:rsidRPr="000A78EB">
            <w:pPr>
              <w:jc w:val="center"/>
              <w:rPr>
                <w:rFonts w:cs="Arial" w:hAnsi="Arial" w:ascii="Arial"/>
                <w:b/>
                <w:bCs/>
                <w:sz w:val="22"/>
                <w:szCs w:val="22"/>
              </w:rPr>
            </w:pPr>
            <w:r w:rsidRPr="000A78EB">
              <w:rPr>
                <w:rFonts w:cs="Arial" w:hAnsi="Arial" w:ascii="Arial"/>
                <w:b/>
                <w:bCs/>
                <w:sz w:val="22"/>
                <w:szCs w:val="22"/>
              </w:rPr>
              <w:t>Prisutni  na SKUPŠTINI</w:t>
            </w:r>
          </w:p>
        </w:tc>
        <w:tc>
          <w:tcPr>
            <w:tcW w:type="dxa" w:w="1779"/>
            <w:vMerge w:val="restart"/>
            <w:tcBorders>
              <w:top w:val="nil"/>
              <w:left w:val="nil"/>
              <w:bottom w:val="nil"/>
              <w:right w:val="nil"/>
            </w:tcBorders>
            <w:shd w:fill="auto" w:color="auto" w:val="clear"/>
            <w:vAlign w:val="center"/>
            <w:hideMark/>
          </w:tcPr>
          <w:p w:rsidRDefault="000A78EB" w:rsidP="000A78EB" w:rsidR="000A78EB" w:rsidRPr="000A78EB">
            <w:pPr>
              <w:jc w:val="center"/>
              <w:rPr>
                <w:rFonts w:cs="Arial" w:hAnsi="Arial" w:ascii="Arial"/>
                <w:b/>
                <w:bCs/>
                <w:color w:val="FF0000"/>
                <w:sz w:val="28"/>
                <w:szCs w:val="28"/>
              </w:rPr>
            </w:pPr>
            <w:r w:rsidRPr="000A78EB">
              <w:rPr>
                <w:rFonts w:cs="Arial" w:hAnsi="Arial" w:ascii="Arial"/>
                <w:b/>
                <w:bCs/>
                <w:color w:val="FF0000"/>
                <w:sz w:val="28"/>
                <w:szCs w:val="28"/>
              </w:rPr>
              <w:t>Tražbina</w:t>
            </w:r>
          </w:p>
        </w:tc>
        <w:tc>
          <w:tcPr>
            <w:tcW w:type="dxa" w:w="2352"/>
            <w:vMerge w:val="restart"/>
            <w:tcBorders>
              <w:top w:val="nil"/>
              <w:left w:val="nil"/>
              <w:bottom w:val="nil"/>
              <w:right w:val="nil"/>
            </w:tcBorders>
            <w:shd w:fill="auto" w:color="auto" w:val="clear"/>
            <w:vAlign w:val="center"/>
            <w:hideMark/>
          </w:tcPr>
          <w:p w:rsidRDefault="000A78EB" w:rsidP="000A78EB" w:rsidR="000A78EB" w:rsidRPr="000A78EB">
            <w:pPr>
              <w:jc w:val="center"/>
              <w:rPr>
                <w:rFonts w:cs="Arial" w:hAnsi="Arial" w:ascii="Arial"/>
                <w:b/>
                <w:bCs/>
                <w:color w:val="993300"/>
                <w:sz w:val="28"/>
                <w:szCs w:val="28"/>
              </w:rPr>
            </w:pPr>
            <w:r w:rsidRPr="000A78EB">
              <w:rPr>
                <w:rFonts w:cs="Arial" w:hAnsi="Arial" w:ascii="Arial"/>
                <w:b/>
                <w:bCs/>
                <w:color w:val="993300"/>
                <w:sz w:val="28"/>
                <w:szCs w:val="28"/>
              </w:rPr>
              <w:t>Postotak</w:t>
            </w:r>
          </w:p>
        </w:tc>
        <w:tc>
          <w:tcPr>
            <w:tcW w:type="dxa" w:w="1129"/>
            <w:vMerge w:val="restart"/>
            <w:tcBorders>
              <w:top w:val="nil"/>
              <w:left w:val="nil"/>
              <w:bottom w:val="nil"/>
              <w:right w:val="nil"/>
            </w:tcBorders>
            <w:shd w:fill="auto" w:color="auto" w:val="clear"/>
            <w:vAlign w:val="center"/>
            <w:hideMark/>
          </w:tcPr>
          <w:p w:rsidRDefault="000A78EB" w:rsidP="000A78EB" w:rsidR="000A78EB" w:rsidRPr="000A78EB">
            <w:pPr>
              <w:jc w:val="center"/>
              <w:rPr>
                <w:rFonts w:cs="Arial" w:hAnsi="Arial" w:ascii="Arial"/>
                <w:color w:val="0000FF"/>
                <w:sz w:val="20"/>
                <w:szCs w:val="20"/>
              </w:rPr>
            </w:pPr>
            <w:r w:rsidRPr="000A78EB">
              <w:rPr>
                <w:rFonts w:cs="Arial" w:hAnsi="Arial" w:ascii="Arial"/>
                <w:color w:val="0000FF"/>
                <w:sz w:val="20"/>
                <w:szCs w:val="20"/>
              </w:rPr>
              <w:t>Glasovi  na SKUPŠTINI</w:t>
            </w:r>
          </w:p>
        </w:tc>
      </w:tr>
      <w:tr w:rsidTr="000A78EB" w:rsidR="000A78EB" w:rsidRPr="000A78EB">
        <w:trPr>
          <w:trHeight w:val="480"/>
        </w:trPr>
        <w:tc>
          <w:tcPr>
            <w:tcW w:type="dxa" w:w="422"/>
            <w:vMerge/>
            <w:tcBorders>
              <w:top w:val="nil"/>
              <w:left w:val="nil"/>
              <w:bottom w:val="nil"/>
              <w:right w:val="nil"/>
            </w:tcBorders>
            <w:vAlign w:val="center"/>
            <w:hideMark/>
          </w:tcPr>
          <w:p w:rsidRDefault="000A78EB" w:rsidP="000A78EB" w:rsidR="000A78EB" w:rsidRPr="000A78EB">
            <w:pPr>
              <w:rPr>
                <w:rFonts w:cs="Arial" w:hAnsi="Arial" w:ascii="Arial"/>
                <w:b/>
                <w:bCs/>
                <w:sz w:val="28"/>
                <w:szCs w:val="28"/>
              </w:rPr>
            </w:pPr>
          </w:p>
        </w:tc>
        <w:tc>
          <w:tcPr>
            <w:tcW w:type="dxa" w:w="3420"/>
            <w:vMerge/>
            <w:tcBorders>
              <w:top w:val="nil"/>
              <w:left w:val="nil"/>
              <w:bottom w:val="nil"/>
              <w:right w:val="nil"/>
            </w:tcBorders>
            <w:vAlign w:val="center"/>
            <w:hideMark/>
          </w:tcPr>
          <w:p w:rsidRDefault="000A78EB" w:rsidP="000A78EB" w:rsidR="000A78EB" w:rsidRPr="000A78EB">
            <w:pPr>
              <w:rPr>
                <w:rFonts w:cs="Arial" w:hAnsi="Arial" w:ascii="Arial"/>
                <w:b/>
                <w:bCs/>
                <w:sz w:val="22"/>
                <w:szCs w:val="22"/>
              </w:rPr>
            </w:pPr>
          </w:p>
        </w:tc>
        <w:tc>
          <w:tcPr>
            <w:tcW w:type="dxa" w:w="1779"/>
            <w:vMerge/>
            <w:tcBorders>
              <w:top w:val="nil"/>
              <w:left w:val="nil"/>
              <w:bottom w:val="nil"/>
              <w:right w:val="nil"/>
            </w:tcBorders>
            <w:vAlign w:val="center"/>
            <w:hideMark/>
          </w:tcPr>
          <w:p w:rsidRDefault="000A78EB" w:rsidP="000A78EB" w:rsidR="000A78EB" w:rsidRPr="000A78EB">
            <w:pPr>
              <w:rPr>
                <w:rFonts w:cs="Arial" w:hAnsi="Arial" w:ascii="Arial"/>
                <w:b/>
                <w:bCs/>
                <w:color w:val="FF0000"/>
                <w:sz w:val="28"/>
                <w:szCs w:val="28"/>
              </w:rPr>
            </w:pPr>
          </w:p>
        </w:tc>
        <w:tc>
          <w:tcPr>
            <w:tcW w:type="dxa" w:w="2352"/>
            <w:vMerge/>
            <w:tcBorders>
              <w:top w:val="nil"/>
              <w:left w:val="nil"/>
              <w:bottom w:val="nil"/>
              <w:right w:val="nil"/>
            </w:tcBorders>
            <w:vAlign w:val="center"/>
            <w:hideMark/>
          </w:tcPr>
          <w:p w:rsidRDefault="000A78EB" w:rsidP="000A78EB" w:rsidR="000A78EB" w:rsidRPr="000A78EB">
            <w:pPr>
              <w:rPr>
                <w:rFonts w:cs="Arial" w:hAnsi="Arial" w:ascii="Arial"/>
                <w:b/>
                <w:bCs/>
                <w:color w:val="993300"/>
                <w:sz w:val="28"/>
                <w:szCs w:val="28"/>
              </w:rPr>
            </w:pPr>
          </w:p>
        </w:tc>
        <w:tc>
          <w:tcPr>
            <w:tcW w:type="dxa" w:w="1129"/>
            <w:vMerge/>
            <w:tcBorders>
              <w:top w:val="nil"/>
              <w:left w:val="nil"/>
              <w:bottom w:val="nil"/>
              <w:right w:val="nil"/>
            </w:tcBorders>
            <w:vAlign w:val="center"/>
            <w:hideMark/>
          </w:tcPr>
          <w:p w:rsidRDefault="000A78EB" w:rsidP="000A78EB" w:rsidR="000A78EB" w:rsidRPr="000A78EB">
            <w:pPr>
              <w:rPr>
                <w:rFonts w:cs="Arial" w:hAnsi="Arial" w:ascii="Arial"/>
                <w:color w:val="0000FF"/>
                <w:sz w:val="20"/>
                <w:szCs w:val="20"/>
              </w:rPr>
            </w:pPr>
          </w:p>
        </w:tc>
      </w:tr>
      <w:tr w:rsidTr="000A78EB" w:rsidR="000A78EB" w:rsidRPr="000A78EB">
        <w:trPr>
          <w:trHeight w:val="315"/>
        </w:trPr>
        <w:tc>
          <w:tcPr>
            <w:tcW w:type="dxa" w:w="422"/>
            <w:tcBorders>
              <w:top w:val="nil"/>
              <w:left w:val="nil"/>
              <w:bottom w:val="nil"/>
              <w:right w:val="nil"/>
            </w:tcBorders>
            <w:shd w:fill="auto" w:color="auto" w:val="clear"/>
            <w:noWrap/>
            <w:vAlign w:val="bottom"/>
            <w:hideMark/>
          </w:tcPr>
          <w:p w:rsidRDefault="000A78EB" w:rsidP="000A78EB" w:rsidR="000A78EB" w:rsidRPr="000A78EB">
            <w:pPr>
              <w:jc w:val="right"/>
              <w:rPr>
                <w:rFonts w:cs="Arial" w:hAnsi="Arial" w:ascii="Arial"/>
                <w:sz w:val="20"/>
                <w:szCs w:val="20"/>
              </w:rPr>
            </w:pPr>
            <w:r w:rsidRPr="000A78EB">
              <w:rPr>
                <w:rFonts w:cs="Arial" w:hAnsi="Arial" w:ascii="Arial"/>
                <w:sz w:val="20"/>
                <w:szCs w:val="20"/>
              </w:rPr>
              <w:t>1</w:t>
            </w:r>
          </w:p>
        </w:tc>
        <w:tc>
          <w:tcPr>
            <w:tcW w:type="dxa" w:w="3420"/>
            <w:tcBorders>
              <w:top w:val="nil"/>
              <w:left w:val="nil"/>
              <w:bottom w:val="nil"/>
              <w:right w:val="nil"/>
            </w:tcBorders>
            <w:shd w:fill="auto" w:color="auto" w:val="clear"/>
            <w:noWrap/>
            <w:vAlign w:val="bottom"/>
            <w:hideMark/>
          </w:tcPr>
          <w:p w:rsidRDefault="000A78EB" w:rsidP="000A78EB" w:rsidR="000A78EB" w:rsidRPr="000A78EB">
            <w:pPr>
              <w:rPr>
                <w:rFonts w:cs="Arial" w:hAnsi="Arial" w:ascii="Arial"/>
                <w:sz w:val="20"/>
                <w:szCs w:val="20"/>
              </w:rPr>
            </w:pPr>
            <w:r w:rsidRPr="000A78EB">
              <w:rPr>
                <w:rFonts w:cs="Arial" w:hAnsi="Arial" w:ascii="Arial"/>
                <w:sz w:val="20"/>
                <w:szCs w:val="20"/>
              </w:rPr>
              <w:t>RH</w:t>
            </w:r>
          </w:p>
        </w:tc>
        <w:tc>
          <w:tcPr>
            <w:tcW w:type="dxa" w:w="1779"/>
            <w:tcBorders>
              <w:top w:val="nil"/>
              <w:left w:val="nil"/>
              <w:bottom w:val="nil"/>
              <w:right w:val="nil"/>
            </w:tcBorders>
            <w:shd w:fill="auto" w:color="auto" w:val="clear"/>
            <w:noWrap/>
            <w:vAlign w:val="bottom"/>
            <w:hideMark/>
          </w:tcPr>
          <w:p w:rsidRDefault="000A78EB" w:rsidP="000A78EB" w:rsidR="000A78EB" w:rsidRPr="000A78EB">
            <w:pPr>
              <w:jc w:val="right"/>
            </w:pPr>
            <w:r w:rsidRPr="000A78EB">
              <w:t>22.319.970,10</w:t>
            </w:r>
          </w:p>
        </w:tc>
        <w:tc>
          <w:tcPr>
            <w:tcW w:type="dxa" w:w="2352"/>
            <w:tcBorders>
              <w:top w:val="nil"/>
              <w:left w:val="nil"/>
              <w:bottom w:val="nil"/>
              <w:right w:val="nil"/>
            </w:tcBorders>
            <w:shd w:fill="auto" w:color="auto" w:val="clear"/>
            <w:noWrap/>
            <w:vAlign w:val="bottom"/>
            <w:hideMark/>
          </w:tcPr>
          <w:p w:rsidRDefault="000A78EB" w:rsidP="000A78EB" w:rsidR="000A78EB" w:rsidRPr="000A78EB">
            <w:pPr>
              <w:jc w:val="center"/>
              <w:rPr>
                <w:rFonts w:cs="Arial" w:hAnsi="Arial" w:ascii="Arial"/>
                <w:sz w:val="20"/>
                <w:szCs w:val="20"/>
              </w:rPr>
            </w:pPr>
            <w:r w:rsidRPr="000A78EB">
              <w:rPr>
                <w:rFonts w:cs="Arial" w:hAnsi="Arial" w:ascii="Arial"/>
                <w:sz w:val="20"/>
                <w:szCs w:val="20"/>
              </w:rPr>
              <w:t>40,64</w:t>
            </w:r>
          </w:p>
        </w:tc>
        <w:tc>
          <w:tcPr>
            <w:tcW w:type="dxa" w:w="1129"/>
            <w:tcBorders>
              <w:top w:val="nil"/>
              <w:left w:val="nil"/>
              <w:bottom w:val="nil"/>
              <w:right w:val="nil"/>
            </w:tcBorders>
            <w:shd w:fill="auto" w:color="auto" w:val="clear"/>
            <w:noWrap/>
            <w:vAlign w:val="bottom"/>
            <w:hideMark/>
          </w:tcPr>
          <w:p w:rsidRDefault="000A78EB" w:rsidP="000A78EB" w:rsidR="000A78EB" w:rsidRPr="000A78EB">
            <w:pPr>
              <w:jc w:val="center"/>
              <w:rPr>
                <w:rFonts w:cs="Arial" w:hAnsi="Arial" w:ascii="Arial"/>
                <w:sz w:val="20"/>
                <w:szCs w:val="20"/>
              </w:rPr>
            </w:pPr>
            <w:r w:rsidRPr="000A78EB">
              <w:rPr>
                <w:rFonts w:cs="Arial" w:hAnsi="Arial" w:ascii="Arial"/>
                <w:sz w:val="20"/>
                <w:szCs w:val="20"/>
              </w:rPr>
              <w:t>79,31</w:t>
            </w:r>
          </w:p>
        </w:tc>
      </w:tr>
      <w:tr w:rsidTr="000A78EB" w:rsidR="000A78EB" w:rsidRPr="000A78EB">
        <w:trPr>
          <w:trHeight w:val="255"/>
        </w:trPr>
        <w:tc>
          <w:tcPr>
            <w:tcW w:type="dxa" w:w="422"/>
            <w:tcBorders>
              <w:top w:val="nil"/>
              <w:left w:val="nil"/>
              <w:bottom w:val="nil"/>
              <w:right w:val="nil"/>
            </w:tcBorders>
            <w:shd w:fill="auto" w:color="auto" w:val="clear"/>
            <w:noWrap/>
            <w:vAlign w:val="bottom"/>
            <w:hideMark/>
          </w:tcPr>
          <w:p w:rsidRDefault="000A78EB" w:rsidP="000A78EB" w:rsidR="000A78EB" w:rsidRPr="000A78EB">
            <w:pPr>
              <w:jc w:val="right"/>
              <w:rPr>
                <w:rFonts w:cs="Arial" w:hAnsi="Arial" w:ascii="Arial"/>
                <w:sz w:val="20"/>
                <w:szCs w:val="20"/>
              </w:rPr>
            </w:pPr>
            <w:r w:rsidRPr="000A78EB">
              <w:rPr>
                <w:rFonts w:cs="Arial" w:hAnsi="Arial" w:ascii="Arial"/>
                <w:sz w:val="20"/>
                <w:szCs w:val="20"/>
              </w:rPr>
              <w:t>2</w:t>
            </w:r>
          </w:p>
        </w:tc>
        <w:tc>
          <w:tcPr>
            <w:tcW w:type="dxa" w:w="3420"/>
            <w:tcBorders>
              <w:top w:val="nil"/>
              <w:left w:val="nil"/>
              <w:bottom w:val="nil"/>
              <w:right w:val="nil"/>
            </w:tcBorders>
            <w:shd w:fill="auto" w:color="auto" w:val="clear"/>
            <w:noWrap/>
            <w:vAlign w:val="bottom"/>
            <w:hideMark/>
          </w:tcPr>
          <w:p w:rsidRDefault="000A78EB" w:rsidP="000A78EB" w:rsidR="000A78EB" w:rsidRPr="000A78EB">
            <w:pPr>
              <w:rPr>
                <w:rFonts w:cs="Arial" w:hAnsi="Arial" w:ascii="Arial"/>
                <w:sz w:val="20"/>
                <w:szCs w:val="20"/>
              </w:rPr>
            </w:pPr>
            <w:r w:rsidRPr="000A78EB">
              <w:rPr>
                <w:rFonts w:cs="Arial" w:hAnsi="Arial" w:ascii="Arial"/>
                <w:sz w:val="20"/>
                <w:szCs w:val="20"/>
              </w:rPr>
              <w:t>Hrvatski zavod za zapošljavanje</w:t>
            </w:r>
          </w:p>
        </w:tc>
        <w:tc>
          <w:tcPr>
            <w:tcW w:type="dxa" w:w="1779"/>
            <w:tcBorders>
              <w:top w:val="nil"/>
              <w:left w:val="nil"/>
              <w:bottom w:val="nil"/>
              <w:right w:val="nil"/>
            </w:tcBorders>
            <w:shd w:fill="auto" w:color="auto" w:val="clear"/>
            <w:noWrap/>
            <w:vAlign w:val="bottom"/>
            <w:hideMark/>
          </w:tcPr>
          <w:p w:rsidRDefault="000A78EB" w:rsidP="000A78EB" w:rsidR="000A78EB" w:rsidRPr="000A78EB">
            <w:pPr>
              <w:jc w:val="right"/>
              <w:rPr>
                <w:rFonts w:cs="Arial" w:hAnsi="Arial" w:ascii="Arial"/>
                <w:sz w:val="20"/>
                <w:szCs w:val="20"/>
              </w:rPr>
            </w:pPr>
            <w:r w:rsidRPr="000A78EB">
              <w:rPr>
                <w:rFonts w:cs="Arial" w:hAnsi="Arial" w:ascii="Arial"/>
                <w:sz w:val="20"/>
                <w:szCs w:val="20"/>
              </w:rPr>
              <w:t>2.177.263,50</w:t>
            </w:r>
          </w:p>
        </w:tc>
        <w:tc>
          <w:tcPr>
            <w:tcW w:type="dxa" w:w="2352"/>
            <w:tcBorders>
              <w:top w:val="nil"/>
              <w:left w:val="nil"/>
              <w:bottom w:val="nil"/>
              <w:right w:val="nil"/>
            </w:tcBorders>
            <w:shd w:fill="auto" w:color="auto" w:val="clear"/>
            <w:noWrap/>
            <w:vAlign w:val="bottom"/>
            <w:hideMark/>
          </w:tcPr>
          <w:p w:rsidRDefault="000A78EB" w:rsidP="000A78EB" w:rsidR="000A78EB" w:rsidRPr="000A78EB">
            <w:pPr>
              <w:jc w:val="center"/>
              <w:rPr>
                <w:rFonts w:cs="Arial" w:hAnsi="Arial" w:ascii="Arial"/>
                <w:sz w:val="20"/>
                <w:szCs w:val="20"/>
              </w:rPr>
            </w:pPr>
            <w:r w:rsidRPr="000A78EB">
              <w:rPr>
                <w:rFonts w:cs="Arial" w:hAnsi="Arial" w:ascii="Arial"/>
                <w:sz w:val="20"/>
                <w:szCs w:val="20"/>
              </w:rPr>
              <w:t>3,96</w:t>
            </w:r>
          </w:p>
        </w:tc>
        <w:tc>
          <w:tcPr>
            <w:tcW w:type="dxa" w:w="1129"/>
            <w:tcBorders>
              <w:top w:val="nil"/>
              <w:left w:val="nil"/>
              <w:bottom w:val="nil"/>
              <w:right w:val="nil"/>
            </w:tcBorders>
            <w:shd w:fill="auto" w:color="auto" w:val="clear"/>
            <w:noWrap/>
            <w:vAlign w:val="bottom"/>
            <w:hideMark/>
          </w:tcPr>
          <w:p w:rsidRDefault="000A78EB" w:rsidP="000A78EB" w:rsidR="000A78EB" w:rsidRPr="000A78EB">
            <w:pPr>
              <w:jc w:val="center"/>
              <w:rPr>
                <w:rFonts w:cs="Arial" w:hAnsi="Arial" w:ascii="Arial"/>
                <w:sz w:val="20"/>
                <w:szCs w:val="20"/>
              </w:rPr>
            </w:pPr>
            <w:r w:rsidRPr="000A78EB">
              <w:rPr>
                <w:rFonts w:cs="Arial" w:hAnsi="Arial" w:ascii="Arial"/>
                <w:sz w:val="20"/>
                <w:szCs w:val="20"/>
              </w:rPr>
              <w:t>7,74</w:t>
            </w:r>
          </w:p>
        </w:tc>
      </w:tr>
      <w:tr w:rsidTr="000A78EB" w:rsidR="000A78EB" w:rsidRPr="000A78EB">
        <w:trPr>
          <w:trHeight w:val="255"/>
        </w:trPr>
        <w:tc>
          <w:tcPr>
            <w:tcW w:type="dxa" w:w="422"/>
            <w:tcBorders>
              <w:top w:val="nil"/>
              <w:left w:val="nil"/>
              <w:bottom w:val="nil"/>
              <w:right w:val="nil"/>
            </w:tcBorders>
            <w:shd w:fill="auto" w:color="auto" w:val="clear"/>
            <w:noWrap/>
            <w:vAlign w:val="bottom"/>
            <w:hideMark/>
          </w:tcPr>
          <w:p w:rsidRDefault="000A78EB" w:rsidP="000A78EB" w:rsidR="000A78EB" w:rsidRPr="000A78EB">
            <w:pPr>
              <w:jc w:val="right"/>
              <w:rPr>
                <w:rFonts w:cs="Arial" w:hAnsi="Arial" w:ascii="Arial"/>
                <w:sz w:val="20"/>
                <w:szCs w:val="20"/>
              </w:rPr>
            </w:pPr>
            <w:r w:rsidRPr="000A78EB">
              <w:rPr>
                <w:rFonts w:cs="Arial" w:hAnsi="Arial" w:ascii="Arial"/>
                <w:sz w:val="20"/>
                <w:szCs w:val="20"/>
              </w:rPr>
              <w:t>3</w:t>
            </w:r>
          </w:p>
        </w:tc>
        <w:tc>
          <w:tcPr>
            <w:tcW w:type="dxa" w:w="3420"/>
            <w:tcBorders>
              <w:top w:val="nil"/>
              <w:left w:val="nil"/>
              <w:bottom w:val="nil"/>
              <w:right w:val="nil"/>
            </w:tcBorders>
            <w:shd w:fill="auto" w:color="auto" w:val="clear"/>
            <w:noWrap/>
            <w:vAlign w:val="bottom"/>
            <w:hideMark/>
          </w:tcPr>
          <w:p w:rsidRDefault="000A78EB" w:rsidP="000A78EB" w:rsidR="000A78EB" w:rsidRPr="000A78EB">
            <w:pPr>
              <w:rPr>
                <w:rFonts w:cs="Arial" w:hAnsi="Arial" w:ascii="Arial"/>
                <w:sz w:val="20"/>
                <w:szCs w:val="20"/>
              </w:rPr>
            </w:pPr>
            <w:r w:rsidRPr="000A78EB">
              <w:rPr>
                <w:rFonts w:cs="Arial" w:hAnsi="Arial" w:ascii="Arial"/>
                <w:sz w:val="20"/>
                <w:szCs w:val="20"/>
              </w:rPr>
              <w:t>Grad Benkovac</w:t>
            </w:r>
          </w:p>
        </w:tc>
        <w:tc>
          <w:tcPr>
            <w:tcW w:type="dxa" w:w="1779"/>
            <w:tcBorders>
              <w:top w:val="nil"/>
              <w:left w:val="nil"/>
              <w:bottom w:val="nil"/>
              <w:right w:val="nil"/>
            </w:tcBorders>
            <w:shd w:fill="auto" w:color="auto" w:val="clear"/>
            <w:noWrap/>
            <w:vAlign w:val="bottom"/>
            <w:hideMark/>
          </w:tcPr>
          <w:p w:rsidRDefault="000A78EB" w:rsidP="000A78EB" w:rsidR="000A78EB" w:rsidRPr="000A78EB">
            <w:pPr>
              <w:jc w:val="right"/>
              <w:rPr>
                <w:rFonts w:cs="Arial" w:hAnsi="Arial" w:ascii="Arial"/>
                <w:sz w:val="20"/>
                <w:szCs w:val="20"/>
              </w:rPr>
            </w:pPr>
            <w:r w:rsidRPr="000A78EB">
              <w:rPr>
                <w:rFonts w:cs="Arial" w:hAnsi="Arial" w:ascii="Arial"/>
                <w:sz w:val="20"/>
                <w:szCs w:val="20"/>
              </w:rPr>
              <w:t>2.841.876,94</w:t>
            </w:r>
          </w:p>
        </w:tc>
        <w:tc>
          <w:tcPr>
            <w:tcW w:type="dxa" w:w="2352"/>
            <w:tcBorders>
              <w:top w:val="nil"/>
              <w:left w:val="nil"/>
              <w:bottom w:val="nil"/>
              <w:right w:val="nil"/>
            </w:tcBorders>
            <w:shd w:fill="auto" w:color="auto" w:val="clear"/>
            <w:noWrap/>
            <w:vAlign w:val="bottom"/>
            <w:hideMark/>
          </w:tcPr>
          <w:p w:rsidRDefault="000A78EB" w:rsidP="000A78EB" w:rsidR="000A78EB" w:rsidRPr="000A78EB">
            <w:pPr>
              <w:jc w:val="center"/>
              <w:rPr>
                <w:rFonts w:cs="Arial" w:hAnsi="Arial" w:ascii="Arial"/>
                <w:sz w:val="20"/>
                <w:szCs w:val="20"/>
              </w:rPr>
            </w:pPr>
            <w:r w:rsidRPr="000A78EB">
              <w:rPr>
                <w:rFonts w:cs="Arial" w:hAnsi="Arial" w:ascii="Arial"/>
                <w:sz w:val="20"/>
                <w:szCs w:val="20"/>
              </w:rPr>
              <w:t>5,17</w:t>
            </w:r>
          </w:p>
        </w:tc>
        <w:tc>
          <w:tcPr>
            <w:tcW w:type="dxa" w:w="1129"/>
            <w:tcBorders>
              <w:top w:val="nil"/>
              <w:left w:val="nil"/>
              <w:bottom w:val="nil"/>
              <w:right w:val="nil"/>
            </w:tcBorders>
            <w:shd w:fill="auto" w:color="auto" w:val="clear"/>
            <w:noWrap/>
            <w:vAlign w:val="bottom"/>
            <w:hideMark/>
          </w:tcPr>
          <w:p w:rsidRDefault="000A78EB" w:rsidP="000A78EB" w:rsidR="000A78EB" w:rsidRPr="000A78EB">
            <w:pPr>
              <w:jc w:val="center"/>
              <w:rPr>
                <w:rFonts w:cs="Arial" w:hAnsi="Arial" w:ascii="Arial"/>
                <w:sz w:val="20"/>
                <w:szCs w:val="20"/>
              </w:rPr>
            </w:pPr>
            <w:r w:rsidRPr="000A78EB">
              <w:rPr>
                <w:rFonts w:cs="Arial" w:hAnsi="Arial" w:ascii="Arial"/>
                <w:sz w:val="20"/>
                <w:szCs w:val="20"/>
              </w:rPr>
              <w:t>10,10</w:t>
            </w:r>
          </w:p>
        </w:tc>
      </w:tr>
      <w:tr w:rsidTr="000A78EB" w:rsidR="000A78EB" w:rsidRPr="000A78EB">
        <w:trPr>
          <w:trHeight w:val="255"/>
        </w:trPr>
        <w:tc>
          <w:tcPr>
            <w:tcW w:type="dxa" w:w="422"/>
            <w:tcBorders>
              <w:top w:val="nil"/>
              <w:left w:val="nil"/>
              <w:bottom w:val="nil"/>
              <w:right w:val="nil"/>
            </w:tcBorders>
            <w:shd w:fill="auto" w:color="auto" w:val="clear"/>
            <w:noWrap/>
            <w:vAlign w:val="bottom"/>
            <w:hideMark/>
          </w:tcPr>
          <w:p w:rsidRDefault="000A78EB" w:rsidP="000A78EB" w:rsidR="000A78EB" w:rsidRPr="000A78EB">
            <w:pPr>
              <w:jc w:val="right"/>
              <w:rPr>
                <w:rFonts w:cs="Arial" w:hAnsi="Arial" w:ascii="Arial"/>
                <w:sz w:val="20"/>
                <w:szCs w:val="20"/>
              </w:rPr>
            </w:pPr>
            <w:r w:rsidRPr="000A78EB">
              <w:rPr>
                <w:rFonts w:cs="Arial" w:hAnsi="Arial" w:ascii="Arial"/>
                <w:sz w:val="20"/>
                <w:szCs w:val="20"/>
              </w:rPr>
              <w:t>4</w:t>
            </w:r>
          </w:p>
        </w:tc>
        <w:tc>
          <w:tcPr>
            <w:tcW w:type="dxa" w:w="3420"/>
            <w:tcBorders>
              <w:top w:val="nil"/>
              <w:left w:val="nil"/>
              <w:bottom w:val="nil"/>
              <w:right w:val="nil"/>
            </w:tcBorders>
            <w:shd w:fill="auto" w:color="auto" w:val="clear"/>
            <w:noWrap/>
            <w:vAlign w:val="bottom"/>
            <w:hideMark/>
          </w:tcPr>
          <w:p w:rsidRDefault="000A78EB" w:rsidP="000A78EB" w:rsidR="000A78EB" w:rsidRPr="000A78EB">
            <w:pPr>
              <w:rPr>
                <w:rFonts w:cs="Arial" w:hAnsi="Arial" w:ascii="Arial"/>
                <w:sz w:val="20"/>
                <w:szCs w:val="20"/>
              </w:rPr>
            </w:pPr>
            <w:r w:rsidRPr="000A78EB">
              <w:rPr>
                <w:rFonts w:cs="Arial" w:hAnsi="Arial" w:ascii="Arial"/>
                <w:sz w:val="20"/>
                <w:szCs w:val="20"/>
              </w:rPr>
              <w:t>Agencija za zaštitu ra</w:t>
            </w:r>
            <w:r>
              <w:rPr>
                <w:rFonts w:cs="Arial" w:hAnsi="Arial" w:ascii="Arial"/>
                <w:sz w:val="20"/>
                <w:szCs w:val="20"/>
              </w:rPr>
              <w:t>d</w:t>
            </w:r>
            <w:r w:rsidRPr="000A78EB">
              <w:rPr>
                <w:rFonts w:cs="Arial" w:hAnsi="Arial" w:ascii="Arial"/>
                <w:sz w:val="20"/>
                <w:szCs w:val="20"/>
              </w:rPr>
              <w:t>ničkih potraživanja</w:t>
            </w:r>
          </w:p>
        </w:tc>
        <w:tc>
          <w:tcPr>
            <w:tcW w:type="dxa" w:w="1779"/>
            <w:tcBorders>
              <w:top w:val="nil"/>
              <w:left w:val="nil"/>
              <w:bottom w:val="nil"/>
              <w:right w:val="nil"/>
            </w:tcBorders>
            <w:shd w:fill="auto" w:color="auto" w:val="clear"/>
            <w:noWrap/>
            <w:vAlign w:val="bottom"/>
            <w:hideMark/>
          </w:tcPr>
          <w:p w:rsidRDefault="000A78EB" w:rsidP="000A78EB" w:rsidR="000A78EB" w:rsidRPr="000A78EB">
            <w:pPr>
              <w:jc w:val="right"/>
              <w:rPr>
                <w:rFonts w:cs="Arial" w:hAnsi="Arial" w:ascii="Arial"/>
                <w:sz w:val="20"/>
                <w:szCs w:val="20"/>
              </w:rPr>
            </w:pPr>
            <w:r w:rsidRPr="000A78EB">
              <w:rPr>
                <w:rFonts w:cs="Arial" w:hAnsi="Arial" w:ascii="Arial"/>
                <w:sz w:val="20"/>
                <w:szCs w:val="20"/>
              </w:rPr>
              <w:t>695.261,63</w:t>
            </w:r>
          </w:p>
        </w:tc>
        <w:tc>
          <w:tcPr>
            <w:tcW w:type="dxa" w:w="2352"/>
            <w:tcBorders>
              <w:top w:val="nil"/>
              <w:left w:val="nil"/>
              <w:bottom w:val="nil"/>
              <w:right w:val="nil"/>
            </w:tcBorders>
            <w:shd w:fill="auto" w:color="auto" w:val="clear"/>
            <w:noWrap/>
            <w:vAlign w:val="bottom"/>
            <w:hideMark/>
          </w:tcPr>
          <w:p w:rsidRDefault="000A78EB" w:rsidP="000A78EB" w:rsidR="000A78EB" w:rsidRPr="000A78EB">
            <w:pPr>
              <w:jc w:val="center"/>
              <w:rPr>
                <w:rFonts w:cs="Arial" w:hAnsi="Arial" w:ascii="Arial"/>
                <w:sz w:val="20"/>
                <w:szCs w:val="20"/>
              </w:rPr>
            </w:pPr>
            <w:r w:rsidRPr="000A78EB">
              <w:rPr>
                <w:rFonts w:cs="Arial" w:hAnsi="Arial" w:ascii="Arial"/>
                <w:sz w:val="20"/>
                <w:szCs w:val="20"/>
              </w:rPr>
              <w:t>1,27</w:t>
            </w:r>
          </w:p>
        </w:tc>
        <w:tc>
          <w:tcPr>
            <w:tcW w:type="dxa" w:w="1129"/>
            <w:tcBorders>
              <w:top w:val="nil"/>
              <w:left w:val="nil"/>
              <w:bottom w:val="nil"/>
              <w:right w:val="nil"/>
            </w:tcBorders>
            <w:shd w:fill="auto" w:color="auto" w:val="clear"/>
            <w:noWrap/>
            <w:vAlign w:val="bottom"/>
            <w:hideMark/>
          </w:tcPr>
          <w:p w:rsidRDefault="000A78EB" w:rsidP="000A78EB" w:rsidR="000A78EB" w:rsidRPr="000A78EB">
            <w:pPr>
              <w:jc w:val="center"/>
              <w:rPr>
                <w:rFonts w:cs="Arial" w:hAnsi="Arial" w:ascii="Arial"/>
                <w:sz w:val="20"/>
                <w:szCs w:val="20"/>
              </w:rPr>
            </w:pPr>
            <w:r w:rsidRPr="000A78EB">
              <w:rPr>
                <w:rFonts w:cs="Arial" w:hAnsi="Arial" w:ascii="Arial"/>
                <w:sz w:val="20"/>
                <w:szCs w:val="20"/>
              </w:rPr>
              <w:t>2,47</w:t>
            </w:r>
          </w:p>
        </w:tc>
      </w:tr>
      <w:tr w:rsidTr="000A78EB" w:rsidR="000A78EB" w:rsidRPr="000A78EB">
        <w:trPr>
          <w:trHeight w:val="255"/>
        </w:trPr>
        <w:tc>
          <w:tcPr>
            <w:tcW w:type="dxa" w:w="422"/>
            <w:tcBorders>
              <w:top w:val="nil"/>
              <w:left w:val="nil"/>
              <w:bottom w:val="nil"/>
              <w:right w:val="nil"/>
            </w:tcBorders>
            <w:shd w:fill="auto" w:color="auto" w:val="clear"/>
            <w:noWrap/>
            <w:vAlign w:val="bottom"/>
            <w:hideMark/>
          </w:tcPr>
          <w:p w:rsidRDefault="000A78EB" w:rsidP="000A78EB" w:rsidR="000A78EB" w:rsidRPr="000A78EB">
            <w:pPr>
              <w:jc w:val="right"/>
              <w:rPr>
                <w:rFonts w:cs="Arial" w:hAnsi="Arial" w:ascii="Arial"/>
                <w:sz w:val="20"/>
                <w:szCs w:val="20"/>
              </w:rPr>
            </w:pPr>
            <w:r w:rsidRPr="000A78EB">
              <w:rPr>
                <w:rFonts w:cs="Arial" w:hAnsi="Arial" w:ascii="Arial"/>
                <w:sz w:val="20"/>
                <w:szCs w:val="20"/>
              </w:rPr>
              <w:t>5</w:t>
            </w:r>
          </w:p>
        </w:tc>
        <w:tc>
          <w:tcPr>
            <w:tcW w:type="dxa" w:w="3420"/>
            <w:tcBorders>
              <w:top w:val="nil"/>
              <w:left w:val="nil"/>
              <w:bottom w:val="nil"/>
              <w:right w:val="nil"/>
            </w:tcBorders>
            <w:shd w:fill="auto" w:color="auto" w:val="clear"/>
            <w:noWrap/>
            <w:vAlign w:val="bottom"/>
            <w:hideMark/>
          </w:tcPr>
          <w:p w:rsidRDefault="000A78EB" w:rsidP="000A78EB" w:rsidR="000A78EB" w:rsidRPr="000A78EB">
            <w:pPr>
              <w:rPr>
                <w:rFonts w:cs="Arial" w:hAnsi="Arial" w:ascii="Arial"/>
                <w:sz w:val="20"/>
                <w:szCs w:val="20"/>
              </w:rPr>
            </w:pPr>
            <w:r w:rsidRPr="000A78EB">
              <w:rPr>
                <w:rFonts w:cs="Arial" w:hAnsi="Arial" w:ascii="Arial"/>
                <w:sz w:val="20"/>
                <w:szCs w:val="20"/>
              </w:rPr>
              <w:t xml:space="preserve">CERP </w:t>
            </w:r>
          </w:p>
        </w:tc>
        <w:tc>
          <w:tcPr>
            <w:tcW w:type="dxa" w:w="1779"/>
            <w:tcBorders>
              <w:top w:val="nil"/>
              <w:left w:val="nil"/>
              <w:bottom w:val="nil"/>
              <w:right w:val="nil"/>
            </w:tcBorders>
            <w:shd w:fill="auto" w:color="auto" w:val="clear"/>
            <w:noWrap/>
            <w:vAlign w:val="bottom"/>
            <w:hideMark/>
          </w:tcPr>
          <w:p w:rsidRDefault="000A78EB" w:rsidP="000A78EB" w:rsidR="000A78EB" w:rsidRPr="000A78EB">
            <w:pPr>
              <w:jc w:val="right"/>
              <w:rPr>
                <w:rFonts w:cs="Arial" w:hAnsi="Arial" w:ascii="Arial"/>
                <w:sz w:val="20"/>
                <w:szCs w:val="20"/>
              </w:rPr>
            </w:pPr>
            <w:r w:rsidRPr="000A78EB">
              <w:rPr>
                <w:rFonts w:cs="Arial" w:hAnsi="Arial" w:ascii="Arial"/>
                <w:sz w:val="20"/>
                <w:szCs w:val="20"/>
              </w:rPr>
              <w:t>108.331,59</w:t>
            </w:r>
          </w:p>
        </w:tc>
        <w:tc>
          <w:tcPr>
            <w:tcW w:type="dxa" w:w="2352"/>
            <w:tcBorders>
              <w:top w:val="nil"/>
              <w:left w:val="nil"/>
              <w:bottom w:val="nil"/>
              <w:right w:val="nil"/>
            </w:tcBorders>
            <w:shd w:fill="auto" w:color="auto" w:val="clear"/>
            <w:noWrap/>
            <w:vAlign w:val="bottom"/>
            <w:hideMark/>
          </w:tcPr>
          <w:p w:rsidRDefault="000A78EB" w:rsidP="000A78EB" w:rsidR="000A78EB" w:rsidRPr="000A78EB">
            <w:pPr>
              <w:jc w:val="center"/>
              <w:rPr>
                <w:rFonts w:cs="Arial" w:hAnsi="Arial" w:ascii="Arial"/>
                <w:sz w:val="20"/>
                <w:szCs w:val="20"/>
              </w:rPr>
            </w:pPr>
            <w:r w:rsidRPr="000A78EB">
              <w:rPr>
                <w:rFonts w:cs="Arial" w:hAnsi="Arial" w:ascii="Arial"/>
                <w:sz w:val="20"/>
                <w:szCs w:val="20"/>
              </w:rPr>
              <w:t>0,20</w:t>
            </w:r>
          </w:p>
        </w:tc>
        <w:tc>
          <w:tcPr>
            <w:tcW w:type="dxa" w:w="1129"/>
            <w:tcBorders>
              <w:top w:val="nil"/>
              <w:left w:val="nil"/>
              <w:bottom w:val="nil"/>
              <w:right w:val="nil"/>
            </w:tcBorders>
            <w:shd w:fill="auto" w:color="auto" w:val="clear"/>
            <w:noWrap/>
            <w:vAlign w:val="bottom"/>
            <w:hideMark/>
          </w:tcPr>
          <w:p w:rsidRDefault="000A78EB" w:rsidP="000A78EB" w:rsidR="000A78EB" w:rsidRPr="000A78EB">
            <w:pPr>
              <w:jc w:val="center"/>
              <w:rPr>
                <w:rFonts w:cs="Arial" w:hAnsi="Arial" w:ascii="Arial"/>
                <w:sz w:val="20"/>
                <w:szCs w:val="20"/>
              </w:rPr>
            </w:pPr>
            <w:r w:rsidRPr="000A78EB">
              <w:rPr>
                <w:rFonts w:cs="Arial" w:hAnsi="Arial" w:ascii="Arial"/>
                <w:sz w:val="20"/>
                <w:szCs w:val="20"/>
              </w:rPr>
              <w:t>0,38</w:t>
            </w:r>
          </w:p>
        </w:tc>
      </w:tr>
    </w:tbl>
    <w:p w:rsidRDefault="002A7759" w:rsidP="00FE4DA0" w:rsidR="002A7759">
      <w:pPr>
        <w:jc w:val="both"/>
      </w:pPr>
    </w:p>
    <w:p w:rsidRDefault="00FE4DA0" w:rsidP="00FE4DA0" w:rsidR="00FE4DA0">
      <w:pPr>
        <w:jc w:val="both"/>
      </w:pPr>
    </w:p>
    <w:p w:rsidRDefault="00FE4DA0" w:rsidP="00FE4DA0" w:rsidR="00FE4DA0" w:rsidRPr="0039050F">
      <w:pPr>
        <w:jc w:val="both"/>
      </w:pPr>
      <w:r>
        <w:t>Utvrđuje se</w:t>
      </w:r>
      <w:r w:rsidRPr="0039050F">
        <w:t xml:space="preserve"> da je na današnjem ročištu nazočno vjero</w:t>
      </w:r>
      <w:r>
        <w:t xml:space="preserve">vnika u ukupnom iznosu tražbina </w:t>
      </w:r>
      <w:r w:rsidRPr="0039050F">
        <w:t>od</w:t>
      </w:r>
      <w:r>
        <w:t xml:space="preserve"> </w:t>
      </w:r>
      <w:r w:rsidR="00EF1FBF">
        <w:t>28.142.703,76</w:t>
      </w:r>
      <w:r w:rsidRPr="0039050F">
        <w:t xml:space="preserve"> </w:t>
      </w:r>
      <w:r>
        <w:t xml:space="preserve"> </w:t>
      </w:r>
      <w:r w:rsidRPr="0039050F">
        <w:t xml:space="preserve">kuna </w:t>
      </w:r>
      <w:r>
        <w:t xml:space="preserve">odnosno </w:t>
      </w:r>
      <w:r w:rsidR="00EF1FBF">
        <w:t>51,24</w:t>
      </w:r>
      <w:r>
        <w:t xml:space="preserve"> % od ukupnog zbroja utvrđenih tražbina. </w:t>
      </w:r>
    </w:p>
    <w:p w:rsidRDefault="00FE4DA0" w:rsidP="00FE4DA0" w:rsidR="00FE4DA0">
      <w:pPr>
        <w:tabs>
          <w:tab w:pos="720" w:val="left"/>
          <w:tab w:pos="960" w:val="left"/>
        </w:tabs>
        <w:jc w:val="both"/>
      </w:pPr>
    </w:p>
    <w:p w:rsidRDefault="00FE4DA0" w:rsidP="00FE4DA0" w:rsidR="00FE4DA0" w:rsidRPr="00502355">
      <w:pPr>
        <w:tabs>
          <w:tab w:pos="720" w:val="left"/>
          <w:tab w:pos="960" w:val="left"/>
        </w:tabs>
        <w:jc w:val="both"/>
      </w:pPr>
      <w:r>
        <w:t xml:space="preserve">Stečajni sudac </w:t>
      </w:r>
      <w:r w:rsidRPr="00502355">
        <w:t>daje riječ stečajnom upravitelju.</w:t>
      </w:r>
    </w:p>
    <w:p w:rsidRDefault="00FE4DA0" w:rsidP="00FE4DA0" w:rsidR="00FE4DA0" w:rsidRPr="00502355">
      <w:pPr>
        <w:tabs>
          <w:tab w:pos="720" w:val="left"/>
          <w:tab w:pos="960" w:val="left"/>
        </w:tabs>
        <w:jc w:val="both"/>
      </w:pPr>
    </w:p>
    <w:p w:rsidRDefault="00FE4DA0" w:rsidP="00B82D81" w:rsidR="002E3AD2">
      <w:pPr>
        <w:ind w:firstLine="708"/>
        <w:jc w:val="both"/>
      </w:pPr>
      <w:r w:rsidRPr="00502355">
        <w:t xml:space="preserve">Stečajni upravitelj </w:t>
      </w:r>
      <w:r>
        <w:t xml:space="preserve">predlaže da </w:t>
      </w:r>
      <w:r w:rsidR="002E3AD2">
        <w:t xml:space="preserve">se nekretnine stečajnog dužnika upisane u zk. ul. </w:t>
      </w:r>
      <w:r w:rsidR="00B82D81">
        <w:t>765 i zk. ul. 770, k.o. Buković</w:t>
      </w:r>
      <w:r w:rsidR="002E3AD2">
        <w:t>, prodaju kao cjeline</w:t>
      </w:r>
      <w:r w:rsidR="00EF1FBF">
        <w:t>.</w:t>
      </w:r>
      <w:r w:rsidR="00B82D81">
        <w:t xml:space="preserve"> Pojašnjava da je na skupštini vjerovnika u srpnju 2015. bila donesena odluka da se navedene nekretnine prodaju kao zasebne, samostalne cjeline, te je izvršena i procjena nekretnina koje su procijenjene kao 11 zasebnih uporabnih cjelina. Sve je učinjeno jer je postojao zainteresirani kupac za dio tih cjelina, ali ne za sve, već samo za one koje su u naravi predstavljale prateće objekte hladnjače koja je ranije prodana društvu Ostrea d.o.o., a koje je zapravo bilo jedino zainteresirano kupiti još neke prateće objekte. Sve je rađeno sukladno prijedlogu HBORA i Porezne uprave kao razlučnih vjerovnika nad tim dijelom imovine, a određeno je da za konkretnu prodaju treba i suglasnost tih vjerovnika. Međutim, namjeravana prodaja nije realizirana, niti ima izgleda da će biti realizirana, te da nema zainteresiranih kupaca za takav način kupovine, sada se predlaže promijeniti tu odluku na predloženi način, jer u međuvremenu postoji zainteresirani kupac tih nekretnina, kao jedinstvene cjeline, to je društvo Parma Fish d.o.o., a u tom smjeru postoji i prijedlog HBORA, odnosno da se na ovaj način promijeni ranija odluka o prodaji.  </w:t>
      </w:r>
    </w:p>
    <w:p w:rsidRDefault="00B82D81" w:rsidP="00B82D81" w:rsidR="00B82D81">
      <w:pPr>
        <w:ind w:firstLine="708"/>
        <w:jc w:val="both"/>
      </w:pPr>
    </w:p>
    <w:p w:rsidRDefault="00B82D81" w:rsidP="00B82D81" w:rsidR="00B82D81">
      <w:pPr>
        <w:ind w:firstLine="708"/>
        <w:jc w:val="both"/>
      </w:pPr>
      <w:r>
        <w:t xml:space="preserve">Nakon toga, u suglasnosti vjerovnika, prisutni zakonski zastupnik društva Parma Fish d.o.o. Split, pojašnjava da je navedeno društvo od društva Ostrea d.o.o. kupilo tvornicu u Stankovcima, ali i objekt hladnjače u Benkovcu koji je prodan u ovom stečaju. Kupac tog objekta Ostrea d.o.o. prenijela je vlasništvo te hladnjače novoosnovanom društvu Hladnjače d.o.o. Benkovac, od kojega je objekt kupio Parma Fish d.o.o. Split, i u tijeku je postupak upisa prava vlasništva u zemljišne knjige. </w:t>
      </w:r>
      <w:r w:rsidR="00116821">
        <w:t xml:space="preserve">Namjera je društva Parma Fish d.o.o. na tom prostoru otvoriti hladnjaču za deponiranje ribe u koju svrhu bi se rekonstruirao cijeli prostor. Konkretnu ponudu mogu iznijeti osnivači društva, odnosno vlasnici iz Italije, a to je Parma Fish s.p.a. Parma, s tim da je interes za kupnju usmjeren isključivo prema ovim nekretninama kao jedinstvenoj cjelini. U slučaju da ovakva kupnja ne uspije, Parma Fish d.o.o., u slučaju da se pojavi drugi kupac cjeline, voljna je sudjelovati sa stečajnim dužnikom u toj prodaji, s obzirom da unutar te cjeline ima u vlasništvu objekt hladnjače. </w:t>
      </w:r>
    </w:p>
    <w:p w:rsidRDefault="00664F54" w:rsidP="00B82D81" w:rsidR="00664F54">
      <w:pPr>
        <w:ind w:firstLine="708"/>
        <w:jc w:val="both"/>
      </w:pPr>
    </w:p>
    <w:p w:rsidRDefault="00664F54" w:rsidP="00B82D81" w:rsidR="00664F54">
      <w:pPr>
        <w:ind w:firstLine="708"/>
        <w:jc w:val="both"/>
      </w:pPr>
      <w:r>
        <w:t xml:space="preserve">Punomoćnik vjerovnika Hrvatskog zavoda za zapošljavanje, navodi da bi vjerovnici, bez obzira što nema neposredne prodaje, trebali imati podatke o osnovnim uvjetima po kojima bi kupac bio voljan kupiti ove nekretnine, jer zbog toga se postavlja pitanje potrebe mijenjanja odluke. </w:t>
      </w:r>
    </w:p>
    <w:p w:rsidRDefault="00664F54" w:rsidP="00B82D81" w:rsidR="00664F54">
      <w:pPr>
        <w:ind w:firstLine="708"/>
        <w:jc w:val="both"/>
      </w:pPr>
    </w:p>
    <w:p w:rsidRDefault="00664F54" w:rsidP="00B82D81" w:rsidR="00664F54">
      <w:pPr>
        <w:ind w:firstLine="708"/>
        <w:jc w:val="both"/>
      </w:pPr>
      <w:r>
        <w:t>Punomoćnica vjerovnika CERP-a predlaže da stečajni upravitelj dostavi podatke o procijenjenoj vrijednosti takve cjeline koja bi se prodavala.</w:t>
      </w:r>
    </w:p>
    <w:p w:rsidRDefault="00664F54" w:rsidP="00B82D81" w:rsidR="00664F54">
      <w:pPr>
        <w:ind w:firstLine="708"/>
        <w:jc w:val="both"/>
      </w:pPr>
    </w:p>
    <w:p w:rsidRDefault="00664F54" w:rsidP="00B82D81" w:rsidR="00664F54">
      <w:pPr>
        <w:ind w:firstLine="708"/>
        <w:jc w:val="both"/>
      </w:pPr>
      <w:r>
        <w:t xml:space="preserve">Zz vjerovnika RH- Porezna uprava suglasna je s ovim navodima. </w:t>
      </w:r>
    </w:p>
    <w:p w:rsidRDefault="00664F54" w:rsidP="00B82D81" w:rsidR="00664F54">
      <w:pPr>
        <w:ind w:firstLine="708"/>
        <w:jc w:val="both"/>
      </w:pPr>
    </w:p>
    <w:p w:rsidRDefault="00664F54" w:rsidP="00B82D81" w:rsidR="00664F54">
      <w:pPr>
        <w:ind w:firstLine="708"/>
        <w:jc w:val="both"/>
      </w:pPr>
      <w:r>
        <w:t xml:space="preserve">Zz Agencije za zaštitu radničkih potraživanja također je suglasan s ovim navodima. </w:t>
      </w:r>
    </w:p>
    <w:p w:rsidRDefault="00664F54" w:rsidP="00B82D81" w:rsidR="00664F54">
      <w:pPr>
        <w:ind w:firstLine="708"/>
        <w:jc w:val="both"/>
      </w:pPr>
    </w:p>
    <w:p w:rsidRDefault="00664F54" w:rsidP="00B82D81" w:rsidR="00664F54">
      <w:pPr>
        <w:ind w:firstLine="708"/>
        <w:jc w:val="both"/>
      </w:pPr>
      <w:r>
        <w:t>Zz vjerovnika Grada Benkovca navodi da je prodaja jedinstvene cjeline jedina moguća prodaja.</w:t>
      </w:r>
    </w:p>
    <w:p w:rsidRDefault="00FE4DA0" w:rsidP="00FE4DA0" w:rsidR="00FE4DA0">
      <w:pPr>
        <w:tabs>
          <w:tab w:pos="720" w:val="left"/>
          <w:tab w:pos="960" w:val="left"/>
        </w:tabs>
        <w:jc w:val="both"/>
      </w:pPr>
    </w:p>
    <w:p w:rsidRDefault="00664F54" w:rsidP="00FE4DA0" w:rsidR="00664F54">
      <w:pPr>
        <w:tabs>
          <w:tab w:pos="720" w:val="left"/>
          <w:tab w:pos="960" w:val="left"/>
        </w:tabs>
        <w:jc w:val="both"/>
      </w:pPr>
      <w:r>
        <w:lastRenderedPageBreak/>
        <w:tab/>
        <w:t xml:space="preserve">Zz društva Parma Fish d.o.o. navodi da trenutno ne može iznijeti konkretniju ponudu jer ona ovisi o pregovorima koje to društvo vodi sa suulagačima, a konkretnu ponudu moći će iznijeti nakon toga, moguće u roku od mjesec dana. </w:t>
      </w:r>
    </w:p>
    <w:p w:rsidRDefault="00664F54" w:rsidP="00FE4DA0" w:rsidR="00664F54">
      <w:pPr>
        <w:tabs>
          <w:tab w:pos="720" w:val="left"/>
          <w:tab w:pos="960" w:val="left"/>
        </w:tabs>
        <w:jc w:val="both"/>
      </w:pPr>
    </w:p>
    <w:p w:rsidRDefault="00D870E8" w:rsidP="00FE4DA0" w:rsidR="00D870E8">
      <w:pPr>
        <w:tabs>
          <w:tab w:pos="720" w:val="left"/>
          <w:tab w:pos="960" w:val="left"/>
        </w:tabs>
        <w:jc w:val="both"/>
      </w:pPr>
      <w:r>
        <w:tab/>
        <w:t xml:space="preserve">Nazočni vjerovnici, osim vjerovnika Grada Benkovca, navode da u ovakvoj situaciji s obzirom na neodređenost ponude nema potrebe glasati o promjeni načina prodaje, već da se to može učiniti nakon što se dobiju konkretna saznanja o namjeri potencijalnog kupca. </w:t>
      </w:r>
    </w:p>
    <w:p w:rsidRDefault="00D870E8" w:rsidP="00FE4DA0" w:rsidR="00D870E8">
      <w:pPr>
        <w:tabs>
          <w:tab w:pos="720" w:val="left"/>
          <w:tab w:pos="960" w:val="left"/>
        </w:tabs>
        <w:jc w:val="both"/>
      </w:pPr>
      <w:r>
        <w:tab/>
      </w:r>
    </w:p>
    <w:p w:rsidRDefault="00D870E8" w:rsidP="00FE4DA0" w:rsidR="00D870E8">
      <w:pPr>
        <w:tabs>
          <w:tab w:pos="720" w:val="left"/>
          <w:tab w:pos="960" w:val="left"/>
        </w:tabs>
        <w:jc w:val="both"/>
      </w:pPr>
      <w:r>
        <w:tab/>
        <w:t>Sud donosi</w:t>
      </w:r>
    </w:p>
    <w:p w:rsidRDefault="00D870E8" w:rsidP="00FE4DA0" w:rsidR="00D870E8">
      <w:pPr>
        <w:tabs>
          <w:tab w:pos="720" w:val="left"/>
          <w:tab w:pos="960" w:val="left"/>
        </w:tabs>
        <w:jc w:val="both"/>
      </w:pPr>
    </w:p>
    <w:p w:rsidRDefault="00D870E8" w:rsidP="00D870E8" w:rsidR="00D870E8">
      <w:pPr>
        <w:tabs>
          <w:tab w:pos="720" w:val="left"/>
          <w:tab w:pos="960" w:val="left"/>
        </w:tabs>
        <w:jc w:val="center"/>
      </w:pPr>
      <w:r>
        <w:t>z a k l j u č a k</w:t>
      </w:r>
    </w:p>
    <w:p w:rsidRDefault="00D870E8" w:rsidP="00D870E8" w:rsidR="00D870E8">
      <w:pPr>
        <w:tabs>
          <w:tab w:pos="720" w:val="left"/>
          <w:tab w:pos="960" w:val="left"/>
        </w:tabs>
      </w:pPr>
    </w:p>
    <w:p w:rsidRDefault="00D870E8" w:rsidP="00D870E8" w:rsidR="00D870E8">
      <w:pPr>
        <w:tabs>
          <w:tab w:pos="720" w:val="left"/>
          <w:tab w:pos="960" w:val="left"/>
        </w:tabs>
      </w:pPr>
      <w:r>
        <w:tab/>
        <w:t xml:space="preserve">Ostavlja se stečajnom upravitelju rok od 15 dana za dopunu prijedloga za izmjenu načina prodaje imovine upisane u zk. ul. 765 i zk. ul. 770, k.o. Buković i to na način da vjerovnicima predoči konkretne razloge, odnosno uvjete pod kojima bi za stečajnu masu bilo korisnije prodavati navedenu imovinu kao cjelinu. </w:t>
      </w:r>
    </w:p>
    <w:p w:rsidRDefault="00D870E8" w:rsidP="00FE4DA0" w:rsidR="00D870E8">
      <w:pPr>
        <w:tabs>
          <w:tab w:pos="720" w:val="left"/>
          <w:tab w:pos="960" w:val="left"/>
        </w:tabs>
        <w:jc w:val="both"/>
      </w:pPr>
    </w:p>
    <w:p w:rsidRDefault="00D870E8" w:rsidP="00FE4DA0" w:rsidR="00FE4DA0">
      <w:pPr>
        <w:tabs>
          <w:tab w:pos="720" w:val="left"/>
          <w:tab w:pos="960" w:val="left"/>
        </w:tabs>
        <w:jc w:val="both"/>
      </w:pPr>
      <w:r>
        <w:t xml:space="preserve">Neće se glasati o predloženoj odluci, a nova skupština zakazat će se nakon dopune prijedloga. </w:t>
      </w:r>
    </w:p>
    <w:p w:rsidRDefault="002E3AD2" w:rsidP="00FE4DA0" w:rsidR="002E3AD2">
      <w:pPr>
        <w:tabs>
          <w:tab w:pos="720" w:val="left"/>
          <w:tab w:pos="960" w:val="left"/>
        </w:tabs>
        <w:jc w:val="both"/>
      </w:pPr>
    </w:p>
    <w:p w:rsidRDefault="00D870E8" w:rsidP="00FE4DA0" w:rsidR="00D870E8">
      <w:pPr>
        <w:jc w:val="center"/>
      </w:pPr>
    </w:p>
    <w:p w:rsidRDefault="00FE4DA0" w:rsidP="00FE4DA0" w:rsidR="00FE4DA0" w:rsidRPr="00502355">
      <w:pPr>
        <w:jc w:val="center"/>
      </w:pPr>
      <w:r w:rsidRPr="00502355">
        <w:t xml:space="preserve">Dovršeno u </w:t>
      </w:r>
      <w:r w:rsidR="002E3AD2">
        <w:t>11</w:t>
      </w:r>
      <w:r>
        <w:t>,</w:t>
      </w:r>
      <w:r w:rsidR="00D870E8">
        <w:t>55</w:t>
      </w:r>
      <w:r>
        <w:t xml:space="preserve"> </w:t>
      </w:r>
      <w:r w:rsidRPr="00502355">
        <w:t>sati.</w:t>
      </w:r>
    </w:p>
    <w:p w:rsidRDefault="00FE4DA0" w:rsidP="00FE4DA0" w:rsidR="00FE4DA0" w:rsidRPr="00502355">
      <w:pPr>
        <w:tabs>
          <w:tab w:pos="0" w:val="left"/>
          <w:tab w:pos="360" w:val="left"/>
        </w:tabs>
      </w:pPr>
    </w:p>
    <w:p w:rsidRDefault="00FE4DA0" w:rsidP="00FE4DA0" w:rsidR="00FE4DA0" w:rsidRPr="00502355">
      <w:pPr>
        <w:tabs>
          <w:tab w:pos="0" w:val="left"/>
          <w:tab w:pos="360" w:val="left"/>
        </w:tabs>
      </w:pPr>
    </w:p>
    <w:p w:rsidRDefault="00FE4DA0" w:rsidP="00FE4DA0" w:rsidR="00FE4DA0" w:rsidRPr="00502355">
      <w:pPr>
        <w:tabs>
          <w:tab w:pos="0" w:val="left"/>
          <w:tab w:pos="360" w:val="left"/>
        </w:tabs>
        <w:jc w:val="center"/>
      </w:pPr>
      <w:r w:rsidRPr="00502355">
        <w:t xml:space="preserve">                                                SU</w:t>
      </w:r>
      <w:r w:rsidR="002E3AD2">
        <w:t>DAC</w:t>
      </w:r>
      <w:r w:rsidRPr="00502355">
        <w:tab/>
      </w:r>
      <w:r w:rsidRPr="00502355">
        <w:tab/>
        <w:t>STEČAJNI UPRAVITELJ</w:t>
      </w:r>
    </w:p>
    <w:p w:rsidRDefault="00FE4DA0" w:rsidP="00FE4DA0" w:rsidR="00FE4DA0" w:rsidRPr="00502355">
      <w:pPr>
        <w:tabs>
          <w:tab w:pos="0" w:val="left"/>
          <w:tab w:pos="360" w:val="left"/>
        </w:tabs>
        <w:jc w:val="both"/>
      </w:pPr>
      <w:r w:rsidRPr="00502355">
        <w:tab/>
      </w:r>
    </w:p>
    <w:p w:rsidRDefault="00FE4DA0" w:rsidP="00FE4DA0" w:rsidR="00FE4DA0" w:rsidRPr="00502355">
      <w:pPr>
        <w:tabs>
          <w:tab w:pos="0" w:val="left"/>
          <w:tab w:pos="360" w:val="left"/>
        </w:tabs>
        <w:jc w:val="both"/>
      </w:pPr>
    </w:p>
    <w:p w:rsidRDefault="00FE4DA0" w:rsidP="00FE4DA0" w:rsidR="00FE4DA0">
      <w:pPr>
        <w:tabs>
          <w:tab w:pos="0" w:val="left"/>
          <w:tab w:pos="360" w:val="left"/>
        </w:tabs>
      </w:pPr>
      <w:r w:rsidRPr="00502355">
        <w:t xml:space="preserve">                                                     </w:t>
      </w:r>
    </w:p>
    <w:p w:rsidRDefault="00FE4DA0" w:rsidP="00FE4DA0" w:rsidR="00FE4DA0">
      <w:pPr>
        <w:tabs>
          <w:tab w:pos="0" w:val="left"/>
          <w:tab w:pos="360" w:val="left"/>
        </w:tabs>
      </w:pPr>
    </w:p>
    <w:p w:rsidRDefault="00FE4DA0" w:rsidP="00FE4DA0" w:rsidR="00FE4DA0" w:rsidRPr="00502355">
      <w:pPr>
        <w:tabs>
          <w:tab w:pos="0" w:val="left"/>
          <w:tab w:pos="360" w:val="left"/>
        </w:tabs>
      </w:pPr>
      <w:r>
        <w:t xml:space="preserve">                                                               </w:t>
      </w:r>
      <w:r w:rsidRPr="00502355">
        <w:t>ZAPISNIČ</w:t>
      </w:r>
      <w:r>
        <w:t>AR</w:t>
      </w:r>
      <w:r w:rsidRPr="005E6080">
        <w:t xml:space="preserve"> </w:t>
      </w:r>
      <w:r>
        <w:t xml:space="preserve">                                </w:t>
      </w:r>
      <w:r w:rsidRPr="00502355">
        <w:t>VJEROVNICI</w:t>
      </w:r>
    </w:p>
    <w:p w:rsidRDefault="00FE4DA0" w:rsidP="00FE4DA0" w:rsidR="00FE4DA0" w:rsidRPr="00502355">
      <w:pPr>
        <w:tabs>
          <w:tab w:pos="0" w:val="left"/>
          <w:tab w:pos="360" w:val="left"/>
        </w:tabs>
        <w:jc w:val="both"/>
      </w:pPr>
    </w:p>
    <w:p w:rsidRDefault="00FE4DA0" w:rsidP="00FE4DA0" w:rsidR="00FE4DA0" w:rsidRPr="00502355">
      <w:pPr>
        <w:tabs>
          <w:tab w:pos="0" w:val="left"/>
          <w:tab w:pos="360" w:val="left"/>
        </w:tabs>
        <w:jc w:val="both"/>
      </w:pPr>
    </w:p>
    <w:p w:rsidRDefault="00FE4DA0" w:rsidP="00FE4DA0" w:rsidR="00FE4DA0" w:rsidRPr="00502355">
      <w:pPr>
        <w:tabs>
          <w:tab w:pos="0" w:val="left"/>
          <w:tab w:pos="360" w:val="left"/>
        </w:tabs>
        <w:jc w:val="both"/>
      </w:pPr>
    </w:p>
    <w:p w:rsidRDefault="00FE4DA0" w:rsidP="00FE4DA0" w:rsidR="00FE4DA0" w:rsidRPr="00502355">
      <w:pPr>
        <w:tabs>
          <w:tab w:pos="0" w:val="left"/>
          <w:tab w:pos="360" w:val="left"/>
        </w:tabs>
        <w:jc w:val="both"/>
      </w:pPr>
    </w:p>
    <w:p w:rsidRDefault="00FE4DA0" w:rsidP="00FE4DA0" w:rsidR="00FE4DA0" w:rsidRPr="00502355">
      <w:pPr>
        <w:tabs>
          <w:tab w:pos="720" w:val="left"/>
          <w:tab w:pos="960" w:val="left"/>
        </w:tabs>
        <w:jc w:val="both"/>
      </w:pPr>
      <w:r>
        <w:t xml:space="preserve">                                                                                                   </w:t>
      </w:r>
    </w:p>
    <w:p w:rsidRDefault="00D5386C" w:rsidR="00D5386C"/>
    <w:sectPr w:rsidSect="00593625" w:rsidR="00D5386C">
      <w:headerReference w:type="even" r:id="rId9"/>
      <w:headerReference w:type="default" r:id="rId10"/>
      <w:footerReference w:type="even" r:id="rId11"/>
      <w:footerReference w:type="default" r:id="rId12"/>
      <w:headerReference w:type="first" r:id="rId13"/>
      <w:pgSz w:h="16838" w:w="11906"/>
      <w:pgMar w:gutter="0" w:footer="709" w:header="709" w:left="1418" w:bottom="1276" w:right="1021"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E4DA0" w:rsidP="00FE4DA0" w:rsidR="00FE4DA0">
      <w:r>
        <w:separator/>
      </w:r>
    </w:p>
  </w:endnote>
  <w:endnote w:id="0" w:type="continuationSeparator">
    <w:p w:rsidRDefault="00FE4DA0" w:rsidP="00FE4DA0" w:rsidR="00FE4DA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3AD2" w:rsidP="00F6328A" w:rsidR="00AC38E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1B16" w:rsidP="00F6328A" w:rsidR="00AC38E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B16" w:rsidP="00F6328A" w:rsidR="00AC38E2">
    <w:pPr>
      <w:pStyle w:val="Podnoje"/>
      <w:framePr w:y="1" w:xAlign="right" w:vAnchor="text" w:hAnchor="margin" w:wrap="around"/>
      <w:rPr>
        <w:rStyle w:val="Brojstranice"/>
      </w:rPr>
    </w:pPr>
  </w:p>
  <w:p w:rsidRDefault="001A1B16" w:rsidP="005973AD" w:rsidR="00AC38E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E4DA0" w:rsidP="00FE4DA0" w:rsidR="00FE4DA0">
      <w:r>
        <w:separator/>
      </w:r>
    </w:p>
  </w:footnote>
  <w:footnote w:id="0" w:type="continuationSeparator">
    <w:p w:rsidRDefault="00FE4DA0" w:rsidP="00FE4DA0" w:rsidR="00FE4DA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3AD2" w:rsidP="007A1E4E" w:rsidR="00AC38E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1B16" w:rsidR="00AC38E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3AD2" w:rsidP="007A1E4E" w:rsidR="00AC38E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A1B16">
      <w:rPr>
        <w:rStyle w:val="Brojstranice"/>
        <w:noProof/>
      </w:rPr>
      <w:t>2</w:t>
    </w:r>
    <w:r>
      <w:rPr>
        <w:rStyle w:val="Brojstranice"/>
      </w:rPr>
      <w:fldChar w:fldCharType="end"/>
    </w:r>
  </w:p>
  <w:p w:rsidRDefault="002E3AD2" w:rsidP="0004681A" w:rsidR="00AF4B82">
    <w:pPr>
      <w:pStyle w:val="Zaglavlje"/>
      <w:jc w:val="right"/>
    </w:pPr>
    <w:r>
      <w:tab/>
      <w:t xml:space="preserve">Poslovni broj: </w:t>
    </w:r>
    <w:r w:rsidR="00FE4DA0">
      <w:t>4</w:t>
    </w:r>
    <w:r>
      <w:t xml:space="preserve"> St-55/13-</w:t>
    </w:r>
    <w:r w:rsidR="00FE4DA0">
      <w:t>53</w:t>
    </w:r>
    <w:r w:rsidR="005C44E3">
      <w:t>8</w:t>
    </w:r>
  </w:p>
  <w:p w:rsidRDefault="001A1B16" w:rsidP="00AF4B82" w:rsidR="00AC38E2" w:rsidRPr="003814CE">
    <w:pPr>
      <w:pStyle w:val="Zaglavlje"/>
      <w:tabs>
        <w:tab w:pos="4536" w:val="clear"/>
        <w:tab w:pos="9072" w:val="clear"/>
        <w:tab w:pos="6405" w:val="left"/>
      </w:tabs>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3AD2" w:rsidP="00AF4B82" w:rsidR="00AF4B82">
    <w:pPr>
      <w:pStyle w:val="Zaglavlje"/>
      <w:jc w:val="right"/>
    </w:pPr>
    <w:r>
      <w:t xml:space="preserve">Poslovni broj: </w:t>
    </w:r>
    <w:r w:rsidR="00FE4DA0">
      <w:t>4</w:t>
    </w:r>
    <w:r>
      <w:t xml:space="preserve"> St-55/13-</w:t>
    </w:r>
    <w:r w:rsidR="00FE4DA0">
      <w:t>53</w:t>
    </w:r>
    <w:r w:rsidR="005C44E3">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4D21FB"/>
    <w:multiLevelType w:val="hybridMultilevel"/>
    <w:tmpl w:val="236423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1381CA8"/>
    <w:multiLevelType w:val="hybridMultilevel"/>
    <w:tmpl w:val="60287490"/>
    <w:lvl w:tplc="4A24CA74"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19E3A68"/>
    <w:multiLevelType w:val="hybridMultilevel"/>
    <w:tmpl w:val="80F6C1C4"/>
    <w:lvl w:tplc="FD80AD94" w:ilvl="0">
      <w:start w:val="1"/>
      <w:numFmt w:val="lowerLetter"/>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2EB6126"/>
    <w:multiLevelType w:val="hybridMultilevel"/>
    <w:tmpl w:val="5BDA3960"/>
    <w:lvl w:tplc="7EA0212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4DA0"/>
    <w:rsid w:val="000A78EB"/>
    <w:rsid w:val="000B4403"/>
    <w:rsid w:val="000C7D17"/>
    <w:rsid w:val="00116821"/>
    <w:rsid w:val="001A1B16"/>
    <w:rsid w:val="002A7759"/>
    <w:rsid w:val="002E3AD2"/>
    <w:rsid w:val="005C44E3"/>
    <w:rsid w:val="00664F54"/>
    <w:rsid w:val="00B82D81"/>
    <w:rsid w:val="00D5386C"/>
    <w:rsid w:val="00D870E8"/>
    <w:rsid w:val="00EF1FBF"/>
    <w:rsid w:val="00FE4D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4DA0"/>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rsid w:val="00FE4DA0"/>
    <w:pPr>
      <w:tabs>
        <w:tab w:pos="4536" w:val="center"/>
        <w:tab w:pos="9072" w:val="right"/>
      </w:tabs>
    </w:pPr>
  </w:style>
  <w:style w:customStyle="true" w:styleId="PodnojeChar" w:type="character">
    <w:name w:val="Podnožje Char"/>
    <w:basedOn w:val="Zadanifontodlomka"/>
    <w:link w:val="Podnoje"/>
    <w:rsid w:val="00FE4DA0"/>
    <w:rPr>
      <w:rFonts w:cs="Times New Roman" w:eastAsia="Times New Roman" w:hAnsi="Times New Roman" w:ascii="Times New Roman"/>
      <w:sz w:val="24"/>
      <w:szCs w:val="24"/>
      <w:lang w:eastAsia="hr-HR"/>
    </w:rPr>
  </w:style>
  <w:style w:styleId="Brojstranice" w:type="character">
    <w:name w:val="page number"/>
    <w:basedOn w:val="Zadanifontodlomka"/>
    <w:rsid w:val="00FE4DA0"/>
  </w:style>
  <w:style w:styleId="Zaglavlje" w:type="paragraph">
    <w:name w:val="header"/>
    <w:basedOn w:val="Normal"/>
    <w:link w:val="ZaglavljeChar"/>
    <w:rsid w:val="00FE4DA0"/>
    <w:pPr>
      <w:tabs>
        <w:tab w:pos="4536" w:val="center"/>
        <w:tab w:pos="9072" w:val="right"/>
      </w:tabs>
    </w:pPr>
  </w:style>
  <w:style w:customStyle="true" w:styleId="ZaglavljeChar" w:type="character">
    <w:name w:val="Zaglavlje Char"/>
    <w:basedOn w:val="Zadanifontodlomka"/>
    <w:link w:val="Zaglavlje"/>
    <w:rsid w:val="00FE4DA0"/>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FE4DA0"/>
    <w:pPr>
      <w:ind w:left="720"/>
      <w:contextualSpacing/>
    </w:pPr>
  </w:style>
  <w:style w:styleId="Tekstbalonia" w:type="paragraph">
    <w:name w:val="Balloon Text"/>
    <w:basedOn w:val="Normal"/>
    <w:link w:val="TekstbaloniaChar"/>
    <w:uiPriority w:val="99"/>
    <w:semiHidden/>
    <w:unhideWhenUsed/>
    <w:rsid w:val="00FE4D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E4DA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1A1B16"/>
    <w:rPr>
      <w:color w:val="808080"/>
      <w:bdr w:space="0" w:sz="0" w:color="auto" w:val="none"/>
      <w:shd w:fill="auto" w:color="auto" w:val="clear"/>
    </w:rPr>
  </w:style>
  <w:style w:customStyle="true" w:styleId="eSPISCCParagraphDefaultFont" w:type="character">
    <w:name w:val="eSPIS_CC_Paragraph Default Font"/>
    <w:basedOn w:val="Zadanifontodlomka"/>
    <w:rsid w:val="001A1B16"/>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1A1B16"/>
    <w:rPr>
      <w:bCs/>
      <w:bdr w:space="0" w:sz="0" w:color="auto" w:val="none"/>
      <w:shd w:fill="FFFFCC" w:color="auto" w:val="clear"/>
      <w:lang w:val="hr-HR"/>
    </w:rPr>
  </w:style>
  <w:style w:customStyle="true" w:styleId="PozadinaSvijetloCrvena" w:type="character">
    <w:name w:val="Pozadina_SvijetloCrvena"/>
    <w:basedOn w:val="eSPISCCParagraphDefaultFont"/>
    <w:rsid w:val="001A1B16"/>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A1B16"/>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4DA0"/>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FE4DA0"/>
    <w:pPr>
      <w:tabs>
        <w:tab w:pos="4536" w:val="center"/>
        <w:tab w:pos="9072" w:val="right"/>
      </w:tabs>
    </w:pPr>
  </w:style>
  <w:style w:customStyle="1" w:styleId="PodnojeChar" w:type="character">
    <w:name w:val="Podnožje Char"/>
    <w:basedOn w:val="Zadanifontodlomka"/>
    <w:link w:val="Podnoje"/>
    <w:rsid w:val="00FE4DA0"/>
    <w:rPr>
      <w:rFonts w:ascii="Times New Roman" w:cs="Times New Roman" w:eastAsia="Times New Roman" w:hAnsi="Times New Roman"/>
      <w:sz w:val="24"/>
      <w:szCs w:val="24"/>
      <w:lang w:eastAsia="hr-HR"/>
    </w:rPr>
  </w:style>
  <w:style w:styleId="Brojstranice" w:type="character">
    <w:name w:val="page number"/>
    <w:basedOn w:val="Zadanifontodlomka"/>
    <w:rsid w:val="00FE4DA0"/>
  </w:style>
  <w:style w:styleId="Zaglavlje" w:type="paragraph">
    <w:name w:val="header"/>
    <w:basedOn w:val="Normal"/>
    <w:link w:val="ZaglavljeChar"/>
    <w:rsid w:val="00FE4DA0"/>
    <w:pPr>
      <w:tabs>
        <w:tab w:pos="4536" w:val="center"/>
        <w:tab w:pos="9072" w:val="right"/>
      </w:tabs>
    </w:pPr>
  </w:style>
  <w:style w:customStyle="1" w:styleId="ZaglavljeChar" w:type="character">
    <w:name w:val="Zaglavlje Char"/>
    <w:basedOn w:val="Zadanifontodlomka"/>
    <w:link w:val="Zaglavlje"/>
    <w:rsid w:val="00FE4DA0"/>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FE4DA0"/>
    <w:pPr>
      <w:ind w:left="720"/>
      <w:contextualSpacing/>
    </w:pPr>
  </w:style>
  <w:style w:styleId="Tekstbalonia" w:type="paragraph">
    <w:name w:val="Balloon Text"/>
    <w:basedOn w:val="Normal"/>
    <w:link w:val="TekstbaloniaChar"/>
    <w:uiPriority w:val="99"/>
    <w:semiHidden/>
    <w:unhideWhenUsed/>
    <w:rsid w:val="00FE4DA0"/>
    <w:rPr>
      <w:rFonts w:ascii="Tahoma" w:cs="Tahoma" w:hAnsi="Tahoma"/>
      <w:sz w:val="16"/>
      <w:szCs w:val="16"/>
    </w:rPr>
  </w:style>
  <w:style w:customStyle="1" w:styleId="TekstbaloniaChar" w:type="character">
    <w:name w:val="Tekst balončića Char"/>
    <w:basedOn w:val="Zadanifontodlomka"/>
    <w:link w:val="Tekstbalonia"/>
    <w:uiPriority w:val="99"/>
    <w:semiHidden/>
    <w:rsid w:val="00FE4DA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1A1B16"/>
    <w:rPr>
      <w:color w:val="808080"/>
      <w:bdr w:color="auto" w:space="0" w:sz="0" w:val="none"/>
      <w:shd w:color="auto" w:fill="auto" w:val="clear"/>
    </w:rPr>
  </w:style>
  <w:style w:customStyle="1" w:styleId="eSPISCCParagraphDefaultFont" w:type="character">
    <w:name w:val="eSPIS_CC_Paragraph Default Font"/>
    <w:basedOn w:val="Zadanifontodlomka"/>
    <w:rsid w:val="001A1B16"/>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1A1B16"/>
    <w:rPr>
      <w:bCs/>
      <w:bdr w:color="auto" w:space="0" w:sz="0" w:val="none"/>
      <w:shd w:color="auto" w:fill="FFFFCC" w:val="clear"/>
      <w:lang w:val="hr-HR"/>
    </w:rPr>
  </w:style>
  <w:style w:customStyle="1" w:styleId="PozadinaSvijetloCrvena" w:type="character">
    <w:name w:val="Pozadina_SvijetloCrvena"/>
    <w:basedOn w:val="eSPISCCParagraphDefaultFont"/>
    <w:rsid w:val="001A1B16"/>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1A1B16"/>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4990369">
      <w:bodyDiv w:val="true"/>
      <w:marLeft w:val="0"/>
      <w:marRight w:val="0"/>
      <w:marTop w:val="0"/>
      <w:marBottom w:val="0"/>
      <w:divBdr>
        <w:top w:space="0" w:sz="0" w:color="auto" w:val="none"/>
        <w:left w:space="0" w:sz="0" w:color="auto" w:val="none"/>
        <w:bottom w:space="0" w:sz="0" w:color="auto" w:val="none"/>
        <w:right w:space="0" w:sz="0" w:color="auto" w:val="none"/>
      </w:divBdr>
    </w:div>
    <w:div w:id="384836699">
      <w:bodyDiv w:val="true"/>
      <w:marLeft w:val="0"/>
      <w:marRight w:val="0"/>
      <w:marTop w:val="0"/>
      <w:marBottom w:val="0"/>
      <w:divBdr>
        <w:top w:space="0" w:sz="0" w:color="auto" w:val="none"/>
        <w:left w:space="0" w:sz="0" w:color="auto" w:val="none"/>
        <w:bottom w:space="0" w:sz="0" w:color="auto" w:val="none"/>
        <w:right w:space="0" w:sz="0" w:color="auto" w:val="none"/>
      </w:divBdr>
    </w:div>
    <w:div w:id="888110055">
      <w:bodyDiv w:val="true"/>
      <w:marLeft w:val="0"/>
      <w:marRight w:val="0"/>
      <w:marTop w:val="0"/>
      <w:marBottom w:val="0"/>
      <w:divBdr>
        <w:top w:space="0" w:sz="0" w:color="auto" w:val="none"/>
        <w:left w:space="0" w:sz="0" w:color="auto" w:val="none"/>
        <w:bottom w:space="0" w:sz="0" w:color="auto" w:val="none"/>
        <w:right w:space="0" w:sz="0" w:color="auto" w:val="none"/>
      </w:divBdr>
    </w:div>
    <w:div w:id="1030691671">
      <w:bodyDiv w:val="true"/>
      <w:marLeft w:val="0"/>
      <w:marRight w:val="0"/>
      <w:marTop w:val="0"/>
      <w:marBottom w:val="0"/>
      <w:divBdr>
        <w:top w:space="0" w:sz="0" w:color="auto" w:val="none"/>
        <w:left w:space="0" w:sz="0" w:color="auto" w:val="none"/>
        <w:bottom w:space="0" w:sz="0" w:color="auto" w:val="none"/>
        <w:right w:space="0" w:sz="0" w:color="auto" w:val="none"/>
      </w:divBdr>
    </w:div>
    <w:div w:id="1875656456">
      <w:bodyDiv w:val="true"/>
      <w:marLeft w:val="0"/>
      <w:marRight w:val="0"/>
      <w:marTop w:val="0"/>
      <w:marBottom w:val="0"/>
      <w:divBdr>
        <w:top w:space="0" w:sz="0" w:color="auto" w:val="none"/>
        <w:left w:space="0" w:sz="0" w:color="auto" w:val="none"/>
        <w:bottom w:space="0" w:sz="0" w:color="auto" w:val="none"/>
        <w:right w:space="0" w:sz="0" w:color="auto" w:val="none"/>
      </w:divBdr>
    </w:div>
    <w:div w:id="18767000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12</izvorni_sadrzaj>
    <derivirana_varijabla naziv="DomainObject.Prostorija.Naziv_1">Sudnica 12</derivirana_varijabla>
  </DomainObject.Prostorija.Naziv>
  <DomainObject.Prostorija.Oznaka>
    <izvorni_sadrzaj>Sudnica 12</izvorni_sadrzaj>
    <derivirana_varijabla naziv="DomainObject.Prostorija.Oznaka_1">Sudnica 12</derivirana_varijabla>
  </DomainObject.Prostorija.Oznaka>
  <DomainObject.Obrazlozenje>
    <izvorni_sadrzaj/>
    <derivirana_varijabla naziv="DomainObject.Obrazlozenje_1"/>
  </DomainObject.Obrazlozenje>
  <DomainObject.StvarniPocetakDatum>
    <izvorni_sadrzaj>6. ožujka 2019.</izvorni_sadrzaj>
    <derivirana_varijabla naziv="DomainObject.StvarniPocetakDatum_1">6. ožujka 2019.</derivirana_varijabla>
  </DomainObject.StvarniPocetakDatum>
  <DomainObject.StvarniZavrsetakDatum>
    <izvorni_sadrzaj>6. ožujka 2019.</izvorni_sadrzaj>
    <derivirana_varijabla naziv="DomainObject.StvarniZavrsetakDatum_1">6. ožujka 2019.</derivirana_varijabla>
  </DomainObject.StvarniZavrsetakDatum>
  <DomainObject.PlaniraniZavrsetakDatum>
    <izvorni_sadrzaj>6. ožujka 2019.</izvorni_sadrzaj>
    <derivirana_varijabla naziv="DomainObject.PlaniraniZavrsetakDatum_1">6. ožujka 2019.</derivirana_varijabla>
  </DomainObject.PlaniraniZavrsetakDatum>
  <DomainObject.PlaniraniPocetakDatum>
    <izvorni_sadrzaj>6. ožujka 2019.</izvorni_sadrzaj>
    <derivirana_varijabla naziv="DomainObject.PlaniraniPocetakDatum_1">6. ožujka 2019.</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11:55</izvorni_sadrzaj>
    <derivirana_varijabla naziv="DomainObject.StvarniZavrsetakVrijeme_1">11:55</derivirana_varijabla>
  </DomainObject.StvarniZavrsetakVrijeme>
  <DomainObject.PlaniraniZavrsetakVrijeme>
    <izvorni_sadrzaj>12:00</izvorni_sadrzaj>
    <derivirana_varijabla naziv="DomainObject.PlaniraniZavrsetakVrijeme_1">12:00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ožujka 2019.</izvorni_sadrzaj>
    <derivirana_varijabla naziv="DomainObject.Zapisnik.DatumKreiranja_1">6. ožujka 2019.</derivirana_varijabla>
  </DomainObject.Zapisnik.DatumKreiranja>
  <DomainObject.Zapisnik.ImovinskaKorist>
    <izvorni_sadrzaj/>
    <derivirana_varijabla naziv="DomainObject.Zapisnik.ImovinskaKorist_1"/>
  </DomainObject.Zapisnik.ImovinskaKorist>
  <DomainObject.Zapisnik.Oznaka>
    <izvorni_sadrzaj>St-55/2013-411</izvorni_sadrzaj>
    <derivirana_varijabla naziv="DomainObject.Zapisnik.Oznaka_1">St-55/2013-411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izvorni_sadrzaj>
    <derivirana_varijabla naziv="DomainObject.Predmet.Broj_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2013.</izvorni_sadrzaj>
    <derivirana_varijabla naziv="DomainObject.Predmet.DatumOsnivanja_1">25.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St-55/2013</izvorni_sadrzaj>
    <derivirana_varijabla naziv="DomainObject.Predmet.OznakaBroj_1">St-55/2013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ostalo u
 ref 4. (25.2.2019.)</izvorni_sadrzaj>
    <derivirana_varijabla naziv="DomainObject.Predmet.PrimjedbaSuca_1">ostalo u
 ref 4. (25.2.2019.)</derivirana_varijabla>
  </DomainObject.Predmet.PrimjedbaSuca>
  <DomainObject.Predmet.ProtustrankaFormated>
    <izvorni_sadrzaj>  REGIONALNA VELETRŽNICA BENKOVAC d.d. Benkovac</izvorni_sadrzaj>
    <derivirana_varijabla naziv="DomainObject.Predmet.ProtustrankaFormated_1">  REGIONALNA VELETRŽNICA BENKOVAC d.d. Benkovac</derivirana_varijabla>
  </DomainObject.Predmet.ProtustrankaFormated>
  <DomainObject.Predmet.ProtustrankaFormatedOIB>
    <izvorni_sadrzaj>  REGIONALNA VELETRŽNICA BENKOVAC d.d. Benkovac, OIB 16205687638</izvorni_sadrzaj>
    <derivirana_varijabla naziv="DomainObject.Predmet.ProtustrankaFormatedOIB_1">  REGIONALNA VELETRŽNICA BENKOVAC d.d. Benkovac, OIB 16205687638</derivirana_varijabla>
  </DomainObject.Predmet.ProtustrankaFormatedOIB>
  <DomainObject.Predmet.ProtustrankaFormatedWithAdress>
    <izvorni_sadrzaj> REGIONALNA VELETRŽNICA BENKOVAC d.d. Benkovac, 23420 Benkovac</izvorni_sadrzaj>
    <derivirana_varijabla naziv="DomainObject.Predmet.ProtustrankaFormatedWithAdress_1"> REGIONALNA VELETRŽNICA BENKOVAC d.d. Benkovac, 23420 Benkovac</derivirana_varijabla>
  </DomainObject.Predmet.ProtustrankaFormatedWithAdress>
  <DomainObject.Predmet.ProtustrankaFormatedWithAdressOIB>
    <izvorni_sadrzaj> REGIONALNA VELETRŽNICA BENKOVAC d.d. Benkovac, OIB 16205687638, 23420 Benkovac</izvorni_sadrzaj>
    <derivirana_varijabla naziv="DomainObject.Predmet.ProtustrankaFormatedWithAdressOIB_1"> REGIONALNA VELETRŽNICA BENKOVAC d.d. Benkovac, OIB 16205687638, 23420 Benkovac</derivirana_varijabla>
  </DomainObject.Predmet.ProtustrankaFormatedWithAdressOIB>
  <DomainObject.Predmet.ProtustrankaWithAdress>
    <izvorni_sadrzaj>REGIONALNA VELETRŽNICA BENKOVAC d.d. Benkovac 23420 Benkovac</izvorni_sadrzaj>
    <derivirana_varijabla naziv="DomainObject.Predmet.ProtustrankaWithAdress_1">REGIONALNA VELETRŽNICA BENKOVAC d.d. Benkovac 23420 Benkovac</derivirana_varijabla>
  </DomainObject.Predmet.ProtustrankaWithAdress>
  <DomainObject.Predmet.ProtustrankaWithAdressOIB>
    <izvorni_sadrzaj>REGIONALNA VELETRŽNICA BENKOVAC d.d. Benkovac, OIB 16205687638, 23420 Benkovac</izvorni_sadrzaj>
    <derivirana_varijabla naziv="DomainObject.Predmet.ProtustrankaWithAdressOIB_1">REGIONALNA VELETRŽNICA BENKOVAC d.d. Benkovac, OIB 16205687638, 23420 Benkovac</derivirana_varijabla>
  </DomainObject.Predmet.ProtustrankaWithAdressOIB>
  <DomainObject.Predmet.ProtustrankaNazivFormated>
    <izvorni_sadrzaj>REGIONALNA VELETRŽNICA BENKOVAC d.d. Benkovac</izvorni_sadrzaj>
    <derivirana_varijabla naziv="DomainObject.Predmet.ProtustrankaNazivFormated_1">REGIONALNA VELETRŽNICA BENKOVAC d.d. Benkovac</derivirana_varijabla>
  </DomainObject.Predmet.ProtustrankaNazivFormated>
  <DomainObject.Predmet.ProtustrankaNazivFormatedOIB>
    <izvorni_sadrzaj>REGIONALNA VELETRŽNICA BENKOVAC d.d. Benkovac, OIB 16205687638</izvorni_sadrzaj>
    <derivirana_varijabla naziv="DomainObject.Predmet.ProtustrankaNazivFormatedOIB_1">REGIONALNA VELETRŽNICA BENKOVAC d.d. Benkovac, OIB 16205687638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Tomislav Jurlina</izvorni_sadrzaj>
    <derivirana_varijabla naziv="DomainObject.Predmet.Referada.Sudac_1">Tomislav Jurlina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AGENCIJA ZA UPRAVLJANJE DRŽAVNOM IMOVINOM Zagreb</izvorni_sadrzaj>
    <derivirana_varijabla naziv="DomainObject.Predmet.StrankaFormated_1">  AGENCIJA ZA UPRAVLJANJE DRŽAVNOM IMOVINOM Zagreb</derivirana_varijabla>
  </DomainObject.Predmet.StrankaFormated>
  <DomainObject.Predmet.StrankaFormatedOIB>
    <izvorni_sadrzaj>  AGENCIJA ZA UPRAVLJANJE DRŽAVNOM IMOVINOM Zagreb, OIB 75666130770</izvorni_sadrzaj>
    <derivirana_varijabla naziv="DomainObject.Predmet.StrankaFormatedOIB_1">  AGENCIJA ZA UPRAVLJANJE DRŽAVNOM IMOVINOM Zagreb, OIB 75666130770</derivirana_varijabla>
  </DomainObject.Predmet.StrankaFormatedOIB>
  <DomainObject.Predmet.StrankaFormatedWithAdress>
    <izvorni_sadrzaj> AGENCIJA ZA UPRAVLJANJE DRŽAVNOM IMOVINOM Zagreb, Ivana Lučića 6, 10000 Zagreb</izvorni_sadrzaj>
    <derivirana_varijabla naziv="DomainObject.Predmet.StrankaFormatedWithAdress_1"> AGENCIJA ZA UPRAVLJANJE DRŽAVNOM IMOVINOM Zagreb, Ivana Lučića 6, 10000 Zagreb</derivirana_varijabla>
  </DomainObject.Predmet.StrankaFormatedWithAdress>
  <DomainObject.Predmet.StrankaFormatedWithAdressOIB>
    <izvorni_sadrzaj> AGENCIJA ZA UPRAVLJANJE DRŽAVNOM IMOVINOM Zagreb, OIB 75666130770, Ivana Lučića 6, 10000 Zagreb</izvorni_sadrzaj>
    <derivirana_varijabla naziv="DomainObject.Predmet.StrankaFormatedWithAdressOIB_1"> AGENCIJA ZA UPRAVLJANJE DRŽAVNOM IMOVINOM Zagreb, OIB 75666130770, Ivana Lučića 6, 10000 Zagreb</derivirana_varijabla>
  </DomainObject.Predmet.StrankaFormatedWithAdressOIB>
  <DomainObject.Predmet.StrankaWithAdress>
    <izvorni_sadrzaj>AGENCIJA ZA UPRAVLJANJE DRŽAVNOM IMOVINOM Zagreb Ivana Lučića 6,10000 Zagreb</izvorni_sadrzaj>
    <derivirana_varijabla naziv="DomainObject.Predmet.StrankaWithAdress_1">AGENCIJA ZA UPRAVLJANJE DRŽAVNOM IMOVINOM Zagreb Ivana Lučića 6,10000 Zagreb</derivirana_varijabla>
  </DomainObject.Predmet.StrankaWithAdress>
  <DomainObject.Predmet.StrankaWithAdressOIB>
    <izvorni_sadrzaj>AGENCIJA ZA UPRAVLJANJE DRŽAVNOM IMOVINOM Zagreb, OIB 75666130770, Ivana Lučića 6,10000 Zagreb</izvorni_sadrzaj>
    <derivirana_varijabla naziv="DomainObject.Predmet.StrankaWithAdressOIB_1">AGENCIJA ZA UPRAVLJANJE DRŽAVNOM IMOVINOM Zagreb, OIB 75666130770, Ivana Lučića 6,10000 Zagreb</derivirana_varijabla>
  </DomainObject.Predmet.StrankaWithAdressOIB>
  <DomainObject.Predmet.StrankaNazivFormated>
    <izvorni_sadrzaj>AGENCIJA ZA UPRAVLJANJE DRŽAVNOM IMOVINOM Zagreb</izvorni_sadrzaj>
    <derivirana_varijabla naziv="DomainObject.Predmet.StrankaNazivFormated_1">AGENCIJA ZA UPRAVLJANJE DRŽAVNOM IMOVINOM Zagreb</derivirana_varijabla>
  </DomainObject.Predmet.StrankaNazivFormated>
  <DomainObject.Predmet.StrankaNazivFormatedOIB>
    <izvorni_sadrzaj>AGENCIJA ZA UPRAVLJANJE DRŽAVNOM IMOVINOM Zagreb, OIB 75666130770</izvorni_sadrzaj>
    <derivirana_varijabla naziv="DomainObject.Predmet.StrankaNazivFormatedOIB_1">AGENCIJA ZA UPRAVLJANJE DRŽAVNOM IMOVINOM Zagreb, OIB 75666130770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AGENCIJA ZA UPRAVLJANJE DRŽAVNOM IMOVINOM Zagreb</item>
    </izvorni_sadrzaj>
    <derivirana_varijabla naziv="DomainObject.Predmet.StrankaListFormated_1">
      <item>AGENCIJA ZA UPRAVLJANJE DRŽAVNOM IMOVINOM Zagreb</item>
    </derivirana_varijabla>
  </DomainObject.Predmet.StrankaListFormated>
  <DomainObject.Predmet.StrankaListFormatedOIB>
    <izvorni_sadrzaj>
      <item>AGENCIJA ZA UPRAVLJANJE DRŽAVNOM IMOVINOM Zagreb, OIB 75666130770</item>
    </izvorni_sadrzaj>
    <derivirana_varijabla naziv="DomainObject.Predmet.StrankaListFormatedOIB_1">
      <item>AGENCIJA ZA UPRAVLJANJE DRŽAVNOM IMOVINOM Zagreb, OIB 75666130770</item>
    </derivirana_varijabla>
  </DomainObject.Predmet.StrankaListFormatedOIB>
  <DomainObject.Predmet.StrankaListFormatedWithAdress>
    <izvorni_sadrzaj>
      <item>AGENCIJA ZA UPRAVLJANJE DRŽAVNOM IMOVINOM Zagreb, Ivana Lučića 6, 10000 Zagreb</item>
    </izvorni_sadrzaj>
    <derivirana_varijabla naziv="DomainObject.Predmet.StrankaListFormatedWithAdress_1">
      <item>AGENCIJA ZA UPRAVLJANJE DRŽAVNOM IMOVINOM Zagreb, Ivana Lučića 6, 10000 Zagreb</item>
    </derivirana_varijabla>
  </DomainObject.Predmet.StrankaListFormatedWithAdress>
  <DomainObject.Predmet.StrankaListFormatedWithAdressOIB>
    <izvorni_sadrzaj>
      <item>AGENCIJA ZA UPRAVLJANJE DRŽAVNOM IMOVINOM Zagreb, OIB 75666130770, Ivana Lučića 6, 10000 Zagreb</item>
    </izvorni_sadrzaj>
    <derivirana_varijabla naziv="DomainObject.Predmet.StrankaListFormatedWithAdressOIB_1">
      <item>AGENCIJA ZA UPRAVLJANJE DRŽAVNOM IMOVINOM Zagreb, OIB 75666130770, Ivana Lučića 6, 10000 Zagreb</item>
    </derivirana_varijabla>
  </DomainObject.Predmet.StrankaListFormatedWithAdressOIB>
  <DomainObject.Predmet.StrankaListNazivFormated>
    <izvorni_sadrzaj>
      <item>AGENCIJA ZA UPRAVLJANJE DRŽAVNOM IMOVINOM Zagreb</item>
    </izvorni_sadrzaj>
    <derivirana_varijabla naziv="DomainObject.Predmet.StrankaListNazivFormated_1">
      <item>AGENCIJA ZA UPRAVLJANJE DRŽAVNOM IMOVINOM Zagreb</item>
    </derivirana_varijabla>
  </DomainObject.Predmet.StrankaListNazivFormated>
  <DomainObject.Predmet.StrankaListNazivFormatedOIB>
    <izvorni_sadrzaj>
      <item>AGENCIJA ZA UPRAVLJANJE DRŽAVNOM IMOVINOM Zagreb, OIB 75666130770</item>
    </izvorni_sadrzaj>
    <derivirana_varijabla naziv="DomainObject.Predmet.StrankaListNazivFormatedOIB_1">
      <item>AGENCIJA ZA UPRAVLJANJE DRŽAVNOM IMOVINOM Zagreb, OIB 75666130770</item>
    </derivirana_varijabla>
  </DomainObject.Predmet.StrankaListNazivFormatedOIB>
  <DomainObject.Predmet.ProtuStrankaListFormated>
    <izvorni_sadrzaj>
      <item>REGIONALNA VELETRŽNICA BENKOVAC d.d. Benkovac</item>
    </izvorni_sadrzaj>
    <derivirana_varijabla naziv="DomainObject.Predmet.ProtuStrankaListFormated_1">
      <item>REGIONALNA VELETRŽNICA BENKOVAC d.d. Benkovac</item>
    </derivirana_varijabla>
  </DomainObject.Predmet.ProtuStrankaListFormated>
  <DomainObject.Predmet.ProtuStrankaListFormatedOIB>
    <izvorni_sadrzaj>
      <item>REGIONALNA VELETRŽNICA BENKOVAC d.d. Benkovac, OIB 16205687638</item>
    </izvorni_sadrzaj>
    <derivirana_varijabla naziv="DomainObject.Predmet.ProtuStrankaListFormatedOIB_1">
      <item>REGIONALNA VELETRŽNICA BENKOVAC d.d. Benkovac, OIB 16205687638</item>
    </derivirana_varijabla>
  </DomainObject.Predmet.ProtuStrankaListFormatedOIB>
  <DomainObject.Predmet.ProtuStrankaListFormatedWithAdress>
    <izvorni_sadrzaj>
      <item>REGIONALNA VELETRŽNICA BENKOVAC d.d. Benkovac, 23420 Benkovac</item>
    </izvorni_sadrzaj>
    <derivirana_varijabla naziv="DomainObject.Predmet.ProtuStrankaListFormatedWithAdress_1">
      <item>REGIONALNA VELETRŽNICA BENKOVAC d.d. Benkovac, 23420 Benkovac</item>
    </derivirana_varijabla>
  </DomainObject.Predmet.ProtuStrankaListFormatedWithAdress>
  <DomainObject.Predmet.ProtuStrankaListFormatedWithAdressOIB>
    <izvorni_sadrzaj>
      <item>REGIONALNA VELETRŽNICA BENKOVAC d.d. Benkovac, OIB 16205687638, 23420 Benkovac</item>
    </izvorni_sadrzaj>
    <derivirana_varijabla naziv="DomainObject.Predmet.ProtuStrankaListFormatedWithAdressOIB_1">
      <item>REGIONALNA VELETRŽNICA BENKOVAC d.d. Benkovac, OIB 16205687638, 23420 Benkovac</item>
    </derivirana_varijabla>
  </DomainObject.Predmet.ProtuStrankaListFormatedWithAdressOIB>
  <DomainObject.Predmet.ProtuStrankaListNazivFormated>
    <izvorni_sadrzaj>
      <item>REGIONALNA VELETRŽNICA BENKOVAC d.d. Benkovac</item>
    </izvorni_sadrzaj>
    <derivirana_varijabla naziv="DomainObject.Predmet.ProtuStrankaListNazivFormated_1">
      <item>REGIONALNA VELETRŽNICA BENKOVAC d.d. Benkovac</item>
    </derivirana_varijabla>
  </DomainObject.Predmet.ProtuStrankaListNazivFormated>
  <DomainObject.Predmet.ProtuStrankaListNazivFormatedOIB>
    <izvorni_sadrzaj>
      <item>REGIONALNA VELETRŽNICA BENKOVAC d.d. Benkovac, OIB 16205687638</item>
    </izvorni_sadrzaj>
    <derivirana_varijabla naziv="DomainObject.Predmet.ProtuStrankaListNazivFormatedOIB_1">
      <item>REGIONALNA VELETRŽNICA BENKOVAC d.d. Benkovac, OIB 16205687638</item>
    </derivirana_varijabla>
  </DomainObject.Predmet.ProtuStrankaListNazivFormatedOIB>
  <DomainObject.Predmet.OstaliListFormated>
    <izvorni_sadrzaj>
      <item>Edvin Šimunov</item>
      <item>Ante Poljak</item>
      <item>Croatia osiguranje d.d. Zagreb, Filijala Zadar</item>
    </izvorni_sadrzaj>
    <derivirana_varijabla naziv="DomainObject.Predmet.OstaliListFormated_1">
      <item>Edvin Šimunov</item>
      <item>Ante Poljak</item>
      <item>Croatia osiguranje d.d. Zagreb, Filijala Zadar</item>
    </derivirana_varijabla>
  </DomainObject.Predmet.OstaliListFormated>
  <DomainObject.Predmet.OstaliListFormatedOIB>
    <izvorni_sadrzaj>
      <item>Edvin Šimunov, OIB 68167380523</item>
      <item>Ante Poljak, OIB 30653663301</item>
      <item>Croatia osiguranje d.d. Zagreb, Filijala Zadar</item>
    </izvorni_sadrzaj>
    <derivirana_varijabla naziv="DomainObject.Predmet.OstaliListFormatedOIB_1">
      <item>Edvin Šimunov, OIB 68167380523</item>
      <item>Ante Poljak, OIB 30653663301</item>
      <item>Croatia osiguranje d.d. Zagreb, Filijala Zadar</item>
    </derivirana_varijabla>
  </DomainObject.Predmet.OstaliListFormatedOIB>
  <DomainObject.Predmet.OstaliListFormatedWithAdress>
    <izvorni_sadrzaj>
      <item>Edvin Šimunov</item>
      <item>Ante Poljak</item>
      <item>Croatia osiguranje d.d. Zagreb, Filijala Zadar, Obala kneza Branimira 20, 23000 Zadar</item>
    </izvorni_sadrzaj>
    <derivirana_varijabla naziv="DomainObject.Predmet.OstaliListFormatedWithAdress_1">
      <item>Edvin Šimunov</item>
      <item>Ante Poljak</item>
      <item>Croatia osiguranje d.d. Zagreb, Filijala Zadar, Obala kneza Branimira 20, 23000 Zadar</item>
    </derivirana_varijabla>
  </DomainObject.Predmet.OstaliListFormatedWithAdress>
  <DomainObject.Predmet.OstaliListFormatedWithAdressOIB>
    <izvorni_sadrzaj>
      <item>Edvin Šimunov, OIB 68167380523</item>
      <item>Ante Poljak, OIB 30653663301</item>
      <item>Croatia osiguranje d.d. Zagreb, Filijala Zadar, Obala kneza Branimira 20, 23000 Zadar</item>
    </izvorni_sadrzaj>
    <derivirana_varijabla naziv="DomainObject.Predmet.OstaliListFormatedWithAdressOIB_1">
      <item>Edvin Šimunov, OIB 68167380523</item>
      <item>Ante Poljak, OIB 30653663301</item>
      <item>Croatia osiguranje d.d. Zagreb, Filijala Zadar, Obala kneza Branimira 20, 23000 Zadar</item>
    </derivirana_varijabla>
  </DomainObject.Predmet.OstaliListFormatedWithAdressOIB>
  <DomainObject.Predmet.OstaliListNazivFormated>
    <izvorni_sadrzaj>
      <item>Edvin Šimunov</item>
      <item>Ante Poljak</item>
      <item>Croatia osiguranje d.d. Zagreb, Filijala Zadar</item>
    </izvorni_sadrzaj>
    <derivirana_varijabla naziv="DomainObject.Predmet.OstaliListNazivFormated_1">
      <item>Edvin Šimunov</item>
      <item>Ante Poljak</item>
      <item>Croatia osiguranje d.d. Zagreb, Filijala Zadar</item>
    </derivirana_varijabla>
  </DomainObject.Predmet.OstaliListNazivFormated>
  <DomainObject.Predmet.OstaliListNazivFormatedOIB>
    <izvorni_sadrzaj>
      <item>Edvin Šimunov, OIB 68167380523</item>
      <item>Ante Poljak, OIB 30653663301</item>
      <item>Croatia osiguranje d.d. Zagreb, Filijala Zadar</item>
    </izvorni_sadrzaj>
    <derivirana_varijabla naziv="DomainObject.Predmet.OstaliListNazivFormatedOIB_1">
      <item>Edvin Šimunov, OIB 68167380523</item>
      <item>Ante Poljak, OIB 30653663301</item>
      <item>Croatia osiguranje d.d. Zagreb, Filijala Zadar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2019.</izvorni_sadrzaj>
    <derivirana_varijabla naziv="DomainObject.Datum_1">6. ožujka 2019.</derivirana_varijabla>
  </DomainObject.Datum>
  <DomainObject.PoslovniBrojDokumenta>
    <izvorni_sadrzaj>St-55/2013-411</izvorni_sadrzaj>
    <derivirana_varijabla naziv="DomainObject.PoslovniBrojDokumenta_1">St-55/2013-411</derivirana_varijabla>
  </DomainObject.PoslovniBrojDokumenta>
  <DomainObject.Predmet.StrankaIDrugi>
    <izvorni_sadrzaj>AGENCIJA ZA UPRAVLJANJE DRŽAVNOM IMOVINOM Zagreb</izvorni_sadrzaj>
    <derivirana_varijabla naziv="DomainObject.Predmet.StrankaIDrugi_1">AGENCIJA ZA UPRAVLJANJE DRŽAVNOM IMOVINOM Zagreb</derivirana_varijabla>
  </DomainObject.Predmet.StrankaIDrugi>
  <DomainObject.Predmet.ProtustrankaIDrugi>
    <izvorni_sadrzaj>REGIONALNA VELETRŽNICA BENKOVAC d.d. Benkovac</izvorni_sadrzaj>
    <derivirana_varijabla naziv="DomainObject.Predmet.ProtustrankaIDrugi_1">REGIONALNA VELETRŽNICA BENKOVAC d.d. Benkovac</derivirana_varijabla>
  </DomainObject.Predmet.ProtustrankaIDrugi>
  <DomainObject.Predmet.StrankaIDrugiAdressOIB>
    <izvorni_sadrzaj>AGENCIJA ZA UPRAVLJANJE DRŽAVNOM IMOVINOM Zagreb, OIB 75666130770, Ivana Lučića 6, 10000 Zagreb</izvorni_sadrzaj>
    <derivirana_varijabla naziv="DomainObject.Predmet.StrankaIDrugiAdressOIB_1">AGENCIJA ZA UPRAVLJANJE DRŽAVNOM IMOVINOM Zagreb, OIB 75666130770, Ivana Lučića 6, 10000 Zagreb</derivirana_varijabla>
  </DomainObject.Predmet.StrankaIDrugiAdressOIB>
  <DomainObject.Predmet.ProtustrankaIDrugiAdressOIB>
    <izvorni_sadrzaj>REGIONALNA VELETRŽNICA BENKOVAC d.d. Benkovac, OIB 16205687638, 23420 Benkovac</izvorni_sadrzaj>
    <derivirana_varijabla naziv="DomainObject.Predmet.ProtustrankaIDrugiAdressOIB_1">REGIONALNA VELETRŽNICA BENKOVAC d.d. Benkovac, OIB 16205687638, 23420 Benkovac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REGIONALNA VELETRŽNICA BENKOVAC d.d. Benkovac</item>
      <item>AGENCIJA ZA UPRAVLJANJE DRŽAVNOM IMOVINOM Zagreb</item>
      <item>Edvin Šimunov</item>
      <item>Ante Poljak</item>
      <item>Croatia osiguranje d.d. Zagreb, Filijala Zadar</item>
    </izvorni_sadrzaj>
    <derivirana_varijabla naziv="DomainObject.Predmet.SudioniciListNaziv_1">
      <item>REGIONALNA VELETRŽNICA BENKOVAC d.d. Benkovac</item>
      <item>AGENCIJA ZA UPRAVLJANJE DRŽAVNOM IMOVINOM Zagreb</item>
      <item>Edvin Šimunov</item>
      <item>Ante Poljak</item>
      <item>Croatia osiguranje d.d. Zagreb, Filijala Zadar</item>
    </derivirana_varijabla>
  </DomainObject.Predmet.SudioniciListNaziv>
  <DomainObject.Predmet.SudioniciListAdressOIB>
    <izvorni_sadrzaj>
      <item>REGIONALNA VELETRŽNICA BENKOVAC d.d. Benkovac, OIB 16205687638, 23420 Benkovac</item>
      <item>AGENCIJA ZA UPRAVLJANJE DRŽAVNOM IMOVINOM Zagreb, OIB 75666130770, Ivana Lučića 6,10000 Zagreb</item>
      <item>Edvin Šimunov, OIB 68167380523</item>
      <item>Ante Poljak, OIB 30653663301</item>
      <item>Croatia osiguranje d.d. Zagreb, Filijala Zadar, Obala kneza Branimira 20,23000 Zadar</item>
    </izvorni_sadrzaj>
    <derivirana_varijabla naziv="DomainObject.Predmet.SudioniciListAdressOIB_1">
      <item>REGIONALNA VELETRŽNICA BENKOVAC d.d. Benkovac, OIB 16205687638, 23420 Benkovac</item>
      <item>AGENCIJA ZA UPRAVLJANJE DRŽAVNOM IMOVINOM Zagreb, OIB 75666130770, Ivana Lučića 6,10000 Zagreb</item>
      <item>Edvin Šimunov, OIB 68167380523</item>
      <item>Ante Poljak, OIB 30653663301</item>
      <item>Croatia osiguranje d.d. Zagreb, Filijala Zadar, Obala kneza Branimira 20,23000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16205687638</item>
      <item>, OIB 75666130770</item>
      <item>, OIB 68167380523</item>
      <item>, OIB 30653663301</item>
      <item>, OIB null</item>
    </izvorni_sadrzaj>
    <derivirana_varijabla naziv="DomainObject.Predmet.SudioniciListNazivOIB_1">
      <item>, OIB 16205687638</item>
      <item>, OIB 75666130770</item>
      <item>, OIB 68167380523</item>
      <item>, OIB 30653663301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ožujka 2019.</izvorni_sadrzaj>
    <derivirana_varijabla naziv="DomainObject.Predmet.DatumZadnjeOdrzaneSudskeRadnje_1">6. ožujka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925</properties:Words>
  <properties:Characters>5143</properties:Characters>
  <properties:Lines>181</properties:Lines>
  <properties:Paragraphs>73</properties:Paragraphs>
  <properties:TotalTime>82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2019-03-05T08:55:00Z</dcterms:created>
  <dc:creator>Anita Ivandić</dc:creator>
  <cp:lastModifiedBy>Anita Ivandić</cp:lastModifiedBy>
  <cp:lastPrinted>2019-03-06T10:57:00Z</cp:lastPrinted>
  <dcterms:modified xmlns:xsi="http://www.w3.org/2001/XMLSchema-instance" xsi:type="dcterms:W3CDTF">2019-03-06T11:50:00Z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St-55/2013-411 / Zapisnik - Skupština vjerovnika (St-55-13-537- skupština vjerovnika 6. ožujka 2019..docx)</vt:lpwstr>
  </prop:property>
  <prop:property name="CC_coloring" pid="4" fmtid="{D5CDD505-2E9C-101B-9397-08002B2CF9AE}">
    <vt:bool>false</vt:bool>
  </prop:property>
  <prop:property name="BrojStranica" pid="5" fmtid="{D5CDD505-2E9C-101B-9397-08002B2CF9AE}">
    <vt:i4>3</vt:i4>
  </prop:property>
</prop:Properties>
</file>