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d484" w14:paraId="460d484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4718C3" w:rsidRPr="004718C3">
        <w:t>PIRIKA d.o.o., OIB: 45070356117, Imotski, Ante Starčevića 29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A17B3D">
        <w:t>1</w:t>
      </w:r>
      <w:r w:rsidR="009E30C6">
        <w:t>3</w:t>
      </w:r>
      <w:r w:rsidR="00A17B3D">
        <w:t>:</w:t>
      </w:r>
      <w:r w:rsidR="004718C3">
        <w:t>4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9E30C6" w:rsidP="000F5C87" w:rsidR="009E30C6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  <w:t>privremenom stečajnom upravitelju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9E30C6">
      <w:t>127</w:t>
    </w:r>
    <w:r w:rsidR="004718C3">
      <w:t>8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5F46DF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716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2017-05-09T06:20:00Z</dcterms:created>
  <dc:creator>nmarunica</dc:creator>
  <cp:lastModifiedBy>Ana Golub Gruić</cp:lastModifiedBy>
  <cp:lastPrinted>2017-05-09T06:20:00Z</cp:lastPrinted>
  <dcterms:modified xmlns:xsi="http://www.w3.org/2001/XMLSchema-instance" xsi:type="dcterms:W3CDTF">2017-05-09T07:27:00Z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