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8A0660" w:rsidR="00CB4E05" w:rsidRPr="00A67ED0">
        <w:tc>
          <w:tcPr>
            <w:tcW w:type="dxa" w:w="2559"/>
            <w:tcBorders>
              <w:top w:val="nil"/>
              <w:left w:val="nil"/>
              <w:bottom w:val="nil"/>
              <w:right w:val="nil"/>
            </w:tcBorders>
            <w:shd w:fill="auto" w:color="auto" w:val="clear"/>
          </w:tcPr>
          <w:p w:rsidRDefault="00CB4E05" w:rsidP="008A0660" w:rsidR="00CB4E05"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CB4E05" w:rsidP="008A0660" w:rsidR="00CB4E05" w:rsidRPr="00A67ED0">
            <w:pPr>
              <w:spacing w:before="60"/>
              <w:jc w:val="center"/>
            </w:pPr>
            <w:r w:rsidRPr="00A67ED0">
              <w:t>Republika Hrvatska</w:t>
            </w:r>
          </w:p>
          <w:p w:rsidRDefault="00CB4E05" w:rsidP="008A0660" w:rsidR="00CB4E05" w:rsidRPr="00A67ED0">
            <w:pPr>
              <w:jc w:val="center"/>
            </w:pPr>
            <w:r w:rsidRPr="00A67ED0">
              <w:t>Trgovački sud u Splitu</w:t>
            </w:r>
          </w:p>
          <w:p w:rsidRDefault="00CB4E05" w:rsidP="008A0660" w:rsidR="00CB4E05" w:rsidRPr="00A67ED0">
            <w:pPr>
              <w:jc w:val="center"/>
              <w:rPr>
                <w:b/>
              </w:rPr>
            </w:pPr>
            <w:r w:rsidRPr="00A67ED0">
              <w:t>Split, Sukoišanska 6</w:t>
            </w:r>
          </w:p>
        </w:tc>
      </w:tr>
    </w:tbl>
    <w:p w14:textId="00461b8" w14:paraId="00461b8" w:rsidRDefault="00CB4E05" w:rsidP="00CB4E05" w:rsidR="00CB4E05" w:rsidRPr="00A67ED0">
      <w:pPr>
        <w:pStyle w:val="Zaglavlje"/>
        <w:jc w:val="right"/>
        <w15:collapsed w:val="false"/>
      </w:pPr>
      <w:r w:rsidRPr="00A67ED0">
        <w:t>Poslovni broj: 4.St-</w:t>
      </w:r>
      <w:r>
        <w:t>495/2015-</w:t>
      </w:r>
      <w:r w:rsidR="00315BDC">
        <w:t>82</w:t>
      </w:r>
    </w:p>
    <w:p w:rsidRDefault="00CB4E05" w:rsidP="00CB4E05" w:rsidR="00CB4E05">
      <w:pPr>
        <w:jc w:val="center"/>
      </w:pPr>
    </w:p>
    <w:p w:rsidRDefault="00CB4E05" w:rsidP="00CB4E05" w:rsidR="00CB4E05">
      <w:pPr>
        <w:jc w:val="center"/>
        <w:rPr>
          <w:spacing w:val="100"/>
        </w:rPr>
      </w:pPr>
      <w:r>
        <w:rPr>
          <w:spacing w:val="100"/>
        </w:rPr>
        <w:t>U IME REPUBLIKE HRVATSKE</w:t>
      </w:r>
    </w:p>
    <w:p w:rsidRDefault="00CB4E05" w:rsidP="00CB4E05" w:rsidR="00CB4E05">
      <w:pPr>
        <w:jc w:val="center"/>
        <w:rPr>
          <w:spacing w:val="100"/>
        </w:rPr>
      </w:pPr>
    </w:p>
    <w:p w:rsidRDefault="00CB4E05" w:rsidP="00CB4E05" w:rsidR="00CB4E05">
      <w:pPr>
        <w:jc w:val="center"/>
      </w:pPr>
      <w:r>
        <w:rPr>
          <w:spacing w:val="100"/>
        </w:rPr>
        <w:t xml:space="preserve">RJEŠENJE </w:t>
      </w:r>
    </w:p>
    <w:p w:rsidRDefault="00CB4E05" w:rsidP="00CB4E05" w:rsidR="00CB4E05">
      <w:pPr>
        <w:ind w:firstLine="708"/>
        <w:jc w:val="both"/>
      </w:pPr>
      <w:r>
        <w:tab/>
      </w:r>
    </w:p>
    <w:p w:rsidRDefault="00CB4E05" w:rsidP="00CB4E05" w:rsidR="00CB4E05">
      <w:pPr>
        <w:ind w:firstLine="708"/>
        <w:jc w:val="both"/>
      </w:pPr>
      <w:r w:rsidRPr="0060043A">
        <w:t>Trgovački sud u Splitu, po stečajnom sucu Katarini Mikulić</w:t>
      </w:r>
      <w:r w:rsidRPr="004C4EF2">
        <w:t xml:space="preserve">,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Pr="004752A7">
        <w:t>DUJMEX, d.o.o.</w:t>
      </w:r>
      <w:r>
        <w:t xml:space="preserve"> u stečaju</w:t>
      </w:r>
      <w:r w:rsidRPr="004752A7">
        <w:t>, Vladimira Nazora 2, Imotski, OIB: 53440788001</w:t>
      </w:r>
      <w:r w:rsidRPr="0088022B">
        <w:t xml:space="preserve">, </w:t>
      </w:r>
      <w:r w:rsidR="00315BDC">
        <w:t>11. veljače</w:t>
      </w:r>
      <w:r w:rsidR="009E344D">
        <w:t xml:space="preserve"> 2019</w:t>
      </w:r>
      <w:r>
        <w:t xml:space="preserve">.  </w:t>
      </w:r>
      <w:r w:rsidRPr="0088022B">
        <w:t xml:space="preserve"> </w:t>
      </w:r>
    </w:p>
    <w:p w:rsidRDefault="00191CAB" w:rsidP="00191CAB" w:rsidR="00191CAB">
      <w:pPr>
        <w:spacing w:after="240" w:before="240"/>
        <w:jc w:val="center"/>
        <w:rPr>
          <w:bCs/>
        </w:rPr>
      </w:pPr>
      <w:r>
        <w:rPr>
          <w:bCs/>
        </w:rPr>
        <w:t>r i j e š i o  j e</w:t>
      </w:r>
    </w:p>
    <w:p w:rsidRDefault="00191CAB" w:rsidP="00CB4E05" w:rsidR="00CB4E05">
      <w:pPr>
        <w:ind w:firstLine="708"/>
        <w:jc w:val="both"/>
      </w:pPr>
      <w:r>
        <w:t xml:space="preserve">I. </w:t>
      </w:r>
      <w:r w:rsidR="00315BDC">
        <w:t>Zaključuje se stečajni postupak nad dužnikom</w:t>
      </w:r>
      <w:r>
        <w:t xml:space="preserve"> </w:t>
      </w:r>
      <w:r w:rsidR="00CB4E05" w:rsidRPr="004752A7">
        <w:t>DUJMEX, d.o.o.</w:t>
      </w:r>
      <w:r w:rsidR="00CB4E05">
        <w:t xml:space="preserve"> u stečaju</w:t>
      </w:r>
      <w:r w:rsidR="00CB4E05" w:rsidRPr="004752A7">
        <w:t>, Vladimira Nazora 2, Imotski, OIB: 53440788001</w:t>
      </w:r>
      <w:r w:rsidR="00315BDC">
        <w:t>.</w:t>
      </w:r>
    </w:p>
    <w:p w:rsidRDefault="00315BDC" w:rsidP="00CB4E05" w:rsidR="00315BDC">
      <w:pPr>
        <w:ind w:firstLine="708"/>
        <w:jc w:val="both"/>
      </w:pPr>
    </w:p>
    <w:p w:rsidRDefault="00315BDC" w:rsidP="00CB4E05" w:rsidR="00315BDC">
      <w:pPr>
        <w:ind w:firstLine="708"/>
        <w:jc w:val="both"/>
      </w:pPr>
      <w:r>
        <w:t xml:space="preserve">II. Ovo rješenje i osnova zaključenja stečajnog postupka objaviti će se na mrežnoj stranici e-Oglasna ploča suda. </w:t>
      </w:r>
    </w:p>
    <w:p w:rsidRDefault="00CE4B0F" w:rsidP="00CB4E05" w:rsidR="00CE4B0F">
      <w:pPr>
        <w:ind w:firstLine="708"/>
        <w:jc w:val="both"/>
      </w:pPr>
    </w:p>
    <w:p w:rsidRDefault="00CE4B0F" w:rsidP="00CB4E05" w:rsidR="00CE4B0F">
      <w:pPr>
        <w:ind w:firstLine="708"/>
        <w:jc w:val="both"/>
      </w:pPr>
      <w:r>
        <w:t xml:space="preserve">III. Pravni učinci zaključenja ovog stečajnog postupka nastupiti će 28. veljače 2019. </w:t>
      </w:r>
    </w:p>
    <w:p w:rsidRDefault="00315BDC" w:rsidP="00CB4E05" w:rsidR="00315BDC">
      <w:pPr>
        <w:ind w:firstLine="708"/>
        <w:jc w:val="both"/>
      </w:pPr>
    </w:p>
    <w:p w:rsidRDefault="00CE4B0F" w:rsidP="00CB4E05" w:rsidR="00315BDC">
      <w:pPr>
        <w:ind w:firstLine="708"/>
        <w:jc w:val="both"/>
      </w:pPr>
      <w:r>
        <w:t>IV</w:t>
      </w:r>
      <w:r w:rsidR="00315BDC">
        <w:t xml:space="preserve">. Ispunjenje stečajnog plana nadzirat će stečajna upraviteljica Tihana Majić </w:t>
      </w:r>
      <w:r w:rsidR="00315BDC" w:rsidRPr="0071234D">
        <w:t>iz Osijeka, Kardinala A. Stepinca 4, OIB: 43035003321</w:t>
      </w:r>
      <w:r w:rsidR="00315BDC">
        <w:t>.</w:t>
      </w:r>
    </w:p>
    <w:p w:rsidRDefault="00315BDC" w:rsidP="00CB4E05" w:rsidR="00315BDC">
      <w:pPr>
        <w:ind w:firstLine="708"/>
        <w:jc w:val="both"/>
      </w:pPr>
    </w:p>
    <w:p w:rsidRDefault="00315BDC" w:rsidP="00CB4E05" w:rsidR="00315BDC">
      <w:pPr>
        <w:ind w:firstLine="708"/>
        <w:jc w:val="both"/>
      </w:pPr>
      <w:r>
        <w:t xml:space="preserve">V. Nalaže se sudskom registru podatak o nadzoru ispunjenja stečajnog plana upisati u sudski registar. </w:t>
      </w:r>
    </w:p>
    <w:p w:rsidRDefault="00315BDC" w:rsidP="00CB4E05" w:rsidR="00315BDC">
      <w:pPr>
        <w:ind w:firstLine="708"/>
        <w:jc w:val="both"/>
      </w:pPr>
    </w:p>
    <w:p w:rsidRDefault="00315BDC" w:rsidP="00CB4E05" w:rsidR="00315BDC">
      <w:pPr>
        <w:ind w:firstLine="708"/>
        <w:jc w:val="both"/>
      </w:pPr>
      <w:r>
        <w:t>V</w:t>
      </w:r>
      <w:r w:rsidR="00CE4B0F">
        <w:t>I</w:t>
      </w:r>
      <w:r>
        <w:t xml:space="preserve">. Po pravomoćnosti ovog rješenja provesti će se brisanje upisa otvaranja stečajnog postupka nad dužnikom u sudskom registru. </w:t>
      </w:r>
    </w:p>
    <w:p w:rsidRDefault="00191CAB" w:rsidP="00191CAB" w:rsidR="00191CAB">
      <w:pPr>
        <w:spacing w:after="120" w:before="240"/>
        <w:jc w:val="center"/>
      </w:pPr>
      <w:r>
        <w:t>Obrazloženje</w:t>
      </w:r>
    </w:p>
    <w:p w:rsidRDefault="00CB4E05" w:rsidP="00315BDC" w:rsidR="00315BDC">
      <w:pPr>
        <w:spacing w:before="200"/>
        <w:ind w:firstLine="708"/>
        <w:jc w:val="both"/>
      </w:pPr>
      <w:r>
        <w:rPr>
          <w:lang w:eastAsia="en-US"/>
        </w:rPr>
        <w:t>Rješenjem ovog suda br. 4.St-495/2015 od 27. siječnja 2017. godine otvoren stečajni postupak na stečajnim dužnikom DUJMEX, d.o.o., Vladimira Nazora 2, Imotski, OIB: 53440788001. Istim rješenjem za stečajnog upravitelja imenovan je Ante Mrkonjić, Kneza Domagoja 3, Zmijavci, OIB: 84299598589.</w:t>
      </w:r>
    </w:p>
    <w:p w:rsidRDefault="00315BDC" w:rsidP="00315BDC" w:rsidR="00315BDC">
      <w:pPr>
        <w:spacing w:before="200"/>
        <w:ind w:firstLine="708"/>
        <w:jc w:val="both"/>
      </w:pPr>
    </w:p>
    <w:p w:rsidRDefault="00CB4E05" w:rsidP="00CB4E05" w:rsidR="00CB4E05">
      <w:pPr>
        <w:ind w:firstLine="708"/>
        <w:jc w:val="both"/>
      </w:pPr>
      <w:r>
        <w:t xml:space="preserve">Rješenjem od 7. lipnja 2017. Ante Mrkonjić razriješen je dužnosti stečajnog upravitelja te je </w:t>
      </w:r>
      <w:r w:rsidRPr="0071234D">
        <w:t>Tihana Majić iz Osijeka, Kardinala A. Stepinca 4, OIB: 43035003321</w:t>
      </w:r>
      <w:r>
        <w:t xml:space="preserve"> imenovana se za novog stečajnog upravitelja u ovom stečajnom postupku. </w:t>
      </w:r>
    </w:p>
    <w:p w:rsidRDefault="00315BDC" w:rsidP="00CB4E05" w:rsidR="00315BDC">
      <w:pPr>
        <w:ind w:firstLine="708"/>
        <w:jc w:val="both"/>
      </w:pPr>
    </w:p>
    <w:p w:rsidRDefault="00315BDC" w:rsidP="00CB4E05" w:rsidR="00315BDC">
      <w:pPr>
        <w:ind w:firstLine="708"/>
        <w:jc w:val="both"/>
      </w:pPr>
      <w:r>
        <w:t xml:space="preserve">Nakon ročišta za raspravljanje o stečajnom planu održanim 21. rujna 2018. i 21. studenog 2018., ovaj sud je utvrdio da su ispunjeni svi uvjeti za potvrdu stečajnog plana i </w:t>
      </w:r>
      <w:r w:rsidR="00CE4B0F">
        <w:lastRenderedPageBreak/>
        <w:t>donio</w:t>
      </w:r>
      <w:r>
        <w:t xml:space="preserve"> rješenje kojim se potvrđuje stečajni plan (članak 334. SZ). Predmetno rješenje o potvrdi stečajnog plana steklo je svojstvo pravomoćnosti 1. veljače 2019. </w:t>
      </w:r>
    </w:p>
    <w:p w:rsidRDefault="00315BDC" w:rsidP="00CB4E05" w:rsidR="00315BDC">
      <w:pPr>
        <w:ind w:firstLine="708"/>
        <w:jc w:val="both"/>
      </w:pPr>
    </w:p>
    <w:p w:rsidRDefault="00315BDC" w:rsidP="00315BDC" w:rsidR="00315BDC" w:rsidRPr="00AA1AD7">
      <w:pPr>
        <w:ind w:firstLine="708"/>
        <w:jc w:val="both"/>
      </w:pPr>
      <w:r>
        <w:t xml:space="preserve">Odredbom članka 344. stavka 1. Stečajnog zakona (Narodne novine broj 71/15 i 104/17, dalje SZ) propisano je da će sud donijeti rješenje o zaključenju stečajnog postupka čim rješenje o potvrdi stečajnoga plana postane pravomoćno. </w:t>
      </w:r>
      <w:r w:rsidRPr="00AA1AD7">
        <w:t>Stavkom 2. istog članka propisano je da prije zaključenja stečajnoga postupka stečajni upravitelj je dužan namiriti nesporne obveze stečajne mase, a za sporne pružiti odgovarajuće osiguranje, dok je stavkom 3. propisano da će sud objaviti izreku rješenja s naznakom osnove za zaključenje stečajnoga postupka te unaprijed izvijestiti dužnika, stečajnoga upravitelja i članove odbora vjerovnika o tome kada će nastupiti pravni učinci zaključenja stečajnoga postupka.</w:t>
      </w:r>
    </w:p>
    <w:p w:rsidRDefault="00315BDC" w:rsidP="00315BDC" w:rsidR="00315BDC" w:rsidRPr="00AA1AD7">
      <w:pPr>
        <w:ind w:firstLine="708"/>
        <w:jc w:val="both"/>
      </w:pPr>
    </w:p>
    <w:p w:rsidRDefault="00315BDC" w:rsidP="00315BDC" w:rsidR="00315BDC" w:rsidRPr="00315BDC">
      <w:pPr>
        <w:ind w:firstLine="708"/>
        <w:jc w:val="both"/>
      </w:pPr>
      <w:r>
        <w:t xml:space="preserve">Sukladno članku 346. SZ </w:t>
      </w:r>
      <w:r w:rsidRPr="00315BDC">
        <w:t>u rješenju o potvrdi stečajnog plana može se predvidjeti da se njegovo ispunjenje nadzire, pa je sud nadzor povjerio dosadašnj</w:t>
      </w:r>
      <w:r>
        <w:t>oj</w:t>
      </w:r>
      <w:r w:rsidRPr="00315BDC">
        <w:t xml:space="preserve"> stečajno</w:t>
      </w:r>
      <w:r>
        <w:t>j</w:t>
      </w:r>
      <w:r w:rsidRPr="00315BDC">
        <w:t xml:space="preserve"> upravitel</w:t>
      </w:r>
      <w:r>
        <w:t>jici</w:t>
      </w:r>
      <w:r w:rsidRPr="00315BDC">
        <w:t xml:space="preserve"> </w:t>
      </w:r>
      <w:r>
        <w:t>Tihani Majić</w:t>
      </w:r>
      <w:r w:rsidRPr="00315BDC">
        <w:t>, ko</w:t>
      </w:r>
      <w:r>
        <w:t>ja</w:t>
      </w:r>
      <w:r w:rsidRPr="00315BDC">
        <w:t xml:space="preserve"> je nakon zakl</w:t>
      </w:r>
      <w:r>
        <w:t>jučenja stečajnog postupka dužna</w:t>
      </w:r>
      <w:r w:rsidRPr="00315BDC">
        <w:t xml:space="preserve"> nadzirati ispunjava li dužnik u cijelosti i u rokovima svoje obveze u skladu s prihvaćenim stečajnim planom. U konkretnom slučaju rješenjem o potvrdi stečajnog plana predviđen je nadzor nad ispunjenjem stečajnog plana po stečajno</w:t>
      </w:r>
      <w:r w:rsidR="009B21F4">
        <w:t>j</w:t>
      </w:r>
      <w:r w:rsidRPr="00315BDC">
        <w:t xml:space="preserve"> upravitelj</w:t>
      </w:r>
      <w:r w:rsidR="009B21F4">
        <w:t>ici</w:t>
      </w:r>
      <w:r w:rsidRPr="00315BDC">
        <w:t xml:space="preserve"> </w:t>
      </w:r>
      <w:r>
        <w:t>Tihani Majić iz Osijeka</w:t>
      </w:r>
      <w:r w:rsidR="009B21F4">
        <w:t>. Prema članku</w:t>
      </w:r>
      <w:r w:rsidRPr="00315BDC">
        <w:t xml:space="preserve"> 345. </w:t>
      </w:r>
      <w:r w:rsidR="009B21F4">
        <w:t>SZ d</w:t>
      </w:r>
      <w:r w:rsidRPr="00315BDC">
        <w:t>onošenjem rješenja o zaključenju stečajnog postupka prestaje služba stečajnog upravitelja, osim u dijelu koji se odnosi na nadzor nad ispunjenjem s</w:t>
      </w:r>
      <w:r w:rsidR="009B21F4">
        <w:t>tečajnog plana. Prema članku</w:t>
      </w:r>
      <w:r w:rsidRPr="00315BDC">
        <w:t xml:space="preserve"> 355. SZ troškove nadzora dužan je naknaditi dužnik. Sukladno čl</w:t>
      </w:r>
      <w:r w:rsidR="009B21F4">
        <w:t>anku</w:t>
      </w:r>
      <w:r w:rsidRPr="00315BDC">
        <w:t xml:space="preserve"> 353. SZ nadzor nad ispunjenjem stečajnog plana objavit će se zajedno s rješenjem o zaključenju stečajno</w:t>
      </w:r>
      <w:r w:rsidR="00CE4B0F">
        <w:t>g</w:t>
      </w:r>
      <w:r w:rsidRPr="00315BDC">
        <w:t xml:space="preserve"> postupka.</w:t>
      </w:r>
    </w:p>
    <w:p w:rsidRDefault="00315BDC" w:rsidP="00315BDC" w:rsidR="00315BDC" w:rsidRPr="00315BDC">
      <w:pPr>
        <w:autoSpaceDE w:val="false"/>
        <w:autoSpaceDN w:val="false"/>
        <w:adjustRightInd w:val="false"/>
        <w:ind w:firstLine="709"/>
        <w:jc w:val="both"/>
      </w:pPr>
    </w:p>
    <w:p w:rsidRDefault="00315BDC" w:rsidP="00315BDC" w:rsidR="00315BDC" w:rsidRPr="00315BDC">
      <w:pPr>
        <w:autoSpaceDE w:val="false"/>
        <w:autoSpaceDN w:val="false"/>
        <w:adjustRightInd w:val="false"/>
        <w:ind w:firstLine="709"/>
        <w:jc w:val="both"/>
      </w:pPr>
      <w:r w:rsidRPr="00315BDC">
        <w:t>Prema čl</w:t>
      </w:r>
      <w:r w:rsidR="009B21F4">
        <w:t xml:space="preserve">anku 353. stavak </w:t>
      </w:r>
      <w:r w:rsidRPr="00315BDC">
        <w:t xml:space="preserve"> 2. SZ podatak o nadzoru upisat će se u odgovarajuće javne knjige.</w:t>
      </w:r>
    </w:p>
    <w:p w:rsidRDefault="00315BDC" w:rsidP="00AA1AD7" w:rsidR="00315BDC" w:rsidRPr="00315BDC">
      <w:pPr>
        <w:jc w:val="both"/>
      </w:pPr>
    </w:p>
    <w:p w:rsidRDefault="00315BDC" w:rsidP="00AA1AD7" w:rsidR="00315BDC">
      <w:pPr>
        <w:ind w:firstLine="708"/>
        <w:jc w:val="both"/>
      </w:pPr>
      <w:r>
        <w:t>Slijedom navedenog, a temeljem odredbe članka 344. stavaka 1., 2. i 3. te članka 345. stavka 1. SZ-a, odlučeno je kao u izreci ovog rješenja.</w:t>
      </w:r>
    </w:p>
    <w:p w:rsidRDefault="00191CAB" w:rsidP="00470633" w:rsidR="00191CAB">
      <w:pPr>
        <w:spacing w:before="200"/>
        <w:jc w:val="center"/>
      </w:pPr>
      <w:r>
        <w:t>U  Splitu</w:t>
      </w:r>
      <w:r w:rsidR="00470633">
        <w:t>,</w:t>
      </w:r>
      <w:r>
        <w:t xml:space="preserve"> </w:t>
      </w:r>
      <w:r w:rsidR="009B21F4">
        <w:t>11. veljače</w:t>
      </w:r>
      <w:r w:rsidR="003901A3">
        <w:t xml:space="preserve"> 2019</w:t>
      </w:r>
      <w:r>
        <w:t>.</w:t>
      </w:r>
    </w:p>
    <w:p w:rsidRDefault="00CB4E05" w:rsidP="00191CAB" w:rsidR="00191CAB">
      <w:pPr>
        <w:spacing w:before="200"/>
        <w:ind w:left="6372"/>
        <w:jc w:val="center"/>
      </w:pPr>
      <w:r>
        <w:t>Sudac</w:t>
      </w:r>
    </w:p>
    <w:p w:rsidRDefault="00CB4E05" w:rsidP="00191CAB" w:rsidR="00CB4E05">
      <w:pPr>
        <w:spacing w:before="200"/>
        <w:ind w:left="6372"/>
        <w:jc w:val="center"/>
      </w:pPr>
    </w:p>
    <w:p w:rsidRDefault="00CB4E05" w:rsidP="00191CAB" w:rsidR="00191CAB">
      <w:pPr>
        <w:ind w:left="6373"/>
        <w:jc w:val="center"/>
      </w:pPr>
      <w:r>
        <w:t>Katarina Mikulić</w:t>
      </w:r>
      <w:r w:rsidR="007C2D4C">
        <w:t>,v.r.</w:t>
      </w:r>
    </w:p>
    <w:p w:rsidRDefault="007C2D4C" w:rsidP="0071700F" w:rsidR="007C2D4C">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7C2D4C" w:rsidP="0071700F" w:rsidR="007C2D4C"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7C2D4C" w:rsidP="00191CAB" w:rsidR="007C2D4C">
      <w:pPr>
        <w:ind w:left="6373"/>
        <w:jc w:val="center"/>
      </w:pPr>
    </w:p>
    <w:p w:rsidRDefault="00191CAB" w:rsidP="00191CAB" w:rsidR="00191CAB">
      <w:pPr>
        <w:jc w:val="both"/>
      </w:pPr>
    </w:p>
    <w:p w:rsidRDefault="00191CAB" w:rsidP="00191CAB" w:rsidR="00191CAB">
      <w:pPr>
        <w:spacing w:before="160"/>
        <w:jc w:val="both"/>
        <w:rPr>
          <w:lang w:eastAsia="en-US"/>
        </w:rPr>
      </w:pPr>
      <w:r>
        <w:rPr>
          <w:lang w:eastAsia="en-US"/>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91CAB" w:rsidP="00191CAB" w:rsidR="00191CAB">
      <w:pPr>
        <w:jc w:val="both"/>
      </w:pPr>
    </w:p>
    <w:p w:rsidRDefault="00853B3E" w:rsidR="00853B3E"/>
    <w:sectPr w:rsidSect="009E344D"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0FE" w:rsidP="009E344D" w:rsidR="00E500FE">
      <w:r>
        <w:separator/>
      </w:r>
    </w:p>
  </w:endnote>
  <w:endnote w:id="0" w:type="continuationSeparator">
    <w:p w:rsidRDefault="00E500FE" w:rsidP="009E344D" w:rsidR="00E500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0FE" w:rsidP="009E344D" w:rsidR="00E500FE">
      <w:r>
        <w:separator/>
      </w:r>
    </w:p>
  </w:footnote>
  <w:footnote w:id="0" w:type="continuationSeparator">
    <w:p w:rsidRDefault="00E500FE" w:rsidP="009E344D" w:rsidR="00E500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480108"/>
      <w:docPartObj>
        <w:docPartGallery w:val="Page Numbers (Top of Page)"/>
        <w:docPartUnique/>
      </w:docPartObj>
    </w:sdtPr>
    <w:sdtEndPr/>
    <w:sdtContent>
      <w:p w:rsidRDefault="00E500FE" w:rsidP="009E344D" w:rsidR="00E500FE" w:rsidRPr="00A67ED0">
        <w:pPr>
          <w:pStyle w:val="Zaglavlje"/>
          <w:ind w:firstLine="4248"/>
          <w:jc w:val="center"/>
        </w:pPr>
        <w:r>
          <w:fldChar w:fldCharType="begin"/>
        </w:r>
        <w:r>
          <w:instrText>PAGE   \* MERGEFORMAT</w:instrText>
        </w:r>
        <w:r>
          <w:fldChar w:fldCharType="separate"/>
        </w:r>
        <w:r w:rsidR="007C2D4C">
          <w:rPr>
            <w:noProof/>
          </w:rPr>
          <w:t>2</w:t>
        </w:r>
        <w:r>
          <w:fldChar w:fldCharType="end"/>
        </w:r>
        <w:r w:rsidRPr="009E344D">
          <w:t xml:space="preserve"> </w:t>
        </w:r>
        <w:r>
          <w:tab/>
        </w:r>
        <w:r>
          <w:tab/>
        </w:r>
        <w:r w:rsidRPr="00A67ED0">
          <w:t>Poslovni broj: 4.St-</w:t>
        </w:r>
        <w:r>
          <w:t>495/2015-80</w:t>
        </w:r>
      </w:p>
      <w:p w:rsidRDefault="007C2D4C" w:rsidP="009E344D" w:rsidR="00E500FE">
        <w:pPr>
          <w:pStyle w:val="Zaglavlje"/>
          <w:jc w:val="cente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B6776"/>
    <w:multiLevelType w:val="hybridMultilevel"/>
    <w:tmpl w:val="95FA4760"/>
    <w:lvl w:tplc="242E56E2"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B213264"/>
    <w:multiLevelType w:val="hybridMultilevel"/>
    <w:tmpl w:val="9C1C619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28248B"/>
    <w:multiLevelType w:val="hybridMultilevel"/>
    <w:tmpl w:val="8ABA9A54"/>
    <w:lvl w:tplc="5EA0761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915AC2"/>
    <w:multiLevelType w:val="hybridMultilevel"/>
    <w:tmpl w:val="4ABECC38"/>
    <w:lvl w:tplc="C110F68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D25D79"/>
    <w:multiLevelType w:val="multilevel"/>
    <w:tmpl w:val="561856E8"/>
    <w:lvl w:ilvl="0">
      <w:start w:val="2"/>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16EF11A6"/>
    <w:multiLevelType w:val="hybridMultilevel"/>
    <w:tmpl w:val="EB2A35CA"/>
    <w:lvl w:tplc="87FAE75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7706390"/>
    <w:multiLevelType w:val="hybridMultilevel"/>
    <w:tmpl w:val="91DC361E"/>
    <w:lvl w:tplc="836A081C"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80947A7"/>
    <w:multiLevelType w:val="hybridMultilevel"/>
    <w:tmpl w:val="231092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484444"/>
    <w:multiLevelType w:val="multilevel"/>
    <w:tmpl w:val="46BCE622"/>
    <w:lvl w:ilvl="0">
      <w:start w:val="3"/>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21E50853"/>
    <w:multiLevelType w:val="hybridMultilevel"/>
    <w:tmpl w:val="F7A400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2AF59D8"/>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25C3660F"/>
    <w:multiLevelType w:val="hybridMultilevel"/>
    <w:tmpl w:val="B2B8EDA6"/>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CB37D36"/>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2D3D4894"/>
    <w:multiLevelType w:val="hybridMultilevel"/>
    <w:tmpl w:val="48A42CE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1F4CB0"/>
    <w:multiLevelType w:val="hybridMultilevel"/>
    <w:tmpl w:val="0E7273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1245F0A"/>
    <w:multiLevelType w:val="hybridMultilevel"/>
    <w:tmpl w:val="2556AA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5DE371D"/>
    <w:multiLevelType w:val="hybridMultilevel"/>
    <w:tmpl w:val="3D80E824"/>
    <w:lvl w:tplc="9768EA1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6A46F71"/>
    <w:multiLevelType w:val="hybridMultilevel"/>
    <w:tmpl w:val="AC1AF47A"/>
    <w:lvl w:tplc="2A30C26E" w:ilvl="0">
      <w:start w:val="1"/>
      <w:numFmt w:val="decimal"/>
      <w:lvlText w:val="%1."/>
      <w:lvlJc w:val="left"/>
      <w:pPr>
        <w:ind w:hanging="360" w:left="1069"/>
      </w:pPr>
    </w:lvl>
    <w:lvl w:tplc="041A0019" w:ilvl="1">
      <w:start w:val="1"/>
      <w:numFmt w:val="lowerLetter"/>
      <w:lvlText w:val="%2."/>
      <w:lvlJc w:val="left"/>
      <w:pPr>
        <w:ind w:hanging="360" w:left="1789"/>
      </w:pPr>
    </w:lvl>
    <w:lvl w:tplc="041A001B" w:ilvl="2">
      <w:start w:val="1"/>
      <w:numFmt w:val="lowerRoman"/>
      <w:lvlText w:val="%3."/>
      <w:lvlJc w:val="right"/>
      <w:pPr>
        <w:ind w:hanging="180" w:left="2509"/>
      </w:pPr>
    </w:lvl>
    <w:lvl w:tplc="041A000F" w:ilvl="3">
      <w:start w:val="1"/>
      <w:numFmt w:val="decimal"/>
      <w:lvlText w:val="%4."/>
      <w:lvlJc w:val="left"/>
      <w:pPr>
        <w:ind w:hanging="360" w:left="3229"/>
      </w:pPr>
    </w:lvl>
    <w:lvl w:tplc="041A0019" w:ilvl="4">
      <w:start w:val="1"/>
      <w:numFmt w:val="lowerLetter"/>
      <w:lvlText w:val="%5."/>
      <w:lvlJc w:val="left"/>
      <w:pPr>
        <w:ind w:hanging="360" w:left="3949"/>
      </w:pPr>
    </w:lvl>
    <w:lvl w:tplc="041A001B" w:ilvl="5">
      <w:start w:val="1"/>
      <w:numFmt w:val="lowerRoman"/>
      <w:lvlText w:val="%6."/>
      <w:lvlJc w:val="right"/>
      <w:pPr>
        <w:ind w:hanging="180" w:left="4669"/>
      </w:pPr>
    </w:lvl>
    <w:lvl w:tplc="041A000F" w:ilvl="6">
      <w:start w:val="1"/>
      <w:numFmt w:val="decimal"/>
      <w:lvlText w:val="%7."/>
      <w:lvlJc w:val="left"/>
      <w:pPr>
        <w:ind w:hanging="360" w:left="5389"/>
      </w:pPr>
    </w:lvl>
    <w:lvl w:tplc="041A0019" w:ilvl="7">
      <w:start w:val="1"/>
      <w:numFmt w:val="lowerLetter"/>
      <w:lvlText w:val="%8."/>
      <w:lvlJc w:val="left"/>
      <w:pPr>
        <w:ind w:hanging="360" w:left="6109"/>
      </w:pPr>
    </w:lvl>
    <w:lvl w:tplc="041A001B" w:ilvl="8">
      <w:start w:val="1"/>
      <w:numFmt w:val="lowerRoman"/>
      <w:lvlText w:val="%9."/>
      <w:lvlJc w:val="right"/>
      <w:pPr>
        <w:ind w:hanging="180" w:left="6829"/>
      </w:pPr>
    </w:lvl>
  </w:abstractNum>
  <w:abstractNum w:abstractNumId="18">
    <w:nsid w:val="46BF6196"/>
    <w:multiLevelType w:val="hybridMultilevel"/>
    <w:tmpl w:val="DA467014"/>
    <w:lvl w:tplc="F9AA75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7EF7185"/>
    <w:multiLevelType w:val="hybridMultilevel"/>
    <w:tmpl w:val="76B2ED5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8632F5A"/>
    <w:multiLevelType w:val="hybridMultilevel"/>
    <w:tmpl w:val="B66E0EA8"/>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21">
    <w:nsid w:val="4993521D"/>
    <w:multiLevelType w:val="hybridMultilevel"/>
    <w:tmpl w:val="132CEB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BFA6D32"/>
    <w:multiLevelType w:val="hybridMultilevel"/>
    <w:tmpl w:val="A4D275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232621"/>
    <w:multiLevelType w:val="multilevel"/>
    <w:tmpl w:val="5CD25B0E"/>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4">
    <w:nsid w:val="4F6406BC"/>
    <w:multiLevelType w:val="hybridMultilevel"/>
    <w:tmpl w:val="EC38D682"/>
    <w:lvl w:tplc="0409000F" w:ilvl="0">
      <w:start w:val="1"/>
      <w:numFmt w:val="decimal"/>
      <w:lvlText w:val="%1."/>
      <w:lvlJc w:val="left"/>
      <w:pPr>
        <w:tabs>
          <w:tab w:pos="900" w:val="num"/>
        </w:tabs>
        <w:ind w:hanging="360" w:left="90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54A17E8E"/>
    <w:multiLevelType w:val="hybridMultilevel"/>
    <w:tmpl w:val="8A50951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5B743C19"/>
    <w:multiLevelType w:val="multilevel"/>
    <w:tmpl w:val="AA38A0EE"/>
    <w:lvl w:ilvl="0">
      <w:start w:val="1"/>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7">
    <w:nsid w:val="6F0F5457"/>
    <w:multiLevelType w:val="hybridMultilevel"/>
    <w:tmpl w:val="D99855EA"/>
    <w:lvl w:tplc="2A0432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28705BA"/>
    <w:multiLevelType w:val="hybridMultilevel"/>
    <w:tmpl w:val="FF1A22D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76BD7EDE"/>
    <w:multiLevelType w:val="hybridMultilevel"/>
    <w:tmpl w:val="1C7E62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E9C00C0"/>
    <w:multiLevelType w:val="multilevel"/>
    <w:tmpl w:val="EC38D68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6"/>
  </w:num>
  <w:num w:numId="4">
    <w:abstractNumId w:val="14"/>
  </w:num>
  <w:num w:numId="5">
    <w:abstractNumId w:val="19"/>
  </w:num>
  <w:num w:numId="6">
    <w:abstractNumId w:val="25"/>
  </w:num>
  <w:num w:numId="7">
    <w:abstractNumId w:val="13"/>
  </w:num>
  <w:num w:numId="8">
    <w:abstractNumId w:val="24"/>
  </w:num>
  <w:num w:numId="9">
    <w:abstractNumId w:val="23"/>
  </w:num>
  <w:num w:numId="10">
    <w:abstractNumId w:val="20"/>
  </w:num>
  <w:num w:numId="11">
    <w:abstractNumId w:val="12"/>
  </w:num>
  <w:num w:numId="12">
    <w:abstractNumId w:val="10"/>
  </w:num>
  <w:num w:numId="13">
    <w:abstractNumId w:val="30"/>
  </w:num>
  <w:num w:numId="14">
    <w:abstractNumId w:val="0"/>
  </w:num>
  <w:num w:numId="15">
    <w:abstractNumId w:val="28"/>
  </w:num>
  <w:num w:numId="16">
    <w:abstractNumId w:val="18"/>
  </w:num>
  <w:num w:numId="17">
    <w:abstractNumId w:val="7"/>
  </w:num>
  <w:num w:numId="18">
    <w:abstractNumId w:val="21"/>
  </w:num>
  <w:num w:numId="19">
    <w:abstractNumId w:val="11"/>
  </w:num>
  <w:num w:numId="20">
    <w:abstractNumId w:val="15"/>
  </w:num>
  <w:num w:numId="21">
    <w:abstractNumId w:val="29"/>
  </w:num>
  <w:num w:numId="22">
    <w:abstractNumId w:val="5"/>
  </w:num>
  <w:num w:numId="23">
    <w:abstractNumId w:val="22"/>
  </w:num>
  <w:num w:numId="24">
    <w:abstractNumId w:val="6"/>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
  </w:num>
  <w:num w:numId="28">
    <w:abstractNumId w:val="17"/>
  </w:num>
  <w:num w:numId="29">
    <w:abstractNumId w:val="27"/>
  </w:num>
  <w:num w:numId="30">
    <w:abstractNumId w:val="26"/>
  </w:num>
  <w:num w:numId="31">
    <w:abstractNumId w:val="4"/>
  </w:num>
  <w:num w:numId="3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AB"/>
    <w:rsid w:val="00066650"/>
    <w:rsid w:val="00085E7C"/>
    <w:rsid w:val="000B4D96"/>
    <w:rsid w:val="000D5416"/>
    <w:rsid w:val="000E6D83"/>
    <w:rsid w:val="00120A6F"/>
    <w:rsid w:val="00191CAB"/>
    <w:rsid w:val="0024181F"/>
    <w:rsid w:val="002C285B"/>
    <w:rsid w:val="00315BDC"/>
    <w:rsid w:val="003901A3"/>
    <w:rsid w:val="003C2F22"/>
    <w:rsid w:val="00411924"/>
    <w:rsid w:val="00417EA6"/>
    <w:rsid w:val="00470633"/>
    <w:rsid w:val="00617A05"/>
    <w:rsid w:val="0071519E"/>
    <w:rsid w:val="007C2D4C"/>
    <w:rsid w:val="007F7A84"/>
    <w:rsid w:val="00814EDB"/>
    <w:rsid w:val="00815142"/>
    <w:rsid w:val="00853B3E"/>
    <w:rsid w:val="008A0660"/>
    <w:rsid w:val="009269AB"/>
    <w:rsid w:val="00981D37"/>
    <w:rsid w:val="009A0343"/>
    <w:rsid w:val="009B21F4"/>
    <w:rsid w:val="009E344D"/>
    <w:rsid w:val="00A51DE9"/>
    <w:rsid w:val="00AA1AD7"/>
    <w:rsid w:val="00AD6AF0"/>
    <w:rsid w:val="00B7506F"/>
    <w:rsid w:val="00BC25CD"/>
    <w:rsid w:val="00CB4E05"/>
    <w:rsid w:val="00CE4B0F"/>
    <w:rsid w:val="00D778AF"/>
    <w:rsid w:val="00D8632A"/>
    <w:rsid w:val="00DD0D50"/>
    <w:rsid w:val="00E500FE"/>
    <w:rsid w:val="00EB6A52"/>
    <w:rsid w:val="00F2599E"/>
    <w:rsid w:val="00F72C2F"/>
    <w:rsid w:val="00FB2E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AB"/>
    <w:rPr>
      <w:rFonts w:cs="Times New Roman" w:eastAsia="Times New Roman"/>
      <w:szCs w:val="24"/>
      <w:lang w:eastAsia="hr-HR"/>
    </w:rPr>
  </w:style>
  <w:style w:styleId="Naslov1" w:type="paragraph">
    <w:name w:val="heading 1"/>
    <w:basedOn w:val="Normal"/>
    <w:next w:val="Normal"/>
    <w:link w:val="Naslov1Char"/>
    <w:qFormat/>
    <w:rsid w:val="00191CAB"/>
    <w:pPr>
      <w:keepNext/>
      <w:jc w:val="center"/>
      <w:outlineLvl w:val="0"/>
    </w:pPr>
    <w:rPr>
      <w:b/>
      <w:bCs/>
    </w:rPr>
  </w:style>
  <w:style w:styleId="Naslov2" w:type="paragraph">
    <w:name w:val="heading 2"/>
    <w:basedOn w:val="Normal"/>
    <w:next w:val="Normal"/>
    <w:link w:val="Naslov2Char"/>
    <w:unhideWhenUsed/>
    <w:qFormat/>
    <w:rsid w:val="00CB4E05"/>
    <w:pPr>
      <w:keepNext/>
      <w:keepLines/>
      <w:spacing w:before="200"/>
      <w:outlineLvl w:val="1"/>
    </w:pPr>
    <w:rPr>
      <w:rFonts w:cstheme="majorBidi" w:eastAsiaTheme="majorEastAsia" w:hAnsiTheme="majorHAnsi" w:asciiTheme="majorHAnsi"/>
      <w:b/>
      <w:bCs/>
      <w:color w:themeColor="accent1" w:val="4F81BD"/>
      <w:sz w:val="26"/>
      <w:szCs w:val="26"/>
      <w:lang w:eastAsia="en-US" w:val="en-GB"/>
    </w:rPr>
  </w:style>
  <w:style w:styleId="Naslov3" w:type="paragraph">
    <w:name w:val="heading 3"/>
    <w:basedOn w:val="Normal"/>
    <w:next w:val="Normal"/>
    <w:link w:val="Naslov3Char"/>
    <w:semiHidden/>
    <w:unhideWhenUsed/>
    <w:qFormat/>
    <w:rsid w:val="00CB4E05"/>
    <w:pPr>
      <w:keepNext/>
      <w:keepLines/>
      <w:spacing w:before="200"/>
      <w:outlineLvl w:val="2"/>
    </w:pPr>
    <w:rPr>
      <w:rFonts w:cstheme="majorBidi" w:eastAsiaTheme="majorEastAsia" w:hAnsiTheme="majorHAnsi" w:asciiTheme="majorHAnsi"/>
      <w:b/>
      <w:bCs/>
      <w:color w:themeColor="accent1" w:val="4F81BD"/>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91CAB"/>
    <w:rPr>
      <w:rFonts w:cs="Times New Roman" w:eastAsia="Times New Roman"/>
      <w:b/>
      <w:bCs/>
      <w:szCs w:val="24"/>
      <w:lang w:eastAsia="hr-HR"/>
    </w:rPr>
  </w:style>
  <w:style w:styleId="Tijeloteksta" w:type="paragraph">
    <w:name w:val="Body Text"/>
    <w:basedOn w:val="Normal"/>
    <w:link w:val="TijelotekstaChar"/>
    <w:unhideWhenUsed/>
    <w:rsid w:val="00191CAB"/>
    <w:pPr>
      <w:jc w:val="both"/>
    </w:pPr>
  </w:style>
  <w:style w:customStyle="true" w:styleId="TijelotekstaChar" w:type="character">
    <w:name w:val="Tijelo teksta Char"/>
    <w:basedOn w:val="Zadanifontodlomka"/>
    <w:link w:val="Tijeloteksta"/>
    <w:rsid w:val="00191CAB"/>
    <w:rPr>
      <w:rFonts w:cs="Times New Roman" w:eastAsia="Times New Roman"/>
      <w:szCs w:val="24"/>
      <w:lang w:eastAsia="hr-HR"/>
    </w:rPr>
  </w:style>
  <w:style w:styleId="Bezproreda" w:type="paragraph">
    <w:name w:val="No Spacing"/>
    <w:uiPriority w:val="99"/>
    <w:qFormat/>
    <w:rsid w:val="00191CAB"/>
    <w:rPr>
      <w:rFonts w:cs="Times New Roman" w:eastAsia="Calibri" w:hAnsi="Calibri" w:ascii="Calibri"/>
      <w:sz w:val="22"/>
    </w:rPr>
  </w:style>
  <w:style w:styleId="Reetkatablice" w:type="table">
    <w:name w:val="Table Grid"/>
    <w:basedOn w:val="Obinatablica"/>
    <w:rsid w:val="00191CAB"/>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nhideWhenUsed/>
    <w:rsid w:val="00191CAB"/>
    <w:rPr>
      <w:rFonts w:cs="Tahoma" w:hAnsi="Tahoma" w:ascii="Tahoma"/>
      <w:sz w:val="16"/>
      <w:szCs w:val="16"/>
    </w:rPr>
  </w:style>
  <w:style w:customStyle="true" w:styleId="TekstbaloniaChar" w:type="character">
    <w:name w:val="Tekst balončića Char"/>
    <w:basedOn w:val="Zadanifontodlomka"/>
    <w:link w:val="Tekstbalonia"/>
    <w:rsid w:val="00191CA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B4E05"/>
    <w:pPr>
      <w:tabs>
        <w:tab w:pos="4536" w:val="center"/>
        <w:tab w:pos="9072" w:val="right"/>
      </w:tabs>
    </w:pPr>
  </w:style>
  <w:style w:customStyle="true" w:styleId="ZaglavljeChar" w:type="character">
    <w:name w:val="Zaglavlje Char"/>
    <w:basedOn w:val="Zadanifontodlomka"/>
    <w:link w:val="Zaglavlje"/>
    <w:uiPriority w:val="99"/>
    <w:rsid w:val="00CB4E05"/>
    <w:rPr>
      <w:rFonts w:cs="Times New Roman" w:eastAsia="Times New Roman"/>
      <w:szCs w:val="24"/>
      <w:lang w:eastAsia="hr-HR"/>
    </w:rPr>
  </w:style>
  <w:style w:customStyle="true" w:styleId="Naslov2Char" w:type="character">
    <w:name w:val="Naslov 2 Char"/>
    <w:basedOn w:val="Zadanifontodlomka"/>
    <w:link w:val="Naslov2"/>
    <w:rsid w:val="00CB4E05"/>
    <w:rPr>
      <w:rFonts w:cstheme="majorBidi" w:eastAsiaTheme="majorEastAsia" w:hAnsiTheme="majorHAnsi" w:asciiTheme="majorHAnsi"/>
      <w:b/>
      <w:bCs/>
      <w:color w:themeColor="accent1" w:val="4F81BD"/>
      <w:sz w:val="26"/>
      <w:szCs w:val="26"/>
      <w:lang w:val="en-GB"/>
    </w:rPr>
  </w:style>
  <w:style w:customStyle="true" w:styleId="Naslov3Char" w:type="character">
    <w:name w:val="Naslov 3 Char"/>
    <w:basedOn w:val="Zadanifontodlomka"/>
    <w:link w:val="Naslov3"/>
    <w:semiHidden/>
    <w:rsid w:val="00CB4E05"/>
    <w:rPr>
      <w:rFonts w:cstheme="majorBidi" w:eastAsiaTheme="majorEastAsia" w:hAnsiTheme="majorHAnsi" w:asciiTheme="majorHAnsi"/>
      <w:b/>
      <w:bCs/>
      <w:color w:themeColor="accent1" w:val="4F81BD"/>
      <w:szCs w:val="24"/>
      <w:lang w:val="en-GB"/>
    </w:rPr>
  </w:style>
  <w:style w:styleId="Brojstranice" w:type="character">
    <w:name w:val="page number"/>
    <w:basedOn w:val="Zadanifontodlomka"/>
    <w:rsid w:val="00CB4E05"/>
  </w:style>
  <w:style w:styleId="Podnoje" w:type="paragraph">
    <w:name w:val="footer"/>
    <w:basedOn w:val="Normal"/>
    <w:link w:val="PodnojeChar"/>
    <w:rsid w:val="00CB4E05"/>
    <w:pPr>
      <w:tabs>
        <w:tab w:pos="4536" w:val="center"/>
        <w:tab w:pos="9072" w:val="right"/>
      </w:tabs>
    </w:pPr>
    <w:rPr>
      <w:lang w:eastAsia="en-US" w:val="en-GB"/>
    </w:rPr>
  </w:style>
  <w:style w:customStyle="true" w:styleId="PodnojeChar" w:type="character">
    <w:name w:val="Podnožje Char"/>
    <w:basedOn w:val="Zadanifontodlomka"/>
    <w:link w:val="Podnoje"/>
    <w:rsid w:val="00CB4E05"/>
    <w:rPr>
      <w:rFonts w:cs="Times New Roman" w:eastAsia="Times New Roman"/>
      <w:szCs w:val="24"/>
      <w:lang w:val="en-GB"/>
    </w:rPr>
  </w:style>
  <w:style w:styleId="Odlomakpopisa" w:type="paragraph">
    <w:name w:val="List Paragraph"/>
    <w:basedOn w:val="Normal"/>
    <w:uiPriority w:val="34"/>
    <w:qFormat/>
    <w:rsid w:val="00CB4E05"/>
    <w:pPr>
      <w:ind w:left="708"/>
    </w:pPr>
    <w:rPr>
      <w:lang w:eastAsia="en-US" w:val="en-GB"/>
    </w:rPr>
  </w:style>
  <w:style w:styleId="Hiperveza" w:type="character">
    <w:name w:val="Hyperlink"/>
    <w:basedOn w:val="Zadanifontodlomka"/>
    <w:rsid w:val="00CB4E05"/>
    <w:rPr>
      <w:color w:themeColor="hyperlink" w:val="0000FF"/>
      <w:u w:val="single"/>
    </w:rPr>
  </w:style>
  <w:style w:styleId="Tekstrezerviranogmjesta" w:type="character">
    <w:name w:val="Placeholder Text"/>
    <w:basedOn w:val="Zadanifontodlomka"/>
    <w:uiPriority w:val="99"/>
    <w:semiHidden/>
    <w:rsid w:val="00CB4E05"/>
    <w:rPr>
      <w:color w:val="808080"/>
      <w:bdr w:space="0" w:sz="0" w:color="auto" w:val="none"/>
      <w:shd w:fill="auto" w:color="auto" w:val="clear"/>
    </w:rPr>
  </w:style>
  <w:style w:customStyle="true" w:styleId="eSPISCCParagraphDefaultFont" w:type="character">
    <w:name w:val="eSPIS_CC_Paragraph Default Font"/>
    <w:basedOn w:val="Zadanifontodlomka"/>
    <w:rsid w:val="00CB4E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4E05"/>
    <w:rPr>
      <w:bdr w:space="0" w:sz="0" w:color="auto" w:val="none"/>
      <w:shd w:fill="FFFFCC" w:color="auto" w:val="clear"/>
      <w:lang w:val="hr-HR"/>
    </w:rPr>
  </w:style>
  <w:style w:customStyle="true" w:styleId="PozadinaSvijetloCrvena" w:type="character">
    <w:name w:val="Pozadina_SvijetloCrvena"/>
    <w:basedOn w:val="eSPISCCParagraphDefaultFont"/>
    <w:rsid w:val="00CB4E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4E05"/>
    <w:rPr>
      <w:rFonts w:cs="Times New Roman" w:hAnsi="Times New Roman" w:ascii="Times New Roman"/>
      <w:sz w:val="24"/>
      <w:bdr w:space="0" w:sz="0" w:color="auto" w:val="none"/>
      <w:shd w:fill="CCFFCC" w:color="auto" w:val="clear"/>
      <w:lang w:val="hr-HR"/>
    </w:rPr>
  </w:style>
  <w:style w:customStyle="true" w:styleId="Reetkatablice1" w:type="table">
    <w:name w:val="Rešetka tablice1"/>
    <w:basedOn w:val="Obinatablica"/>
    <w:next w:val="Reetkatablice"/>
    <w:uiPriority w:val="59"/>
    <w:rsid w:val="00CB4E05"/>
    <w:rPr>
      <w:rFonts w:hAnsiTheme="minorHAnsi" w:asciiTheme="minorHAnsi"/>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Balloon Text"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AB"/>
    <w:rPr>
      <w:rFonts w:cs="Times New Roman" w:eastAsia="Times New Roman"/>
      <w:szCs w:val="24"/>
      <w:lang w:eastAsia="hr-HR"/>
    </w:rPr>
  </w:style>
  <w:style w:styleId="Naslov1" w:type="paragraph">
    <w:name w:val="heading 1"/>
    <w:basedOn w:val="Normal"/>
    <w:next w:val="Normal"/>
    <w:link w:val="Naslov1Char"/>
    <w:qFormat/>
    <w:rsid w:val="00191CAB"/>
    <w:pPr>
      <w:keepNext/>
      <w:jc w:val="center"/>
      <w:outlineLvl w:val="0"/>
    </w:pPr>
    <w:rPr>
      <w:b/>
      <w:bCs/>
    </w:rPr>
  </w:style>
  <w:style w:styleId="Naslov2" w:type="paragraph">
    <w:name w:val="heading 2"/>
    <w:basedOn w:val="Normal"/>
    <w:next w:val="Normal"/>
    <w:link w:val="Naslov2Char"/>
    <w:unhideWhenUsed/>
    <w:qFormat/>
    <w:rsid w:val="00CB4E05"/>
    <w:pPr>
      <w:keepNext/>
      <w:keepLines/>
      <w:spacing w:before="200"/>
      <w:outlineLvl w:val="1"/>
    </w:pPr>
    <w:rPr>
      <w:rFonts w:asciiTheme="majorHAnsi" w:cstheme="majorBidi" w:eastAsiaTheme="majorEastAsia" w:hAnsiTheme="majorHAnsi"/>
      <w:b/>
      <w:bCs/>
      <w:color w:themeColor="accent1" w:val="4F81BD"/>
      <w:sz w:val="26"/>
      <w:szCs w:val="26"/>
      <w:lang w:eastAsia="en-US" w:val="en-GB"/>
    </w:rPr>
  </w:style>
  <w:style w:styleId="Naslov3" w:type="paragraph">
    <w:name w:val="heading 3"/>
    <w:basedOn w:val="Normal"/>
    <w:next w:val="Normal"/>
    <w:link w:val="Naslov3Char"/>
    <w:semiHidden/>
    <w:unhideWhenUsed/>
    <w:qFormat/>
    <w:rsid w:val="00CB4E05"/>
    <w:pPr>
      <w:keepNext/>
      <w:keepLines/>
      <w:spacing w:before="200"/>
      <w:outlineLvl w:val="2"/>
    </w:pPr>
    <w:rPr>
      <w:rFonts w:asciiTheme="majorHAnsi" w:cstheme="majorBidi" w:eastAsiaTheme="majorEastAsia" w:hAnsiTheme="majorHAnsi"/>
      <w:b/>
      <w:bCs/>
      <w:color w:themeColor="accent1" w:val="4F81BD"/>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91CAB"/>
    <w:rPr>
      <w:rFonts w:cs="Times New Roman" w:eastAsia="Times New Roman"/>
      <w:b/>
      <w:bCs/>
      <w:szCs w:val="24"/>
      <w:lang w:eastAsia="hr-HR"/>
    </w:rPr>
  </w:style>
  <w:style w:styleId="Tijeloteksta" w:type="paragraph">
    <w:name w:val="Body Text"/>
    <w:basedOn w:val="Normal"/>
    <w:link w:val="TijelotekstaChar"/>
    <w:unhideWhenUsed/>
    <w:rsid w:val="00191CAB"/>
    <w:pPr>
      <w:jc w:val="both"/>
    </w:pPr>
  </w:style>
  <w:style w:customStyle="1" w:styleId="TijelotekstaChar" w:type="character">
    <w:name w:val="Tijelo teksta Char"/>
    <w:basedOn w:val="Zadanifontodlomka"/>
    <w:link w:val="Tijeloteksta"/>
    <w:rsid w:val="00191CAB"/>
    <w:rPr>
      <w:rFonts w:cs="Times New Roman" w:eastAsia="Times New Roman"/>
      <w:szCs w:val="24"/>
      <w:lang w:eastAsia="hr-HR"/>
    </w:rPr>
  </w:style>
  <w:style w:styleId="Bezproreda" w:type="paragraph">
    <w:name w:val="No Spacing"/>
    <w:uiPriority w:val="99"/>
    <w:qFormat/>
    <w:rsid w:val="00191CAB"/>
    <w:rPr>
      <w:rFonts w:ascii="Calibri" w:cs="Times New Roman" w:eastAsia="Calibri" w:hAnsi="Calibri"/>
      <w:sz w:val="22"/>
    </w:rPr>
  </w:style>
  <w:style w:styleId="Reetkatablice" w:type="table">
    <w:name w:val="Table Grid"/>
    <w:basedOn w:val="Obinatablica"/>
    <w:rsid w:val="00191CAB"/>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nhideWhenUsed/>
    <w:rsid w:val="00191CAB"/>
    <w:rPr>
      <w:rFonts w:ascii="Tahoma" w:cs="Tahoma" w:hAnsi="Tahoma"/>
      <w:sz w:val="16"/>
      <w:szCs w:val="16"/>
    </w:rPr>
  </w:style>
  <w:style w:customStyle="1" w:styleId="TekstbaloniaChar" w:type="character">
    <w:name w:val="Tekst balončića Char"/>
    <w:basedOn w:val="Zadanifontodlomka"/>
    <w:link w:val="Tekstbalonia"/>
    <w:rsid w:val="00191CA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B4E05"/>
    <w:pPr>
      <w:tabs>
        <w:tab w:pos="4536" w:val="center"/>
        <w:tab w:pos="9072" w:val="right"/>
      </w:tabs>
    </w:pPr>
  </w:style>
  <w:style w:customStyle="1" w:styleId="ZaglavljeChar" w:type="character">
    <w:name w:val="Zaglavlje Char"/>
    <w:basedOn w:val="Zadanifontodlomka"/>
    <w:link w:val="Zaglavlje"/>
    <w:uiPriority w:val="99"/>
    <w:rsid w:val="00CB4E05"/>
    <w:rPr>
      <w:rFonts w:cs="Times New Roman" w:eastAsia="Times New Roman"/>
      <w:szCs w:val="24"/>
      <w:lang w:eastAsia="hr-HR"/>
    </w:rPr>
  </w:style>
  <w:style w:customStyle="1" w:styleId="Naslov2Char" w:type="character">
    <w:name w:val="Naslov 2 Char"/>
    <w:basedOn w:val="Zadanifontodlomka"/>
    <w:link w:val="Naslov2"/>
    <w:rsid w:val="00CB4E05"/>
    <w:rPr>
      <w:rFonts w:asciiTheme="majorHAnsi" w:cstheme="majorBidi" w:eastAsiaTheme="majorEastAsia" w:hAnsiTheme="majorHAnsi"/>
      <w:b/>
      <w:bCs/>
      <w:color w:themeColor="accent1" w:val="4F81BD"/>
      <w:sz w:val="26"/>
      <w:szCs w:val="26"/>
      <w:lang w:val="en-GB"/>
    </w:rPr>
  </w:style>
  <w:style w:customStyle="1" w:styleId="Naslov3Char" w:type="character">
    <w:name w:val="Naslov 3 Char"/>
    <w:basedOn w:val="Zadanifontodlomka"/>
    <w:link w:val="Naslov3"/>
    <w:semiHidden/>
    <w:rsid w:val="00CB4E05"/>
    <w:rPr>
      <w:rFonts w:asciiTheme="majorHAnsi" w:cstheme="majorBidi" w:eastAsiaTheme="majorEastAsia" w:hAnsiTheme="majorHAnsi"/>
      <w:b/>
      <w:bCs/>
      <w:color w:themeColor="accent1" w:val="4F81BD"/>
      <w:szCs w:val="24"/>
      <w:lang w:val="en-GB"/>
    </w:rPr>
  </w:style>
  <w:style w:styleId="Brojstranice" w:type="character">
    <w:name w:val="page number"/>
    <w:basedOn w:val="Zadanifontodlomka"/>
    <w:rsid w:val="00CB4E05"/>
  </w:style>
  <w:style w:styleId="Podnoje" w:type="paragraph">
    <w:name w:val="footer"/>
    <w:basedOn w:val="Normal"/>
    <w:link w:val="PodnojeChar"/>
    <w:rsid w:val="00CB4E05"/>
    <w:pPr>
      <w:tabs>
        <w:tab w:pos="4536" w:val="center"/>
        <w:tab w:pos="9072" w:val="right"/>
      </w:tabs>
    </w:pPr>
    <w:rPr>
      <w:lang w:eastAsia="en-US" w:val="en-GB"/>
    </w:rPr>
  </w:style>
  <w:style w:customStyle="1" w:styleId="PodnojeChar" w:type="character">
    <w:name w:val="Podnožje Char"/>
    <w:basedOn w:val="Zadanifontodlomka"/>
    <w:link w:val="Podnoje"/>
    <w:rsid w:val="00CB4E05"/>
    <w:rPr>
      <w:rFonts w:cs="Times New Roman" w:eastAsia="Times New Roman"/>
      <w:szCs w:val="24"/>
      <w:lang w:val="en-GB"/>
    </w:rPr>
  </w:style>
  <w:style w:styleId="Odlomakpopisa" w:type="paragraph">
    <w:name w:val="List Paragraph"/>
    <w:basedOn w:val="Normal"/>
    <w:uiPriority w:val="34"/>
    <w:qFormat/>
    <w:rsid w:val="00CB4E05"/>
    <w:pPr>
      <w:ind w:left="708"/>
    </w:pPr>
    <w:rPr>
      <w:lang w:eastAsia="en-US" w:val="en-GB"/>
    </w:rPr>
  </w:style>
  <w:style w:styleId="Hiperveza" w:type="character">
    <w:name w:val="Hyperlink"/>
    <w:basedOn w:val="Zadanifontodlomka"/>
    <w:rsid w:val="00CB4E05"/>
    <w:rPr>
      <w:color w:themeColor="hyperlink" w:val="0000FF"/>
      <w:u w:val="single"/>
    </w:rPr>
  </w:style>
  <w:style w:styleId="Tekstrezerviranogmjesta" w:type="character">
    <w:name w:val="Placeholder Text"/>
    <w:basedOn w:val="Zadanifontodlomka"/>
    <w:uiPriority w:val="99"/>
    <w:semiHidden/>
    <w:rsid w:val="00CB4E05"/>
    <w:rPr>
      <w:color w:val="808080"/>
      <w:bdr w:color="auto" w:space="0" w:sz="0" w:val="none"/>
      <w:shd w:color="auto" w:fill="auto" w:val="clear"/>
    </w:rPr>
  </w:style>
  <w:style w:customStyle="1" w:styleId="eSPISCCParagraphDefaultFont" w:type="character">
    <w:name w:val="eSPIS_CC_Paragraph Default Font"/>
    <w:basedOn w:val="Zadanifontodlomka"/>
    <w:rsid w:val="00CB4E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E05"/>
    <w:rPr>
      <w:bdr w:color="auto" w:space="0" w:sz="0" w:val="none"/>
      <w:shd w:color="auto" w:fill="FFFFCC" w:val="clear"/>
      <w:lang w:val="hr-HR"/>
    </w:rPr>
  </w:style>
  <w:style w:customStyle="1" w:styleId="PozadinaSvijetloCrvena" w:type="character">
    <w:name w:val="Pozadina_SvijetloCrvena"/>
    <w:basedOn w:val="eSPISCCParagraphDefaultFont"/>
    <w:rsid w:val="00CB4E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E05"/>
    <w:rPr>
      <w:rFonts w:ascii="Times New Roman" w:cs="Times New Roman" w:hAnsi="Times New Roman"/>
      <w:sz w:val="24"/>
      <w:bdr w:color="auto" w:space="0" w:sz="0" w:val="none"/>
      <w:shd w:color="auto" w:fill="CCFFCC" w:val="clear"/>
      <w:lang w:val="hr-HR"/>
    </w:rPr>
  </w:style>
  <w:style w:customStyle="1" w:styleId="Reetkatablice1" w:type="table">
    <w:name w:val="Rešetka tablice1"/>
    <w:basedOn w:val="Obinatablica"/>
    <w:next w:val="Reetkatablice"/>
    <w:uiPriority w:val="59"/>
    <w:rsid w:val="00CB4E05"/>
    <w:rPr>
      <w:rFonts w:asciiTheme="minorHAnsi"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54826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DUJMEX, d.o.o. za proizvodnju i trgovinu u stečaju</izvorni_sadrzaj>
    <derivirana_varijabla naziv="DomainObject.Predmet.ProtustrankaFormated_1">  DUJMEX, d.o.o. za proizvodnju i trgovinu u stečaju</derivirana_varijabla>
  </DomainObject.Predmet.ProtustrankaFormated>
  <DomainObject.Predmet.ProtustrankaFormatedOIB>
    <izvorni_sadrzaj>  DUJMEX, d.o.o. za proizvodnju i trgovinu u stečaju, OIB 53440788001</izvorni_sadrzaj>
    <derivirana_varijabla naziv="DomainObject.Predmet.ProtustrankaFormatedOIB_1">  DUJMEX, d.o.o. za proizvodnju i trgovinu u stečaju, OIB 53440788001</derivirana_varijabla>
  </DomainObject.Predmet.ProtustrankaFormatedOIB>
  <DomainObject.Predmet.ProtustrankaFormatedWithAdress>
    <izvorni_sadrzaj> DUJMEX, d.o.o. za proizvodnju i trgovinu u stečaju, Vladimira Nazora 2, 21260 Imotski</izvorni_sadrzaj>
    <derivirana_varijabla naziv="DomainObject.Predmet.ProtustrankaFormatedWithAdress_1"> DUJMEX, d.o.o. za proizvodnju i trgovinu u stečaju, Vladimira Nazora 2, 21260 Imotski</derivirana_varijabla>
  </DomainObject.Predmet.ProtustrankaFormatedWithAdress>
  <DomainObject.Predmet.ProtustrankaFormatedWithAdressOIB>
    <izvorni_sadrzaj> DUJMEX, d.o.o. za proizvodnju i trgovinu u stečaju, OIB 53440788001, Vladimira Nazora 2, 21260 Imotski</izvorni_sadrzaj>
    <derivirana_varijabla naziv="DomainObject.Predmet.ProtustrankaFormatedWithAdressOIB_1"> DUJMEX, d.o.o. za proizvodnju i trgovinu u stečaju, OIB 53440788001, Vladimira Nazora 2, 21260 Imotski</derivirana_varijabla>
  </DomainObject.Predmet.ProtustrankaFormatedWithAdressOIB>
  <DomainObject.Predmet.ProtustrankaWithAdress>
    <izvorni_sadrzaj>DUJMEX, d.o.o. za proizvodnju i trgovinu u stečaju Vladimira Nazora 2, 21260 Imotski</izvorni_sadrzaj>
    <derivirana_varijabla naziv="DomainObject.Predmet.ProtustrankaWithAdress_1">DUJMEX, d.o.o. za proizvodnju i trgovinu u stečaju Vladimira Nazora 2, 21260 Imotski</derivirana_varijabla>
  </DomainObject.Predmet.ProtustrankaWithAdress>
  <DomainObject.Predmet.ProtustrankaWithAdressOIB>
    <izvorni_sadrzaj>DUJMEX, d.o.o. za proizvodnju i trgovinu u stečaju, OIB 53440788001, Vladimira Nazora 2, 21260 Imotski</izvorni_sadrzaj>
    <derivirana_varijabla naziv="DomainObject.Predmet.ProtustrankaWithAdressOIB_1">DUJMEX, d.o.o. za proizvodnju i trgovinu u stečaju, OIB 53440788001, Vladimira Nazora 2, 21260 Imotski</derivirana_varijabla>
  </DomainObject.Predmet.ProtustrankaWithAdressOIB>
  <DomainObject.Predmet.ProtustrankaNazivFormated>
    <izvorni_sadrzaj>DUJMEX, d.o.o. za proizvodnju i trgovinu u stečaju</izvorni_sadrzaj>
    <derivirana_varijabla naziv="DomainObject.Predmet.ProtustrankaNazivFormated_1">DUJMEX, d.o.o. za proizvodnju i trgovinu u stečaju</derivirana_varijabla>
  </DomainObject.Predmet.ProtustrankaNazivFormated>
  <DomainObject.Predmet.ProtustrankaNazivFormatedOIB>
    <izvorni_sadrzaj>DUJMEX, d.o.o. za proizvodnju i trgovinu u stečaju, OIB 53440788001</izvorni_sadrzaj>
    <derivirana_varijabla naziv="DomainObject.Predmet.ProtustrankaNazivFormatedOIB_1">DUJMEX, d.o.o. za proizvodnju i trgovinu u stečaju,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izvorni_sadrzaj>
    <derivirana_varijabla naziv="DomainObject.Predmet.StrankaFormated_1">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derivirana_varijabla>
  </DomainObject.Predmet.StrankaFormated>
  <DomainObject.Predmet.StrankaFormatedOIB>
    <izvorni_sadrzaj>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izvorni_sadrzaj>
    <derivirana_varijabla naziv="DomainObject.Predmet.StrankaFormatedOIB_1">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derivirana_varijabla>
  </DomainObject.Predmet.StrankaFormatedOIB>
  <DomainObject.Predmet.StrankaFormatedWithAdress>
    <izvorni_sadrzaj>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izvorni_sadrzaj>
    <derivirana_varijabla naziv="DomainObject.Predmet.StrankaFormatedWithAdress_1">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derivirana_varijabla>
  </DomainObject.Predmet.StrankaFormatedWithAdress>
  <DomainObject.Predmet.StrankaFormatedWithAdressOIB>
    <izvorni_sadrzaj>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izvorni_sadrzaj>
    <derivirana_varijabla naziv="DomainObject.Predmet.StrankaFormatedWithAdressOIB_1">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derivirana_varijabla>
  </DomainObject.Predmet.StrankaFormatedWithAdressOIB>
  <DomainObject.Predmet.StrankaWithAdress>
    <izvorni_sadrzaj>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izvorni_sadrzaj>
    <derivirana_varijabla naziv="DomainObject.Predmet.StrankaWithAdress_1">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derivirana_varijabla>
  </DomainObject.Predmet.StrankaWithAdress>
  <DomainObject.Predmet.StrankaWithAdressOIB>
    <izvorni_sadrzaj>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izvorni_sadrzaj>
    <derivirana_varijabla naziv="DomainObject.Predmet.StrankaWithAdressOIB_1">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derivirana_varijabla>
  </DomainObject.Predmet.StrankaWithAdressOIB>
  <DomainObject.Predmet.StrankaNazivFormated>
    <izvorni_sadrzaj>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izvorni_sadrzaj>
    <derivirana_varijabla naziv="DomainObject.Predmet.StrankaNazivFormated_1">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derivirana_varijabla>
  </DomainObject.Predmet.StrankaNazivFormated>
  <DomainObject.Predmet.StrankaNazivFormatedOIB>
    <izvorni_sadrzaj>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izvorni_sadrzaj>
    <derivirana_varijabla naziv="DomainObject.Predmet.StrankaNazivFormatedOIB_1">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izvorni_sadrzaj>
    <derivirana_varijabla naziv="DomainObject.Predmet.StrankaListFormated_1">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derivirana_varijabla>
  </DomainObject.Predmet.StrankaListFormated>
  <DomainObject.Predmet.StrankaListFormatedOIB>
    <izvorni_sadrzaj>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FormatedOIB_1">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derivirana_varijabla>
  </DomainObject.Predmet.StrankaListFormatedOIB>
  <DomainObject.Predmet.StrankaListFormatedWithAdress>
    <izvorni_sadrzaj>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izvorni_sadrzaj>
    <derivirana_varijabla naziv="DomainObject.Predmet.StrankaListFormatedWithAdress_1">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derivirana_varijabla>
  </DomainObject.Predmet.StrankaListFormatedWithAdress>
  <DomainObject.Predmet.StrankaListFormatedWithAdressOIB>
    <izvorni_sadrzaj>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izvorni_sadrzaj>
    <derivirana_varijabla naziv="DomainObject.Predmet.StrankaListFormatedWithAdressOIB_1">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derivirana_varijabla>
  </DomainObject.Predmet.StrankaListFormatedWithAdressOIB>
  <DomainObject.Predmet.StrankaListNazivFormated>
    <izvorni_sadrzaj>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zvorni_sadrzaj>
    <derivirana_varijabla naziv="DomainObject.Predmet.StrankaListNazivFormated_1">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derivirana_varijabla>
  </DomainObject.Predmet.StrankaListNazivFormated>
  <DomainObject.Predmet.StrankaListNazivFormatedOIB>
    <izvorni_sadrzaj>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NazivFormatedOIB_1">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derivirana_varijabla>
  </DomainObject.Predmet.StrankaListNazivFormatedOIB>
  <DomainObject.Predmet.ProtuStrankaListFormated>
    <izvorni_sadrzaj>
      <item>DUJMEX, d.o.o. za proizvodnju i trgovinu u stečaju</item>
    </izvorni_sadrzaj>
    <derivirana_varijabla naziv="DomainObject.Predmet.ProtuStrankaListFormated_1">
      <item>DUJMEX, d.o.o. za proizvodnju i trgovinu u stečaju</item>
    </derivirana_varijabla>
  </DomainObject.Predmet.ProtuStrankaListFormated>
  <DomainObject.Predmet.ProtuStrankaListFormatedOIB>
    <izvorni_sadrzaj>
      <item>DUJMEX, d.o.o. za proizvodnju i trgovinu u stečaju, OIB 53440788001</item>
    </izvorni_sadrzaj>
    <derivirana_varijabla naziv="DomainObject.Predmet.ProtuStrankaListFormatedOIB_1">
      <item>DUJMEX, d.o.o. za proizvodnju i trgovinu u stečaju, OIB 53440788001</item>
    </derivirana_varijabla>
  </DomainObject.Predmet.ProtuStrankaListFormatedOIB>
  <DomainObject.Predmet.ProtuStrankaListFormatedWithAdress>
    <izvorni_sadrzaj>
      <item>DUJMEX, d.o.o. za proizvodnju i trgovinu u stečaju, Vladimira Nazora 2, 21260 Imotski</item>
    </izvorni_sadrzaj>
    <derivirana_varijabla naziv="DomainObject.Predmet.ProtuStrankaListFormatedWithAdress_1">
      <item>DUJMEX, d.o.o. za proizvodnju i trgovinu u stečaju, Vladimira Nazora 2, 21260 Imotski</item>
    </derivirana_varijabla>
  </DomainObject.Predmet.ProtuStrankaListFormatedWithAdress>
  <DomainObject.Predmet.ProtuStrankaListFormatedWithAdressOIB>
    <izvorni_sadrzaj>
      <item>DUJMEX, d.o.o. za proizvodnju i trgovinu u stečaju, OIB 53440788001, Vladimira Nazora 2, 21260 Imotski</item>
    </izvorni_sadrzaj>
    <derivirana_varijabla naziv="DomainObject.Predmet.ProtuStrankaListFormatedWithAdressOIB_1">
      <item>DUJMEX, d.o.o. za proizvodnju i trgovinu u stečaju, OIB 53440788001, Vladimira Nazora 2, 21260 Imotski</item>
    </derivirana_varijabla>
  </DomainObject.Predmet.ProtuStrankaListFormatedWithAdressOIB>
  <DomainObject.Predmet.ProtuStrankaListNazivFormated>
    <izvorni_sadrzaj>
      <item>DUJMEX, d.o.o. za proizvodnju i trgovinu u stečaju</item>
    </izvorni_sadrzaj>
    <derivirana_varijabla naziv="DomainObject.Predmet.ProtuStrankaListNazivFormated_1">
      <item>DUJMEX, d.o.o. za proizvodnju i trgovinu u stečaju</item>
    </derivirana_varijabla>
  </DomainObject.Predmet.ProtuStrankaListNazivFormated>
  <DomainObject.Predmet.ProtuStrankaListNazivFormatedOIB>
    <izvorni_sadrzaj>
      <item>DUJMEX, d.o.o. za proizvodnju i trgovinu u stečaju, OIB 53440788001</item>
    </izvorni_sadrzaj>
    <derivirana_varijabla naziv="DomainObject.Predmet.ProtuStrankaListNazivFormatedOIB_1">
      <item>DUJMEX, d.o.o. za proizvodnju i trgovinu u stečaju, OIB 53440788001</item>
    </derivirana_varijabla>
  </DomainObject.Predmet.ProtuStrankaListNazivFormatedOIB>
  <DomainObject.Predmet.OstaliListFormated>
    <izvorni_sadrzaj>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izvorni_sadrzaj>
    <derivirana_varijabla naziv="DomainObject.Predmet.OstaliListFormated_1">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derivirana_varijabla>
  </DomainObject.Predmet.OstaliListFormated>
  <DomainObject.Predmet.OstaliListFormatedOIB>
    <izvorni_sadrzaj>
      <item>Ljiljana Dujmović, OIB 47288487201</item>
      <item>Županijsko državno odvjetništvo u Splitu, OIB 70793241859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izvorni_sadrzaj>
    <derivirana_varijabla naziv="DomainObject.Predmet.OstaliListFormatedOIB_1">
      <item>Ljiljana Dujmović, OIB 47288487201</item>
      <item>Županijsko državno odvjetništvo u Splitu, OIB 70793241859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derivirana_varijabla>
  </DomainObject.Predmet.OstaliListFormatedOIB>
  <DomainObject.Predmet.OstaliListFormatedWithAdress>
    <izvorni_sadrzaj>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_1">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derivirana_varijabla>
  </DomainObject.Predmet.OstaliListFormatedWithAdress>
  <DomainObject.Predmet.OstaliListFormatedWithAdressOIB>
    <izvorni_sadrzaj>
      <item>Ljiljana Dujmović, OIB 47288487201, Ul.fra.stjepana Vrljića 2, 21260 Imotski</item>
      <item>Županijsko državno odvjetništvo u Splitu, OIB 70793241859,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OIB_1">
      <item>Ljiljana Dujmović, OIB 47288487201, Ul.fra.stjepana Vrljića 2, 21260 Imotski</item>
      <item>Županijsko državno odvjetništvo u Splitu, OIB 70793241859,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derivirana_varijabla>
  </DomainObject.Predmet.OstaliListFormatedWithAdressOIB>
  <DomainObject.Predmet.OstaliListNazivFormated>
    <izvorni_sadrzaj>
      <item>Ljiljana Dujmović</item>
      <item>Županijsko državno odvjetništvo u Splitu</item>
      <item>Ante Rajčić</item>
      <item>Pavle Fellner</item>
      <item>Odvjetničko društvo RAVLIĆ &amp; ŠURJAK društvo s ograničenom odgovornošću</item>
    </izvorni_sadrzaj>
    <derivirana_varijabla naziv="DomainObject.Predmet.OstaliListNazivFormated_1">
      <item>Ljiljana Dujmović</item>
      <item>Županijsko državno odvjetništvo u Splitu</item>
      <item>Ante Rajčić</item>
      <item>Pavle Fellner</item>
      <item>Odvjetničko društvo RAVLIĆ &amp; ŠURJAK društvo s ograničenom odgovornošću</item>
    </derivirana_varijabla>
  </DomainObject.Predmet.OstaliListNazivFormated>
  <DomainObject.Predmet.OstaliListNazivFormatedOIB>
    <izvorni_sadrzaj>
      <item>Ljiljana Dujmović, OIB 47288487201</item>
      <item>Županijsko državno odvjetništvo u Splitu, OIB 70793241859</item>
      <item>Ante Rajčić</item>
      <item>Pavle Fellner, OIB 66210646862</item>
      <item>Odvjetničko društvo RAVLIĆ &amp; ŠURJAK društvo s ograničenom odgovornošću, OIB 94654904113</item>
    </izvorni_sadrzaj>
    <derivirana_varijabla naziv="DomainObject.Predmet.OstaliListNazivFormatedOIB_1">
      <item>Ljiljana Dujmović, OIB 47288487201</item>
      <item>Županijsko državno odvjetništvo u Splitu, OIB 70793241859</item>
      <item>Ante Rajčić</item>
      <item>Pavle Fellner, OIB 66210646862</item>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 REGIONALNI CENTAR SPLIT i dr.</izvorni_sadrzaj>
    <derivirana_varijabla naziv="DomainObject.Predmet.StrankaIDrugi_1">FINA, REGIONALNI CENTAR SPLIT i dr.</derivirana_varijabla>
  </DomainObject.Predmet.StrankaIDrugi>
  <DomainObject.Predmet.ProtustrankaIDrugi>
    <izvorni_sadrzaj>DUJMEX, d.o.o. za proizvodnju i trgovinu u stečaju</izvorni_sadrzaj>
    <derivirana_varijabla naziv="DomainObject.Predmet.ProtustrankaIDrugi_1">DUJMEX, d.o.o. za proizvodnju i trgovinu u stečaju</derivirana_varijabla>
  </DomainObject.Predmet.ProtustrankaIDrugi>
  <DomainObject.Predmet.StrankaIDrugiAdressOIB>
    <izvorni_sadrzaj>FINA, REGIONALNI CENTAR SPLIT, OIB 85821130368, Mažuranićevo šetalište 24 b, 21000 Split i dr.</izvorni_sadrzaj>
    <derivirana_varijabla naziv="DomainObject.Predmet.StrankaIDrugiAdressOIB_1">FINA, REGIONALNI CENTAR SPLIT, OIB 85821130368, Mažuranićevo šetalište 24 b, 21000 Split i dr.</derivirana_varijabla>
  </DomainObject.Predmet.StrankaIDrugiAdressOIB>
  <DomainObject.Predmet.ProtustrankaIDrugiAdressOIB>
    <izvorni_sadrzaj>DUJMEX, d.o.o. za proizvodnju i trgovinu u stečaju, OIB 53440788001, Vladimira Nazora 2, 21260 Imotski</izvorni_sadrzaj>
    <derivirana_varijabla naziv="DomainObject.Predmet.ProtustrankaIDrugiAdressOIB_1">DUJMEX, d.o.o. za proizvodnju i trgovinu u stečaju,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izvorni_sadrzaj>
    <derivirana_varijabla naziv="DomainObject.Predmet.SudioniciListNaziv_1">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derivirana_varijabla>
  </DomainObject.Predmet.SudioniciListNaziv>
  <DomainObject.Predmet.SudioniciListAdressOIB>
    <izvorni_sadrzaj>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OIB 70793241859,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izvorni_sadrzaj>
    <derivirana_varijabla naziv="DomainObject.Predmet.SudioniciListAdressOIB_1">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OIB 70793241859,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47288487201</item>
      <item>, OIB 75697108553</item>
      <item>, OIB 18683136487</item>
      <item>, OIB 70793241859</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izvorni_sadrzaj>
    <derivirana_varijabla naziv="DomainObject.Predmet.SudioniciListNazivOIB_1">
      <item>, OIB 85821130368</item>
      <item>, OIB 53440788001</item>
      <item>, OIB 47288487201</item>
      <item>, OIB 75697108553</item>
      <item>, OIB 18683136487</item>
      <item>, OIB 70793241859</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19. studenog 2018.</izvorni_sadrzaj>
    <derivirana_varijabla naziv="DomainObject.PredzadnjaOdlukaIzPredmeta.DatumDonosenjaOdluke_1">19. studenog 2018.</derivirana_varijabla>
  </DomainObject.PredzadnjaOdlukaIzPredmeta.DatumDonosenjaOdluke>
  <DomainObject.PredzadnjaOdlukaIzPredmeta.Oznaka>
    <izvorni_sadrzaj>St-495/2015-77</izvorni_sadrzaj>
    <derivirana_varijabla naziv="DomainObject.PredzadnjaOdlukaIzPredmeta.Oznaka_1">St-495/2015-77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88C7F8-1B14-4FFB-BDA4-4E22244923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622</properties:Words>
  <properties:Characters>3592</properties:Characters>
  <properties:Lines>85</properties:Lines>
  <properties:Paragraphs>28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2019-02-11T11:21:00Z</dcterms:created>
  <dc:creator>Katarina Mikulić</dc:creator>
  <cp:lastModifiedBy>Katarina Mikulić</cp:lastModifiedBy>
  <cp:lastPrinted>2019-02-11T12:49:00Z</cp:lastPrinted>
  <dcterms:modified xmlns:xsi="http://www.w3.org/2001/XMLSchema-instance" xsi:type="dcterms:W3CDTF">2019-02-11T12:49:00Z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344 SZ-a) (Rješenje o zaključenju stečajnog postupka.docx)</vt:lpwstr>
  </prop:property>
  <prop:property name="CC_coloring" pid="4" fmtid="{D5CDD505-2E9C-101B-9397-08002B2CF9AE}">
    <vt:bool>false</vt:bool>
  </prop:property>
  <prop:property name="BrojStranica" pid="5" fmtid="{D5CDD505-2E9C-101B-9397-08002B2CF9AE}">
    <vt:i4>2</vt:i4>
  </prop:property>
</prop:Properties>
</file>