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36df" w14:paraId="94c36df" w:rsidRDefault="00E60241" w:rsidP="00E60241" w:rsidR="00E60241">
      <w:pPr>
        <w:spacing w:after="0"/>
        <w:ind w:firstLine="142" w:right="-283"/>
        <w:jc w:val="center"/>
        <w15:collapsed w:val="false"/>
        <w:rPr>
          <w:rFonts w:hAnsi="Century Gothic" w:ascii="Century Gothic"/>
          <w:lang w:val="pl-PL"/>
        </w:rPr>
      </w:pPr>
      <w:bookmarkStart w:name="_GoBack" w:id="0"/>
      <w:bookmarkEnd w:id="0"/>
      <w:r>
        <w:rPr>
          <w:rFonts w:hAnsi="Century Gothic" w:ascii="Century Gothic"/>
          <w:lang w:val="pl-PL"/>
        </w:rPr>
        <w:t>DARTEKS d.o.o. za tekstilnu proizvodnju u stečaju, Daruvar, Matije Gupca 12,</w:t>
      </w:r>
    </w:p>
    <w:p w:rsidRDefault="00E60241" w:rsidP="00E60241" w:rsidR="00E60241">
      <w:pPr>
        <w:spacing w:after="0"/>
        <w:ind w:firstLine="142" w:right="-283"/>
        <w:jc w:val="center"/>
        <w:rPr>
          <w:rFonts w:hAnsi="Century Gothic" w:ascii="Century Gothic"/>
          <w:sz w:val="20"/>
          <w:szCs w:val="20"/>
          <w:lang w:val="pl-PL"/>
        </w:rPr>
      </w:pPr>
      <w:r>
        <w:rPr>
          <w:rFonts w:hAnsi="Century Gothic" w:ascii="Century Gothic"/>
          <w:lang w:val="pl-PL"/>
        </w:rPr>
        <w:t>OIB: 11872649279</w:t>
      </w:r>
      <w:r>
        <w:rPr>
          <w:rFonts w:hAnsi="Century Gothic" w:ascii="Century Gothic"/>
          <w:sz w:val="20"/>
          <w:szCs w:val="20"/>
          <w:lang w:val="pl-PL"/>
        </w:rPr>
        <w:t xml:space="preserve">, </w:t>
      </w:r>
      <w:r>
        <w:rPr>
          <w:rFonts w:eastAsiaTheme="minorEastAsia" w:cs="Arial" w:hAnsi="Century Gothic" w:ascii="Century Gothic"/>
        </w:rPr>
        <w:t>MBS: 010020215 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hAnsi="Century Gothic" w:ascii="Century Gothic"/>
          <w:lang w:val="pl-PL"/>
        </w:rPr>
        <w:t>1 St-797/2017</w:t>
      </w:r>
    </w:p>
    <w:p w:rsidRDefault="00E60241" w:rsidP="00E60241" w:rsidR="00E60241">
      <w:pPr>
        <w:spacing w:after="0"/>
        <w:ind w:firstLine="142" w:right="-283"/>
        <w:jc w:val="center"/>
        <w:rPr>
          <w:rFonts w:eastAsiaTheme="minorEastAsia" w:cs="Arial" w:hAnsi="Century Gothic" w:ascii="Century Gothic"/>
          <w:color w:val="C00000"/>
          <w:sz w:val="24"/>
          <w:szCs w:val="24"/>
          <w:u w:val="double"/>
        </w:rPr>
      </w:pPr>
      <w:r>
        <w:rPr>
          <w:rFonts w:eastAsiaTheme="minorEastAsia" w:cs="Arial" w:hAnsi="Century Gothic" w:ascii="Century Gothic"/>
          <w:color w:val="C00000"/>
          <w:sz w:val="24"/>
          <w:szCs w:val="24"/>
          <w:u w:val="double"/>
        </w:rPr>
        <w:t>___________________________________________________________________________</w:t>
      </w:r>
    </w:p>
    <w:p w:rsidRDefault="00E60241" w:rsidP="00E60241" w:rsidR="00E6024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color w:val="C00000"/>
          <w:kern w:val="3"/>
          <w:sz w:val="24"/>
          <w:szCs w:val="24"/>
          <w:lang w:bidi="hi-IN" w:eastAsia="zh-CN"/>
        </w:rPr>
      </w:pPr>
    </w:p>
    <w:p w:rsidRDefault="00E60241" w:rsidP="00E60241" w:rsidR="00E6024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>
        <w:rPr>
          <w:rFonts w:cs="Tahoma" w:eastAsia="SimSun" w:hAnsi="Century Gothic" w:ascii="Century Gothic"/>
          <w:kern w:val="3"/>
          <w:lang w:bidi="hi-IN" w:eastAsia="zh-CN"/>
        </w:rPr>
        <w:t>Nadležni trgovački sud:</w:t>
      </w:r>
      <w:r>
        <w:rPr>
          <w:rFonts w:cs="Tahoma" w:eastAsia="SimSun" w:hAnsi="Century Gothic" w:ascii="Century Gothic"/>
          <w:kern w:val="3"/>
          <w:lang w:bidi="hi-IN" w:eastAsia="zh-CN"/>
        </w:rPr>
        <w:tab/>
        <w:t>Trgovački sud u Bjelovaru</w:t>
      </w:r>
    </w:p>
    <w:p w:rsidRDefault="00E60241" w:rsidP="00E60241" w:rsidR="00E60241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E60241" w:rsidP="00E60241" w:rsidR="00E60241">
      <w:pPr>
        <w:spacing w:after="0"/>
        <w:ind w:right="-283"/>
        <w:rPr>
          <w:rFonts w:hAnsi="Century Gothic" w:ascii="Century Gothic"/>
          <w:sz w:val="20"/>
          <w:szCs w:val="20"/>
          <w:lang w:val="pl-PL"/>
        </w:rPr>
      </w:pPr>
      <w:r>
        <w:rPr>
          <w:rFonts w:cs="Tahoma" w:eastAsia="SimSun" w:hAnsi="Century Gothic" w:ascii="Century Gothic"/>
          <w:kern w:val="3"/>
          <w:lang w:bidi="hi-IN" w:eastAsia="zh-CN"/>
        </w:rPr>
        <w:t>Poslovni broj spisa:</w:t>
      </w:r>
      <w:r>
        <w:rPr>
          <w:rFonts w:cs="Tahoma" w:eastAsia="SimSun" w:hAnsi="Century Gothic" w:ascii="Century Gothic"/>
          <w:kern w:val="3"/>
          <w:lang w:bidi="hi-IN" w:eastAsia="zh-CN"/>
        </w:rPr>
        <w:tab/>
      </w:r>
      <w:r>
        <w:rPr>
          <w:rFonts w:cs="Tahoma" w:eastAsia="SimSun" w:hAnsi="Century Gothic" w:ascii="Century Gothic"/>
          <w:kern w:val="3"/>
          <w:lang w:bidi="hi-IN" w:eastAsia="zh-CN"/>
        </w:rPr>
        <w:tab/>
        <w:t xml:space="preserve"> </w:t>
      </w:r>
      <w:r>
        <w:rPr>
          <w:rFonts w:hAnsi="Century Gothic" w:ascii="Century Gothic"/>
          <w:lang w:val="pl-PL"/>
        </w:rPr>
        <w:t>1 St-797/2017</w:t>
      </w:r>
    </w:p>
    <w:p w:rsidRDefault="00E60241" w:rsidP="00E60241" w:rsidR="00E60241">
      <w:pPr>
        <w:spacing w:lineRule="auto" w:line="240" w:after="0"/>
        <w:ind w:hanging="2835" w:left="2835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E60241" w:rsidP="00E60241" w:rsidR="00E60241">
      <w:pPr>
        <w:spacing w:after="0"/>
        <w:ind w:right="-283"/>
        <w:jc w:val="both"/>
        <w:rPr>
          <w:rFonts w:hAnsi="Century Gothic" w:ascii="Century Gothic"/>
          <w:lang w:val="pl-PL"/>
        </w:rPr>
      </w:pPr>
      <w:r>
        <w:rPr>
          <w:rFonts w:cs="Tahoma" w:eastAsia="SimSun" w:hAnsi="Century Gothic" w:ascii="Century Gothic"/>
          <w:kern w:val="3"/>
          <w:lang w:bidi="hi-IN" w:eastAsia="zh-CN"/>
        </w:rPr>
        <w:t>Dužnik</w:t>
      </w:r>
      <w:r>
        <w:rPr>
          <w:rFonts w:cs="Tahoma" w:eastAsia="SimSun" w:hAnsi="Century Gothic" w:ascii="Century Gothic"/>
          <w:color w:val="C00000"/>
          <w:kern w:val="3"/>
          <w:lang w:bidi="hi-IN" w:eastAsia="zh-CN"/>
        </w:rPr>
        <w:t>:</w:t>
      </w:r>
      <w:r>
        <w:rPr>
          <w:rFonts w:hAnsi="Century Gothic" w:ascii="Century Gothic"/>
          <w:lang w:val="pl-PL"/>
        </w:rPr>
        <w:t xml:space="preserve"> </w:t>
      </w:r>
      <w:r>
        <w:rPr>
          <w:rFonts w:hAnsi="Century Gothic" w:ascii="Century Gothic"/>
          <w:lang w:val="pl-PL"/>
        </w:rPr>
        <w:tab/>
      </w:r>
      <w:r>
        <w:rPr>
          <w:rFonts w:hAnsi="Century Gothic" w:ascii="Century Gothic"/>
          <w:lang w:val="pl-PL"/>
        </w:rPr>
        <w:tab/>
      </w:r>
      <w:r>
        <w:rPr>
          <w:rFonts w:hAnsi="Century Gothic" w:ascii="Century Gothic"/>
          <w:lang w:val="pl-PL"/>
        </w:rPr>
        <w:tab/>
        <w:t xml:space="preserve">DARTEKS d.o.o. za tekstilnu proizvodnju u stečaju,  </w:t>
      </w:r>
    </w:p>
    <w:p w:rsidRDefault="00E60241" w:rsidP="00E60241" w:rsidR="00E60241">
      <w:pPr>
        <w:spacing w:after="0"/>
        <w:ind w:firstLine="708" w:right="-283" w:left="2124"/>
        <w:jc w:val="both"/>
        <w:rPr>
          <w:rFonts w:hAnsi="Century Gothic" w:ascii="Century Gothic"/>
          <w:lang w:val="pl-PL"/>
        </w:rPr>
      </w:pPr>
      <w:r>
        <w:rPr>
          <w:rFonts w:hAnsi="Century Gothic" w:ascii="Century Gothic"/>
          <w:lang w:val="pl-PL"/>
        </w:rPr>
        <w:t>OIB 11872649279, Daruvar, Matije Gupca 12</w:t>
      </w:r>
    </w:p>
    <w:p w:rsidRDefault="00E60241" w:rsidP="00E60241" w:rsidR="00E60241">
      <w:pPr>
        <w:spacing w:lineRule="auto" w:line="240" w:after="0"/>
        <w:ind w:hanging="2835" w:left="2835"/>
        <w:jc w:val="both"/>
        <w:rPr>
          <w:rFonts w:eastAsiaTheme="minorEastAsia" w:cs="Arial" w:hAnsi="Century Gothic" w:ascii="Century Gothic"/>
          <w:color w:val="C00000"/>
        </w:rPr>
      </w:pPr>
      <w:r>
        <w:rPr>
          <w:rFonts w:cs="Tahoma" w:eastAsia="SimSun" w:hAnsi="Century Gothic" w:ascii="Century Gothic"/>
          <w:color w:val="C00000"/>
          <w:kern w:val="3"/>
          <w:lang w:bidi="hi-IN" w:eastAsia="zh-CN"/>
        </w:rPr>
        <w:tab/>
      </w:r>
      <w:r>
        <w:rPr>
          <w:rFonts w:eastAsiaTheme="minorEastAsia" w:cs="Arial" w:hAnsi="Century Gothic" w:ascii="Century Gothic"/>
          <w:color w:val="C00000"/>
        </w:rPr>
        <w:t xml:space="preserve"> </w:t>
      </w:r>
    </w:p>
    <w:p w:rsidRDefault="00E60241" w:rsidP="00E60241" w:rsidR="00E60241">
      <w:pPr>
        <w:spacing w:lineRule="auto" w:line="240" w:after="0"/>
        <w:ind w:hanging="2832" w:left="2832"/>
        <w:rPr>
          <w:rFonts w:eastAsiaTheme="minorEastAsia" w:cs="Times New Roman" w:hAnsi="Century Gothic" w:ascii="Century Gothic"/>
          <w:color w:val="C00000"/>
        </w:rPr>
      </w:pPr>
      <w:r>
        <w:rPr>
          <w:rFonts w:eastAsiaTheme="minorEastAsia" w:cs="Times New Roman" w:hAnsi="Century Gothic" w:ascii="Century Gothic"/>
          <w:color w:val="C00000"/>
        </w:rPr>
        <w:tab/>
      </w:r>
      <w:r>
        <w:rPr>
          <w:rFonts w:eastAsiaTheme="minorEastAsia" w:cs="Times New Roman" w:hAnsi="Century Gothic" w:ascii="Century Gothic"/>
          <w:color w:val="C00000"/>
        </w:rPr>
        <w:tab/>
      </w:r>
      <w:r>
        <w:rPr>
          <w:rFonts w:eastAsiaTheme="minorEastAsia" w:cs="Times New Roman" w:hAnsi="Century Gothic" w:ascii="Century Gothic"/>
          <w:color w:val="C00000"/>
        </w:rPr>
        <w:tab/>
      </w:r>
    </w:p>
    <w:p w:rsidRDefault="00E60241" w:rsidP="00E60241" w:rsidR="00E60241">
      <w:pPr>
        <w:spacing w:lineRule="auto" w:line="240" w:after="0"/>
        <w:jc w:val="both"/>
        <w:rPr>
          <w:rFonts w:eastAsiaTheme="minorEastAsia" w:cs="Times New Roman" w:hAnsi="Century Gothic" w:ascii="Century Gothic"/>
          <w:color w:val="C00000"/>
        </w:rPr>
      </w:pPr>
    </w:p>
    <w:p w:rsidRDefault="00E60241" w:rsidP="00E60241" w:rsidR="00E60241">
      <w:pPr>
        <w:spacing w:after="0"/>
        <w:ind w:right="-283"/>
        <w:jc w:val="both"/>
        <w:rPr>
          <w:rFonts w:hAnsi="Century Gothic" w:ascii="Century Gothic"/>
          <w:lang w:val="pl-PL"/>
        </w:rPr>
      </w:pPr>
      <w:r>
        <w:rPr>
          <w:rFonts w:eastAsiaTheme="minorEastAsia" w:cs="Times New Roman" w:hAnsi="Century Gothic" w:ascii="Century Gothic"/>
        </w:rPr>
        <w:t xml:space="preserve">Na osnovu članka 227. Stečajnog zakona te Rješenja Trgovačkog suda u Bjelovaru, broj </w:t>
      </w:r>
      <w:r>
        <w:rPr>
          <w:rFonts w:cs="Tahoma" w:eastAsia="SimSun" w:hAnsi="Century Gothic" w:ascii="Century Gothic"/>
          <w:kern w:val="3"/>
          <w:lang w:bidi="hi-IN" w:eastAsia="zh-CN"/>
        </w:rPr>
        <w:t xml:space="preserve"> </w:t>
      </w:r>
      <w:r>
        <w:rPr>
          <w:rFonts w:hAnsi="Century Gothic" w:ascii="Century Gothic"/>
          <w:lang w:val="pl-PL"/>
        </w:rPr>
        <w:t>1 St-797/2017</w:t>
      </w:r>
      <w:r>
        <w:rPr>
          <w:rFonts w:hAnsi="Century Gothic" w:ascii="Century Gothic"/>
          <w:sz w:val="20"/>
          <w:szCs w:val="20"/>
          <w:lang w:val="pl-PL"/>
        </w:rPr>
        <w:t xml:space="preserve"> </w:t>
      </w:r>
      <w:r>
        <w:rPr>
          <w:rFonts w:hAnsi="Century Gothic" w:ascii="Century Gothic"/>
          <w:lang w:val="pl-PL"/>
        </w:rPr>
        <w:t>od</w:t>
      </w:r>
      <w:r>
        <w:rPr>
          <w:rFonts w:hAnsi="Century Gothic" w:ascii="Century Gothic"/>
          <w:sz w:val="20"/>
          <w:szCs w:val="20"/>
          <w:lang w:val="pl-PL"/>
        </w:rPr>
        <w:t xml:space="preserve"> </w:t>
      </w:r>
      <w:r>
        <w:rPr>
          <w:rFonts w:hAnsi="Century Gothic" w:ascii="Century Gothic"/>
          <w:lang w:val="pl-PL"/>
        </w:rPr>
        <w:t>15</w:t>
      </w:r>
      <w:r>
        <w:rPr>
          <w:rFonts w:eastAsiaTheme="minorEastAsia" w:cs="Times New Roman" w:hAnsi="Century Gothic" w:ascii="Century Gothic"/>
        </w:rPr>
        <w:t xml:space="preserve">. studenoga 2017. godine, stečajni upravitelj dužnika </w:t>
      </w:r>
      <w:r>
        <w:rPr>
          <w:rFonts w:hAnsi="Century Gothic" w:ascii="Century Gothic"/>
          <w:lang w:val="pl-PL"/>
        </w:rPr>
        <w:t xml:space="preserve">DARTEKS d.o.o. za tekstilnu proizvodnju u stečaju,  OIB 11872649279, Daruvar, Matije Gupca 12, </w:t>
      </w:r>
      <w:r>
        <w:rPr>
          <w:rFonts w:eastAsiaTheme="minorEastAsia" w:cs="Times New Roman" w:hAnsi="Century Gothic" w:ascii="Century Gothic"/>
        </w:rPr>
        <w:t>podnosi slijedeće</w:t>
      </w:r>
    </w:p>
    <w:p w:rsidRDefault="00E60241" w:rsidP="00E60241" w:rsidR="00E60241">
      <w:pPr>
        <w:spacing w:lineRule="auto" w:line="240" w:after="0"/>
        <w:jc w:val="both"/>
        <w:rPr>
          <w:rFonts w:eastAsiaTheme="minorEastAsia" w:cs="Arial" w:hAnsi="Century Gothic" w:ascii="Century Gothic"/>
        </w:rPr>
      </w:pPr>
    </w:p>
    <w:p w:rsidRDefault="00E60241" w:rsidP="00E60241" w:rsidR="00E60241">
      <w:pPr>
        <w:spacing w:lineRule="auto" w:line="240" w:after="0"/>
        <w:rPr>
          <w:rFonts w:eastAsiaTheme="minorEastAsia" w:cs="Arial" w:hAnsi="Arial" w:ascii="Arial"/>
          <w:sz w:val="21"/>
          <w:szCs w:val="21"/>
        </w:rPr>
      </w:pPr>
    </w:p>
    <w:p w:rsidRDefault="00E60241" w:rsidP="00E60241" w:rsidR="00E60241">
      <w:pPr>
        <w:spacing w:lineRule="auto" w:line="240" w:after="0"/>
        <w:jc w:val="center"/>
        <w:rPr>
          <w:rFonts w:eastAsiaTheme="minorEastAsia" w:cs="Arial" w:hAnsi="Century Gothic" w:ascii="Century Gothic"/>
          <w:b/>
          <w:sz w:val="24"/>
          <w:szCs w:val="24"/>
        </w:rPr>
      </w:pPr>
      <w:r>
        <w:rPr>
          <w:rFonts w:eastAsiaTheme="minorEastAsia" w:cs="Arial" w:hAnsi="Century Gothic" w:ascii="Century Gothic"/>
          <w:b/>
          <w:sz w:val="24"/>
          <w:szCs w:val="24"/>
        </w:rPr>
        <w:t>IZVJEŠĆE O GOSPODARSKOM POLOŽAJU DUŽNIKA</w:t>
      </w:r>
    </w:p>
    <w:p w:rsidRDefault="00E60241" w:rsidP="00E60241" w:rsidR="00E60241">
      <w:pPr>
        <w:spacing w:lineRule="auto" w:line="240" w:after="0"/>
        <w:jc w:val="center"/>
        <w:rPr>
          <w:rFonts w:eastAsiaTheme="minorEastAsia" w:cs="Arial" w:hAnsi="Century Gothic" w:ascii="Century Gothic"/>
          <w:b/>
          <w:sz w:val="24"/>
          <w:szCs w:val="24"/>
        </w:rPr>
      </w:pPr>
      <w:r>
        <w:rPr>
          <w:rFonts w:eastAsiaTheme="minorEastAsia" w:cs="Arial" w:hAnsi="Century Gothic" w:ascii="Century Gothic"/>
          <w:b/>
          <w:sz w:val="24"/>
          <w:szCs w:val="24"/>
        </w:rPr>
        <w:t>I NJEGOVIM UZROCIMA</w:t>
      </w:r>
    </w:p>
    <w:p w:rsidRDefault="00E60241" w:rsidP="00E60241" w:rsidR="00E60241">
      <w:pPr>
        <w:spacing w:lineRule="auto" w:line="240" w:after="0"/>
        <w:rPr>
          <w:rFonts w:eastAsiaTheme="minorEastAsia" w:cs="Arial" w:hAnsi="Century Gothic" w:ascii="Century Gothic"/>
          <w:sz w:val="24"/>
          <w:szCs w:val="24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lang w:eastAsia="ar-SA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lang w:eastAsia="ar-SA"/>
        </w:rPr>
      </w:pPr>
      <w:r>
        <w:rPr>
          <w:rFonts w:hAnsi="Century Gothic" w:ascii="Century Gothic"/>
          <w:lang w:eastAsia="ar-SA"/>
        </w:rPr>
        <w:t>I</w:t>
      </w:r>
      <w:r>
        <w:rPr>
          <w:rFonts w:hAnsi="Century Gothic" w:ascii="Century Gothic"/>
          <w:lang w:eastAsia="ar-SA"/>
        </w:rPr>
        <w:tab/>
        <w:t>UVODNE NAPOMENE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lang w:eastAsia="ar-SA"/>
        </w:rPr>
      </w:pPr>
      <w:r>
        <w:rPr>
          <w:rFonts w:hAnsi="Century Gothic" w:ascii="Century Gothic"/>
          <w:lang w:eastAsia="ar-SA"/>
        </w:rPr>
        <w:t xml:space="preserve"> 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color w:val="C00000"/>
          <w:lang w:eastAsia="ar-SA"/>
        </w:rPr>
      </w:pPr>
    </w:p>
    <w:p w:rsidRDefault="00E60241" w:rsidP="00E60241" w:rsidR="00E60241">
      <w:pPr>
        <w:spacing w:after="0"/>
        <w:jc w:val="both"/>
        <w:rPr>
          <w:rFonts w:hAnsi="Century Gothic" w:ascii="Century Gothic"/>
          <w:lang w:val="pl-PL"/>
        </w:rPr>
      </w:pPr>
      <w:r>
        <w:rPr>
          <w:rFonts w:eastAsia="Calibri" w:hAnsi="Century Gothic" w:ascii="Century Gothic"/>
          <w:bCs/>
          <w:spacing w:val="1"/>
          <w:w w:val="111"/>
        </w:rPr>
        <w:t xml:space="preserve">Predlagatelji Ivka Lončar iz Daruvara, Željko </w:t>
      </w:r>
      <w:proofErr w:type="spellStart"/>
      <w:r>
        <w:rPr>
          <w:rFonts w:eastAsia="Calibri" w:hAnsi="Century Gothic" w:ascii="Century Gothic"/>
          <w:bCs/>
          <w:spacing w:val="1"/>
          <w:w w:val="111"/>
        </w:rPr>
        <w:t>Turković</w:t>
      </w:r>
      <w:proofErr w:type="spellEnd"/>
      <w:r>
        <w:rPr>
          <w:rFonts w:eastAsia="Calibri" w:hAnsi="Century Gothic" w:ascii="Century Gothic"/>
          <w:bCs/>
          <w:spacing w:val="1"/>
          <w:w w:val="111"/>
        </w:rPr>
        <w:t xml:space="preserve"> iz Daruvara i Marica Svrtan iz Končanice podnijeli su dana 11. listopada 2017. godine prijedlog radi  pokretanje stečajnog postupka nad dužnikom </w:t>
      </w:r>
      <w:r>
        <w:rPr>
          <w:rFonts w:hAnsi="Century Gothic" w:ascii="Century Gothic"/>
          <w:lang w:val="pl-PL"/>
        </w:rPr>
        <w:t>DARTEKS d.o.o. za tekstilnu proizvodnju iz Daruvara, Matije Gupca 12.</w:t>
      </w:r>
    </w:p>
    <w:p w:rsidRDefault="00E60241" w:rsidP="00E60241" w:rsidR="00E60241">
      <w:pPr>
        <w:spacing w:after="0"/>
        <w:ind w:right="-283"/>
        <w:rPr>
          <w:rFonts w:eastAsia="Calibri" w:hAnsi="Century Gothic" w:ascii="Century Gothic"/>
          <w:bCs/>
          <w:spacing w:val="1"/>
          <w:w w:val="111"/>
        </w:rPr>
      </w:pPr>
    </w:p>
    <w:p w:rsidRDefault="00E60241" w:rsidP="00E60241" w:rsidR="00E60241">
      <w:pPr>
        <w:jc w:val="both"/>
        <w:rPr>
          <w:rFonts w:eastAsia="Calibri" w:hAnsi="Century Gothic" w:ascii="Century Gothic"/>
          <w:bCs/>
          <w:spacing w:val="1"/>
          <w:w w:val="111"/>
        </w:rPr>
      </w:pPr>
      <w:r>
        <w:rPr>
          <w:rFonts w:eastAsia="Calibri" w:hAnsi="Century Gothic" w:ascii="Century Gothic"/>
          <w:bCs/>
          <w:spacing w:val="1"/>
          <w:w w:val="111"/>
        </w:rPr>
        <w:t xml:space="preserve">Rješenjem br.1 St-797/2017-2 od 18. listopada 2017. godine Sud je pokrenuo prethodni postupak, radi utvrđivanja uvjeta za otvaranje stečajnog postupka nad  dužnikom.  </w:t>
      </w:r>
    </w:p>
    <w:p w:rsidRDefault="00E60241" w:rsidP="00E60241" w:rsidR="00E60241">
      <w:pPr>
        <w:spacing w:after="0"/>
        <w:jc w:val="both"/>
        <w:rPr>
          <w:rFonts w:eastAsia="Calibri" w:hAnsi="Century Gothic" w:ascii="Century Gothic"/>
          <w:bCs/>
          <w:spacing w:val="1"/>
          <w:w w:val="111"/>
        </w:rPr>
      </w:pPr>
      <w:r>
        <w:rPr>
          <w:rFonts w:eastAsia="Calibri" w:hAnsi="Century Gothic" w:ascii="Century Gothic"/>
          <w:bCs/>
          <w:spacing w:val="1"/>
          <w:w w:val="111"/>
        </w:rPr>
        <w:t>Ročište radi utvrđivanja uvjeta za otvaranje stečajnog postupka održano je 8.  studenoga  2017. godine.</w:t>
      </w:r>
    </w:p>
    <w:p w:rsidRDefault="00E60241" w:rsidP="00E60241" w:rsidR="00E60241">
      <w:pPr>
        <w:spacing w:after="0"/>
        <w:jc w:val="both"/>
        <w:rPr>
          <w:rFonts w:eastAsia="Calibri" w:hAnsi="Century Gothic" w:ascii="Century Gothic"/>
          <w:bCs/>
          <w:spacing w:val="1"/>
          <w:w w:val="111"/>
        </w:rPr>
      </w:pPr>
    </w:p>
    <w:p w:rsidRDefault="00E60241" w:rsidP="00E60241" w:rsidR="00E60241">
      <w:pPr>
        <w:spacing w:after="0"/>
        <w:jc w:val="both"/>
        <w:rPr>
          <w:rFonts w:eastAsia="Calibri" w:hAnsi="Century Gothic" w:ascii="Century Gothic"/>
          <w:bCs/>
          <w:spacing w:val="1"/>
          <w:w w:val="111"/>
        </w:rPr>
      </w:pPr>
      <w:r>
        <w:rPr>
          <w:rFonts w:eastAsia="Calibri" w:hAnsi="Century Gothic" w:ascii="Century Gothic"/>
          <w:bCs/>
          <w:spacing w:val="1"/>
          <w:w w:val="111"/>
        </w:rPr>
        <w:t>Na ročištu je zakonska zastupnica dužnika izjavila je da transakcijski račun u neprekidnoj blokadi od 3. kolovoza 2017. godine,</w:t>
      </w:r>
      <w:r>
        <w:t xml:space="preserve"> </w:t>
      </w:r>
      <w:r>
        <w:rPr>
          <w:rFonts w:eastAsia="Calibri" w:hAnsi="Century Gothic" w:ascii="Century Gothic"/>
          <w:bCs/>
          <w:spacing w:val="1"/>
          <w:w w:val="111"/>
        </w:rPr>
        <w:t xml:space="preserve">da su i dalje ispunjeni uvjeti za otvaranje stečajnog postupka, da nema izgleda da se isti otklone te da se ne protivi otvaranju stečajnog postupka nad dužnikom </w:t>
      </w:r>
      <w:proofErr w:type="spellStart"/>
      <w:r>
        <w:rPr>
          <w:rFonts w:eastAsia="Calibri" w:hAnsi="Century Gothic" w:ascii="Century Gothic"/>
          <w:bCs/>
          <w:spacing w:val="1"/>
          <w:w w:val="111"/>
        </w:rPr>
        <w:t>Darteks</w:t>
      </w:r>
      <w:proofErr w:type="spellEnd"/>
      <w:r>
        <w:rPr>
          <w:rFonts w:eastAsia="Calibri" w:hAnsi="Century Gothic" w:ascii="Century Gothic"/>
          <w:bCs/>
          <w:spacing w:val="1"/>
          <w:w w:val="111"/>
        </w:rPr>
        <w:t xml:space="preserve"> d.o.o. Daruvar.</w:t>
      </w:r>
    </w:p>
    <w:p w:rsidRDefault="00E60241" w:rsidP="00E60241" w:rsidR="00E60241">
      <w:pPr>
        <w:spacing w:after="0"/>
        <w:jc w:val="both"/>
        <w:rPr>
          <w:rFonts w:eastAsia="Calibri" w:hAnsi="Century Gothic" w:ascii="Century Gothic"/>
          <w:bCs/>
          <w:spacing w:val="1"/>
          <w:w w:val="111"/>
        </w:rPr>
      </w:pPr>
    </w:p>
    <w:p w:rsidRDefault="00E60241" w:rsidP="00E60241" w:rsidR="00E60241">
      <w:pPr>
        <w:spacing w:after="0"/>
        <w:jc w:val="both"/>
        <w:rPr>
          <w:rFonts w:eastAsiaTheme="minorEastAsia" w:cs="Tahoma" w:hAnsi="Century Gothic" w:ascii="Century Gothic"/>
        </w:rPr>
      </w:pPr>
      <w:r>
        <w:rPr>
          <w:rFonts w:eastAsia="Calibri" w:hAnsi="Century Gothic" w:ascii="Century Gothic"/>
          <w:bCs/>
          <w:spacing w:val="1"/>
          <w:w w:val="111"/>
        </w:rPr>
        <w:t xml:space="preserve">Trgovački sud u Bjelovaru donio je rješenje o </w:t>
      </w:r>
      <w:r>
        <w:rPr>
          <w:rFonts w:eastAsiaTheme="minorEastAsia" w:cs="Tahoma" w:hAnsi="Century Gothic" w:ascii="Century Gothic"/>
        </w:rPr>
        <w:t xml:space="preserve">otvaranju stečajnog postupka pod </w:t>
      </w:r>
      <w:r>
        <w:rPr>
          <w:rFonts w:eastAsia="Calibri" w:hAnsi="Century Gothic" w:ascii="Century Gothic"/>
          <w:spacing w:val="6"/>
        </w:rPr>
        <w:t xml:space="preserve">poslovnim brojem </w:t>
      </w:r>
      <w:r>
        <w:rPr>
          <w:rFonts w:hAnsi="Century Gothic" w:ascii="Century Gothic"/>
          <w:lang w:val="pl-PL"/>
        </w:rPr>
        <w:t xml:space="preserve"> 1 St-797/2017</w:t>
      </w:r>
      <w:r>
        <w:rPr>
          <w:rFonts w:eastAsiaTheme="minorEastAsia" w:cs="Tahoma" w:hAnsi="Century Gothic" w:ascii="Century Gothic"/>
        </w:rPr>
        <w:t xml:space="preserve">  dana 15. studenoga 2017. godine.   </w:t>
      </w:r>
    </w:p>
    <w:p w:rsidRDefault="00E60241" w:rsidP="00E60241" w:rsidR="00E60241">
      <w:pPr>
        <w:spacing w:after="0"/>
        <w:jc w:val="both"/>
        <w:rPr>
          <w:rFonts w:eastAsiaTheme="minorEastAsia" w:cs="Arial" w:hAnsi="Century Gothic" w:ascii="Century Gothic"/>
        </w:rPr>
      </w:pPr>
    </w:p>
    <w:p w:rsidRDefault="00E60241" w:rsidP="00E60241" w:rsidR="00E60241">
      <w:pPr>
        <w:spacing w:after="0"/>
        <w:jc w:val="both"/>
        <w:rPr>
          <w:rFonts w:eastAsiaTheme="minorEastAsia" w:cs="Arial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eastAsia="Calibri" w:hAnsi="Century Gothic" w:ascii="Century Gothic"/>
          <w:spacing w:val="6"/>
        </w:rPr>
      </w:pPr>
      <w:r>
        <w:rPr>
          <w:rFonts w:eastAsiaTheme="minorEastAsia" w:cs="Arial" w:hAnsi="Century Gothic" w:ascii="Century Gothic"/>
        </w:rPr>
        <w:t xml:space="preserve"> </w:t>
      </w:r>
    </w:p>
    <w:p w:rsidRDefault="00E60241" w:rsidP="00E60241" w:rsidR="00E60241">
      <w:pPr>
        <w:spacing w:lineRule="auto" w:line="288" w:after="0"/>
        <w:contextualSpacing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lastRenderedPageBreak/>
        <w:t>II</w:t>
      </w:r>
      <w:r>
        <w:rPr>
          <w:rFonts w:eastAsiaTheme="minorEastAsia" w:cs="Tahoma" w:hAnsi="Century Gothic" w:ascii="Century Gothic"/>
        </w:rPr>
        <w:tab/>
        <w:t xml:space="preserve">OPĆI PODACI O STEČAJNOM DUŽNIKU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z w:val="24"/>
          <w:szCs w:val="24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z w:val="24"/>
          <w:szCs w:val="24"/>
        </w:rPr>
      </w:pPr>
    </w:p>
    <w:p w:rsidRDefault="00E60241" w:rsidP="00E60241" w:rsidR="00E60241">
      <w:pPr>
        <w:spacing w:after="0"/>
        <w:jc w:val="both"/>
        <w:rPr>
          <w:rFonts w:cs="Arial" w:hAnsi="Century Gothic" w:ascii="Century Gothic"/>
        </w:rPr>
      </w:pPr>
      <w:r>
        <w:rPr>
          <w:rFonts w:cs="Times New Roman" w:hAnsi="Century Gothic" w:ascii="Century Gothic"/>
        </w:rPr>
        <w:t xml:space="preserve">Stečajni dužnik </w:t>
      </w:r>
      <w:r>
        <w:rPr>
          <w:rFonts w:hAnsi="Century Gothic" w:ascii="Century Gothic"/>
          <w:lang w:val="pl-PL"/>
        </w:rPr>
        <w:t>DARTEKS d.o.o. za tekstilnu proizvodnju u stečaju iz Daruvara, Matije Gupca 12</w:t>
      </w:r>
      <w:r>
        <w:rPr>
          <w:rFonts w:cs="Times New Roman" w:hAnsi="Century Gothic" w:ascii="Century Gothic"/>
        </w:rPr>
        <w:t xml:space="preserve">, OIB:11872649279, skraćena tvrtka </w:t>
      </w:r>
      <w:r>
        <w:rPr>
          <w:rFonts w:cs="Arial" w:hAnsi="Century Gothic" w:ascii="Century Gothic"/>
        </w:rPr>
        <w:t xml:space="preserve"> </w:t>
      </w:r>
      <w:r>
        <w:rPr>
          <w:rFonts w:hAnsi="Century Gothic" w:ascii="Century Gothic"/>
          <w:lang w:val="pl-PL"/>
        </w:rPr>
        <w:t>DARTEKS d.o.o.</w:t>
      </w:r>
      <w:r>
        <w:rPr>
          <w:rFonts w:cs="Arial" w:hAnsi="Century Gothic" w:ascii="Century Gothic"/>
        </w:rPr>
        <w:t xml:space="preserve"> u stečaju,  osnovano je kao SLID-TEKS d.o.o. i usklađeno s odredbama ZTD-a 28. prosinca 1995. godine. </w:t>
      </w:r>
    </w:p>
    <w:p w:rsidRDefault="00E60241" w:rsidP="00E60241" w:rsidR="00E60241">
      <w:pPr>
        <w:spacing w:after="0"/>
        <w:jc w:val="both"/>
        <w:rPr>
          <w:rFonts w:cs="Arial" w:hAnsi="Century Gothic" w:ascii="Century Gothic"/>
        </w:rPr>
      </w:pPr>
    </w:p>
    <w:p w:rsidRDefault="00E60241" w:rsidP="00E60241" w:rsidR="00E60241">
      <w:pPr>
        <w:spacing w:after="0"/>
        <w:jc w:val="both"/>
        <w:rPr>
          <w:rFonts w:cs="Arial" w:hAnsi="Century Gothic" w:ascii="Century Gothic"/>
        </w:rPr>
      </w:pPr>
      <w:r>
        <w:rPr>
          <w:rFonts w:cs="Arial" w:hAnsi="Century Gothic" w:ascii="Century Gothic"/>
        </w:rPr>
        <w:t xml:space="preserve">Odlukom o izmjeni Izjave o osnivanju od 01. veljače 2005. godine promijenjena je tvrtka, sjedište, članovi društva i djelatnosti te od 2005. godine društvo posluje pod  tvrtkom </w:t>
      </w:r>
      <w:proofErr w:type="spellStart"/>
      <w:r>
        <w:rPr>
          <w:rFonts w:cs="Arial" w:hAnsi="Century Gothic" w:ascii="Century Gothic"/>
        </w:rPr>
        <w:t>Darteks</w:t>
      </w:r>
      <w:proofErr w:type="spellEnd"/>
      <w:r>
        <w:rPr>
          <w:rFonts w:cs="Arial" w:hAnsi="Century Gothic" w:ascii="Century Gothic"/>
        </w:rPr>
        <w:t xml:space="preserve"> d.o.o. </w:t>
      </w:r>
      <w:r>
        <w:rPr>
          <w:rFonts w:cs="Times New Roman" w:hAnsi="Century Gothic" w:ascii="Century Gothic"/>
          <w:spacing w:val="12"/>
        </w:rPr>
        <w:t xml:space="preserve">i </w:t>
      </w:r>
      <w:r>
        <w:rPr>
          <w:rFonts w:cs="Times New Roman" w:hAnsi="Century Gothic" w:ascii="Century Gothic"/>
        </w:rPr>
        <w:t xml:space="preserve">upisano je kod Trgovačkog suda u Bjelovaru pod matičnim brojem subjekta  MBS:010020215.  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pacing w:val="12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pacing w:val="12"/>
        </w:rPr>
      </w:pPr>
      <w:r>
        <w:rPr>
          <w:rFonts w:cs="Times New Roman" w:hAnsi="Century Gothic" w:ascii="Century Gothic"/>
          <w:spacing w:val="12"/>
        </w:rPr>
        <w:t xml:space="preserve">Državni zavod za statistiku razvrstao je društvo pod jedinstvenim matičnim brojem 0537098, šifra djelatnosti za statističku evidenciju je 14.13 Djelatnost proizvodnje ostale vanjske odjeće.  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pacing w:val="12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pacing w:val="12"/>
        </w:rPr>
      </w:pPr>
      <w:r>
        <w:rPr>
          <w:rFonts w:cs="Times New Roman" w:hAnsi="Century Gothic" w:ascii="Century Gothic"/>
          <w:spacing w:val="12"/>
        </w:rPr>
        <w:t>Upisani temeljni kapital društva je 20.000,00 kuna.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pacing w:val="12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  <w:spacing w:val="12"/>
        </w:rPr>
      </w:pPr>
      <w:r>
        <w:rPr>
          <w:rFonts w:cs="Times New Roman" w:hAnsi="Century Gothic" w:ascii="Century Gothic"/>
          <w:spacing w:val="12"/>
        </w:rPr>
        <w:t xml:space="preserve">Osnivač društva je Bogumil </w:t>
      </w:r>
      <w:proofErr w:type="spellStart"/>
      <w:r>
        <w:rPr>
          <w:rFonts w:cs="Times New Roman" w:hAnsi="Century Gothic" w:ascii="Century Gothic"/>
          <w:spacing w:val="12"/>
        </w:rPr>
        <w:t>Kalenski</w:t>
      </w:r>
      <w:proofErr w:type="spellEnd"/>
      <w:r>
        <w:rPr>
          <w:rFonts w:cs="Times New Roman" w:hAnsi="Century Gothic" w:ascii="Century Gothic"/>
          <w:spacing w:val="12"/>
        </w:rPr>
        <w:t>, OIB: 31336900630, iz Daruvara,  Josipa Jelačića 104, kao jedini osnivač d.o.o.</w:t>
      </w:r>
    </w:p>
    <w:p w:rsidRDefault="00E60241" w:rsidP="00E60241" w:rsidR="00E60241">
      <w:pPr>
        <w:spacing w:lineRule="auto" w:line="240" w:after="0"/>
        <w:jc w:val="both"/>
        <w:rPr>
          <w:rFonts w:cs="Arial" w:eastAsia="Times New Roman" w:hAnsi="Century Gothic" w:ascii="Century Gothic"/>
        </w:rPr>
      </w:pPr>
      <w:r>
        <w:rPr>
          <w:rFonts w:cs="Times New Roman" w:hAnsi="Century Gothic" w:ascii="Century Gothic"/>
          <w:spacing w:val="12"/>
        </w:rPr>
        <w:t xml:space="preserve"> 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color w:val="C00000"/>
        </w:rPr>
      </w:pPr>
      <w:r>
        <w:rPr>
          <w:rFonts w:cs="Times New Roman" w:hAnsi="Century Gothic" w:ascii="Century Gothic"/>
        </w:rPr>
        <w:t>Osoba ovlaštena za zastupanje dužnika po zakonu do nastupanja pravnih posljedica otvaranja stečajnog postupka bila je Snježana Marinić</w:t>
      </w:r>
      <w:r>
        <w:rPr>
          <w:rFonts w:hAnsi="Century Gothic" w:ascii="Century Gothic"/>
        </w:rPr>
        <w:t xml:space="preserve">, Daruvar, Matije Gupca 95, direktor i  </w:t>
      </w:r>
      <w:r>
        <w:rPr>
          <w:rFonts w:cs="Times New Roman" w:hAnsi="Century Gothic" w:ascii="Century Gothic"/>
          <w:spacing w:val="12"/>
        </w:rPr>
        <w:t xml:space="preserve">Bogumil </w:t>
      </w:r>
      <w:proofErr w:type="spellStart"/>
      <w:r>
        <w:rPr>
          <w:rFonts w:cs="Times New Roman" w:hAnsi="Century Gothic" w:ascii="Century Gothic"/>
          <w:spacing w:val="12"/>
        </w:rPr>
        <w:t>Kalenski</w:t>
      </w:r>
      <w:proofErr w:type="spellEnd"/>
      <w:r>
        <w:rPr>
          <w:rFonts w:cs="Times New Roman" w:hAnsi="Century Gothic" w:ascii="Century Gothic"/>
          <w:spacing w:val="12"/>
        </w:rPr>
        <w:t>, OIB: 31336900630, Daruvar, Josipa Jelačića 104, prokurist.</w:t>
      </w:r>
    </w:p>
    <w:p w:rsidRDefault="00E60241" w:rsidP="00E60241" w:rsidR="00E60241">
      <w:pPr>
        <w:spacing w:lineRule="auto" w:line="288" w:after="0"/>
        <w:contextualSpacing/>
        <w:rPr>
          <w:rFonts w:eastAsiaTheme="minorEastAsia" w:cs="Tahoma" w:hAnsi="Century Gothic" w:ascii="Century Gothic"/>
          <w:color w:val="C00000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</w:rPr>
        <w:t>Stečajni dužnik je registrirao u sudskom registru kao predmet poslovanja slijedeće djelatnosti:</w:t>
      </w:r>
      <w:r>
        <w:rPr>
          <w:rFonts w:hAnsi="Century Gothic" w:ascii="Century Gothic"/>
          <w:noProof/>
        </w:rPr>
        <w:tab/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</w:rPr>
        <w:t>*</w:t>
      </w:r>
      <w:r>
        <w:rPr>
          <w:rFonts w:hAnsi="Century Gothic" w:ascii="Century Gothic"/>
          <w:noProof/>
          <w:color w:val="C00000"/>
        </w:rPr>
        <w:tab/>
      </w:r>
      <w:r>
        <w:rPr>
          <w:rFonts w:hAnsi="Century Gothic" w:ascii="Century Gothic"/>
          <w:noProof/>
          <w:sz w:val="20"/>
          <w:szCs w:val="20"/>
        </w:rPr>
        <w:t>Kupnja i prodaja robe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Obavljanje trgovačko posredovanja na domaćem i inozemnom tržištu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pripremanje hrane i pružanje usluga prehrane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pripremanje i usluživanje pića i napitaka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pružanje usluga smještaja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pripremanje hrane za potrošnju na drugom mjestu (u prijevoznim</w:t>
      </w:r>
    </w:p>
    <w:p w:rsidRDefault="00E60241" w:rsidP="00E60241" w:rsidR="00E60241">
      <w:pPr>
        <w:spacing w:lineRule="auto" w:line="240" w:after="0"/>
        <w:ind w:firstLine="708"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 xml:space="preserve"> sredstvima, na priredbama i sl.) opskrba tom hranom (catering)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tekstila i tekstilnih proizvoda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odjeće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pletenih i kukičanih proizvoda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pribora za odjeću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zastupanje inozemnih tvrtki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 xml:space="preserve">djelatnosti javnoga cestovnog prijevoza putnika i tereta u domaćem i 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ab/>
        <w:t>međunarodnom prometu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prijevoz za vlastite potrebe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skladištenje robe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ukrcaj, iskrcaj, prekrcaj, prijenos i skladištenje roba i drugih materijala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trgovina na malo tekstilom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trgovina na malo odjećom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projektiranje, građenje, uporaba i uklanjanje građevina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nadzor nad gradnjom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posredovanje u prometu nekretnina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poslovanje nekretninama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poslovi upravljanja nekretninom i održavanje nekretnina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lastRenderedPageBreak/>
        <w:t>*</w:t>
      </w:r>
      <w:r>
        <w:rPr>
          <w:rFonts w:hAnsi="Century Gothic" w:ascii="Century Gothic"/>
          <w:noProof/>
          <w:sz w:val="20"/>
          <w:szCs w:val="20"/>
        </w:rPr>
        <w:tab/>
        <w:t>računovodstveni poslovi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računalne i srodne djelatnosti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promidžba (reklama i propaganda)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izdavačka i tiskarska djelatnost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kože i predmeta od kože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proizvoda od gume i plastičnih masa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nakita i srodnih proizvoda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savjetovanje u vezi s poslovanjem i upravljanjem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proizvoda od drva, pluta, slame i pletarskih materijala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dizajn interijera, dizajn novih medija (multimedija), modni i drugi dizajn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pružanje usluga s dodanom vrijednosti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pružanje usluga informacijskog društva</w:t>
      </w:r>
    </w:p>
    <w:p w:rsidRDefault="00E60241" w:rsidP="00E60241" w:rsidR="00E60241">
      <w:pPr>
        <w:spacing w:lineRule="auto" w:line="240" w:after="0"/>
        <w:ind w:left="708"/>
        <w:jc w:val="both"/>
        <w:rPr>
          <w:rFonts w:hAnsi="Century Gothic" w:ascii="Century Gothic"/>
          <w:noProof/>
          <w:sz w:val="20"/>
          <w:szCs w:val="20"/>
        </w:rPr>
      </w:pPr>
      <w:r>
        <w:rPr>
          <w:rFonts w:hAnsi="Century Gothic" w:ascii="Century Gothic"/>
          <w:noProof/>
          <w:sz w:val="20"/>
          <w:szCs w:val="20"/>
        </w:rPr>
        <w:t>*</w:t>
      </w:r>
      <w:r>
        <w:rPr>
          <w:rFonts w:hAnsi="Century Gothic" w:ascii="Century Gothic"/>
          <w:noProof/>
          <w:sz w:val="20"/>
          <w:szCs w:val="20"/>
        </w:rPr>
        <w:tab/>
        <w:t>proizvodnja proizvoda od metala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noProof/>
          <w:color w:val="C00000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Dužnik je financijsko poslovanje obavljao putem transakcijskog računa    </w:t>
      </w:r>
    </w:p>
    <w:p w:rsidRDefault="00E60241" w:rsidP="00E60241" w:rsidR="00E60241">
      <w:pPr>
        <w:spacing w:lineRule="auto" w:line="240" w:after="0"/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HR3123400091110176990 otvorenog kod </w:t>
      </w:r>
      <w:r>
        <w:rPr>
          <w:rFonts w:cs="Helvetica" w:eastAsia="Times New Roman" w:hAnsi="Century Gothic" w:ascii="Century Gothic"/>
          <w:lang w:eastAsia="hr-HR"/>
        </w:rPr>
        <w:t>Privredne banka Zagreb d.d.,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  <w:r>
        <w:rPr>
          <w:rFonts w:cs="Helvetica" w:eastAsia="Times New Roman" w:hAnsi="Century Gothic" w:ascii="Century Gothic"/>
          <w:lang w:eastAsia="hr-HR"/>
        </w:rPr>
        <w:t xml:space="preserve"> 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Račun je zatvoren. </w:t>
      </w:r>
    </w:p>
    <w:p w:rsidRDefault="00E60241" w:rsidP="00E60241" w:rsidR="00E60241">
      <w:pPr>
        <w:spacing w:lineRule="auto" w:line="240" w:after="0"/>
        <w:ind w:left="142"/>
        <w:jc w:val="both"/>
        <w:rPr>
          <w:rFonts w:hAnsi="Century Gothic" w:ascii="Century Gothic"/>
          <w:lang w:eastAsia="ar-SA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color w:val="C00000"/>
        </w:rPr>
      </w:pPr>
    </w:p>
    <w:p w:rsidRDefault="00E60241" w:rsidP="00E60241" w:rsidR="00E60241">
      <w:pPr>
        <w:tabs>
          <w:tab w:pos="851" w:val="left"/>
        </w:tabs>
        <w:spacing w:lineRule="auto" w:line="240" w:after="0"/>
        <w:rPr>
          <w:rFonts w:eastAsiaTheme="minorEastAsia" w:cs="Arial" w:hAnsi="Century Gothic" w:ascii="Century Gothic"/>
        </w:rPr>
      </w:pPr>
      <w:r>
        <w:rPr>
          <w:rFonts w:eastAsiaTheme="minorEastAsia" w:cs="Times New Roman" w:hAnsi="Century Gothic" w:ascii="Century Gothic"/>
        </w:rPr>
        <w:t>III</w:t>
      </w:r>
      <w:r>
        <w:rPr>
          <w:rFonts w:eastAsiaTheme="minorEastAsia" w:cs="Times New Roman" w:hAnsi="Century Gothic" w:ascii="Century Gothic"/>
        </w:rPr>
        <w:tab/>
        <w:t xml:space="preserve"> </w:t>
      </w:r>
      <w:r>
        <w:rPr>
          <w:rFonts w:eastAsiaTheme="minorEastAsia" w:cs="Arial" w:hAnsi="Century Gothic" w:ascii="Century Gothic"/>
        </w:rPr>
        <w:t>IZVJEŠĆE O DOSADAŠNJEM TIJEKU STEČAJNOG POSTUPKA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  <w:r>
        <w:rPr>
          <w:rFonts w:eastAsiaTheme="minorEastAsia" w:hAnsi="Century Gothic" w:ascii="Century Gothic"/>
        </w:rPr>
        <w:t xml:space="preserve">Dužnost  sam preuzeo danom donošenja Rješenja o otvaranju stečajnog  postupka te uspostavio komunikaciju s osobom ovlaštenom za zastupanje dužnika po zakonu do nastupanja pravnih posljedica otvaranja stečajnog postupka, gosp. </w:t>
      </w:r>
      <w:r>
        <w:rPr>
          <w:rFonts w:hAnsi="Century Gothic" w:ascii="Century Gothic"/>
        </w:rPr>
        <w:t xml:space="preserve">Snježanom Marinić, koja je dostavila traženu dokumentaciju. 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</w:p>
    <w:p w:rsidRDefault="00E60241" w:rsidP="00E60241" w:rsidR="00E60241">
      <w:pPr>
        <w:spacing w:lineRule="auto" w:line="276" w:after="0"/>
        <w:jc w:val="both"/>
        <w:rPr>
          <w:rFonts w:eastAsiaTheme="minorEastAsia" w:cs="Times New Roman" w:hAnsi="Century Gothic" w:ascii="Century Gothic"/>
        </w:rPr>
      </w:pPr>
      <w:r>
        <w:rPr>
          <w:rFonts w:cs="Times New Roman" w:hAnsi="Century Gothic" w:ascii="Century Gothic"/>
        </w:rPr>
        <w:t>U dosadašnjem tijeku postupka</w:t>
      </w:r>
      <w:r>
        <w:rPr>
          <w:rFonts w:eastAsiaTheme="minorEastAsia" w:cs="Times New Roman" w:hAnsi="Century Gothic" w:ascii="Century Gothic"/>
        </w:rPr>
        <w:t xml:space="preserve"> poduzete su slijedeće radnje:</w:t>
      </w:r>
    </w:p>
    <w:p w:rsidRDefault="00E60241" w:rsidP="00E60241" w:rsidR="00E60241">
      <w:pPr>
        <w:numPr>
          <w:ilvl w:val="0"/>
          <w:numId w:val="1"/>
        </w:numPr>
        <w:spacing w:lineRule="auto" w:line="276" w:after="0"/>
        <w:contextualSpacing/>
        <w:jc w:val="both"/>
        <w:rPr>
          <w:rFonts w:eastAsiaTheme="minorEastAsia" w:cs="Times New Roman" w:hAnsi="Century Gothic" w:ascii="Century Gothic"/>
        </w:rPr>
      </w:pPr>
      <w:r>
        <w:rPr>
          <w:rFonts w:eastAsiaTheme="minorEastAsia" w:cs="Times New Roman" w:hAnsi="Century Gothic" w:ascii="Century Gothic"/>
        </w:rPr>
        <w:t xml:space="preserve">izrađen je novi pečat stečajnog dužnika s oznakom „u stečaju“, </w:t>
      </w:r>
    </w:p>
    <w:p w:rsidRDefault="00E60241" w:rsidP="00E60241" w:rsidR="00E60241">
      <w:pPr>
        <w:numPr>
          <w:ilvl w:val="0"/>
          <w:numId w:val="1"/>
        </w:numPr>
        <w:spacing w:lineRule="auto" w:line="276" w:after="0"/>
        <w:contextualSpacing/>
        <w:jc w:val="both"/>
        <w:rPr>
          <w:rFonts w:eastAsiaTheme="minorEastAsia" w:cs="Times New Roman" w:hAnsi="Century Gothic" w:ascii="Century Gothic"/>
        </w:rPr>
      </w:pPr>
      <w:r>
        <w:rPr>
          <w:rFonts w:eastAsiaTheme="minorEastAsia" w:cs="Arial" w:hAnsi="Century Gothic" w:ascii="Century Gothic"/>
        </w:rPr>
        <w:t>ishođena je obavijest</w:t>
      </w:r>
      <w:r>
        <w:rPr>
          <w:rFonts w:eastAsiaTheme="minorEastAsia" w:cs="Times New Roman" w:hAnsi="Century Gothic" w:ascii="Century Gothic"/>
        </w:rPr>
        <w:t xml:space="preserve"> o razvrstavanju poslovnog subjekta kod Državnog zavoda za statistiku,</w:t>
      </w:r>
    </w:p>
    <w:p w:rsidRDefault="00E60241" w:rsidP="00E60241" w:rsidR="00E60241">
      <w:pPr>
        <w:numPr>
          <w:ilvl w:val="0"/>
          <w:numId w:val="1"/>
        </w:numPr>
        <w:spacing w:lineRule="auto" w:line="276" w:after="0"/>
        <w:contextualSpacing/>
        <w:jc w:val="both"/>
        <w:rPr>
          <w:rFonts w:eastAsiaTheme="minorEastAsia" w:cs="Times New Roman" w:hAnsi="Century Gothic" w:ascii="Century Gothic"/>
          <w:strike/>
        </w:rPr>
      </w:pPr>
      <w:r>
        <w:rPr>
          <w:rFonts w:eastAsiaTheme="minorEastAsia" w:cs="Times New Roman" w:hAnsi="Century Gothic" w:ascii="Century Gothic"/>
        </w:rPr>
        <w:t xml:space="preserve">zatvoreni je postojeći transakcijski račun i otvoren novi račun Dužnika u stečaju,    </w:t>
      </w:r>
    </w:p>
    <w:p w:rsidRDefault="00E60241" w:rsidP="00E60241" w:rsidR="00E60241">
      <w:pPr>
        <w:numPr>
          <w:ilvl w:val="0"/>
          <w:numId w:val="1"/>
        </w:numPr>
        <w:spacing w:lineRule="auto" w:line="276" w:after="0"/>
        <w:contextualSpacing/>
        <w:jc w:val="both"/>
        <w:rPr>
          <w:rFonts w:eastAsiaTheme="minorEastAsia" w:cs="Times New Roman" w:hAnsi="Century Gothic" w:ascii="Century Gothic"/>
        </w:rPr>
      </w:pPr>
      <w:r>
        <w:rPr>
          <w:rFonts w:eastAsiaTheme="minorEastAsia" w:cs="Times New Roman" w:hAnsi="Century Gothic" w:ascii="Century Gothic"/>
        </w:rPr>
        <w:t xml:space="preserve">pozvani su dužnikovi dužnici da ispune svoje obveze,  </w:t>
      </w:r>
    </w:p>
    <w:p w:rsidRDefault="00E60241" w:rsidP="00E60241" w:rsidR="00E60241">
      <w:pPr>
        <w:numPr>
          <w:ilvl w:val="0"/>
          <w:numId w:val="2"/>
        </w:numPr>
        <w:spacing w:lineRule="auto" w:line="276" w:after="0"/>
        <w:contextualSpacing/>
        <w:jc w:val="both"/>
        <w:rPr>
          <w:rFonts w:eastAsiaTheme="minorEastAsia" w:cs="Times New Roman" w:hAnsi="Century Gothic" w:ascii="Century Gothic"/>
          <w:bCs/>
        </w:rPr>
      </w:pPr>
      <w:r>
        <w:rPr>
          <w:rFonts w:eastAsiaTheme="minorEastAsia" w:cs="Times New Roman" w:hAnsi="Century Gothic" w:ascii="Century Gothic"/>
          <w:bCs/>
        </w:rPr>
        <w:t xml:space="preserve">sastavljen je popis </w:t>
      </w:r>
      <w:r>
        <w:rPr>
          <w:rFonts w:eastAsiaTheme="minorEastAsia" w:cs="Times New Roman" w:hAnsi="Century Gothic" w:ascii="Century Gothic"/>
        </w:rPr>
        <w:t>predmeta stečajne mase sukladno čl. 221. Stečajnog zakona i sačinjen pregled imovine i obveza sukladno čl. 223. Stečajnog zakona,</w:t>
      </w:r>
    </w:p>
    <w:p w:rsidRDefault="00E60241" w:rsidP="00E60241" w:rsidR="00E60241">
      <w:pPr>
        <w:numPr>
          <w:ilvl w:val="0"/>
          <w:numId w:val="1"/>
        </w:numPr>
        <w:spacing w:lineRule="auto" w:line="276" w:after="0"/>
        <w:contextualSpacing/>
        <w:rPr>
          <w:rFonts w:eastAsiaTheme="minorEastAsia" w:cs="Times New Roman" w:hAnsi="Century Gothic" w:ascii="Century Gothic"/>
        </w:rPr>
      </w:pPr>
      <w:r>
        <w:rPr>
          <w:rFonts w:eastAsiaTheme="minorEastAsia" w:cs="Times New Roman" w:hAnsi="Century Gothic" w:ascii="Century Gothic"/>
        </w:rPr>
        <w:t xml:space="preserve">sastavljena je tablica prijavljenih tražbina, </w:t>
      </w:r>
      <w:proofErr w:type="spellStart"/>
      <w:r>
        <w:rPr>
          <w:rFonts w:eastAsiaTheme="minorEastAsia" w:cs="Times New Roman" w:hAnsi="Century Gothic" w:ascii="Century Gothic"/>
        </w:rPr>
        <w:t>razlučnih</w:t>
      </w:r>
      <w:proofErr w:type="spellEnd"/>
      <w:r>
        <w:rPr>
          <w:rFonts w:eastAsiaTheme="minorEastAsia" w:cs="Times New Roman" w:hAnsi="Century Gothic" w:ascii="Century Gothic"/>
        </w:rPr>
        <w:t xml:space="preserve"> i izlučnih prava.</w:t>
      </w:r>
    </w:p>
    <w:p w:rsidRDefault="00E60241" w:rsidP="00E60241" w:rsidR="00E60241">
      <w:pPr>
        <w:spacing w:lineRule="auto" w:line="276" w:after="0"/>
        <w:ind w:left="720"/>
        <w:contextualSpacing/>
        <w:rPr>
          <w:rFonts w:eastAsiaTheme="minorEastAsia" w:cs="Times New Roman" w:hAnsi="Century Gothic" w:ascii="Century Gothic"/>
        </w:rPr>
      </w:pPr>
    </w:p>
    <w:p w:rsidRDefault="00E60241" w:rsidP="00E60241" w:rsidR="00E60241">
      <w:pPr>
        <w:spacing w:lineRule="auto" w:line="276" w:after="0"/>
        <w:contextualSpacing/>
        <w:jc w:val="both"/>
        <w:rPr>
          <w:rFonts w:eastAsiaTheme="minorEastAsia" w:cs="Times New Roman" w:hAnsi="Century Gothic" w:ascii="Century Gothic"/>
        </w:rPr>
      </w:pPr>
      <w:r>
        <w:rPr>
          <w:rFonts w:eastAsiaTheme="minorEastAsia" w:cs="Times New Roman" w:hAnsi="Century Gothic" w:ascii="Century Gothic"/>
        </w:rPr>
        <w:t>Uvidom u raspoloživu dokumentaciju, stečajni upravitelj je utvrdio da je za nekretninu u vlasništvu stečajnog dužnika, u naravi upravna zgrada, sklopljen Ugovor o zakupu poslovnoga prostora. Kako se radi o uredskom prostoru koji stečajnom dužniku nije potreban za obavljanje djelatnosti, a odredbom čl. 186. Stečajnog zakona propisano da najam i zakup nekretnina ili prostorija ne prestaju otvaranjem stečajnoga postupka, ovaj ugovor iz razloga ekonomičnosti nije otkazan, ali je izmijenjen u dijelu odredbi o cijeni zakupa, na način da je zakupnina povećana s iznosa od 1.350,00 kuna na iznos od 1.800,00 kuna mjesečno, uvećano za pripadajući iznos  PDV-a te obvezu plaćanja svih režijskih troškova.</w:t>
      </w:r>
    </w:p>
    <w:p w:rsidRDefault="00E60241" w:rsidP="00E60241" w:rsidR="00E60241">
      <w:pPr>
        <w:spacing w:lineRule="auto" w:line="276" w:after="0"/>
        <w:contextualSpacing/>
        <w:jc w:val="both"/>
        <w:rPr>
          <w:rFonts w:eastAsiaTheme="minorEastAsia" w:cs="Times New Roman" w:hAnsi="Century Gothic" w:ascii="Century Gothic"/>
        </w:rPr>
      </w:pP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lastRenderedPageBreak/>
        <w:t xml:space="preserve">Na dan otvaranja stečajnog postupka stečajni dužnik je zapošljavao 11 radnika. Ugovori o radu su otkazani temeljem odredbe čl.191. t.3. Stečajnog zakona. 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Sukladno odredbi čl.156. st.5. Stečajnog zakona radnicima stečajnoga dužnika su isplaćene tražbine nastale nakon otvaranja stečajnoga postupka do prestanka radnog odnosa. 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Sredstva su osigurana naplatom dijela obveza koje Vesna tekstilna industrija d.o.o. ima prema stečajnom dužniku na dan otvaranja stečajnog postupka u iznosu od 196.116,33 kuna, te naplaćene zakupnine za poslovni prostor.  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imes New Roman" w:hAnsi="Century Gothic" w:ascii="Century Gothic"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IV</w:t>
      </w:r>
      <w:r>
        <w:rPr>
          <w:rFonts w:eastAsiaTheme="minorEastAsia" w:cs="Tahoma" w:hAnsi="Century Gothic" w:ascii="Century Gothic"/>
          <w:bCs/>
        </w:rPr>
        <w:tab/>
        <w:t>POSLOVANJE DUŽNIKA</w:t>
      </w:r>
      <w:r>
        <w:rPr>
          <w:rFonts w:eastAsiaTheme="minorEastAsia" w:cs="Tahoma" w:hAnsi="Century Gothic" w:ascii="Century Gothic"/>
          <w:b/>
          <w:bCs/>
        </w:rPr>
        <w:t xml:space="preserve"> </w:t>
      </w:r>
      <w:r>
        <w:rPr>
          <w:rFonts w:eastAsiaTheme="minorEastAsia" w:cs="Tahoma" w:hAnsi="Century Gothic" w:ascii="Century Gothic"/>
          <w:bCs/>
        </w:rPr>
        <w:t>- UZROCI STEČAJA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cs="Arial" w:hAnsi="Century Gothic" w:ascii="Century Gothic"/>
        </w:rPr>
        <w:t xml:space="preserve">U prethodnom periodu stečajni dužnik je najveći obim posla obavljao u suradnji s njemačkom tvrtkom </w:t>
      </w:r>
      <w:r>
        <w:rPr>
          <w:rFonts w:eastAsiaTheme="minorEastAsia" w:cs="Tahoma" w:hAnsi="Century Gothic" w:ascii="Century Gothic"/>
          <w:bCs/>
        </w:rPr>
        <w:t xml:space="preserve">MARC CAIN.  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Dužnik je tijekom proteklog petogodišnjeg razdoblja zapošljavao prosječno 97 radnika.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Ukupni prihodi su stabilni i u periodu od 2012 - 2015 godine iznose prosječno </w:t>
      </w:r>
      <w:proofErr w:type="spellStart"/>
      <w:r>
        <w:rPr>
          <w:rFonts w:eastAsiaTheme="minorEastAsia" w:cs="Tahoma" w:hAnsi="Century Gothic" w:ascii="Century Gothic"/>
          <w:bCs/>
        </w:rPr>
        <w:t>cca</w:t>
      </w:r>
      <w:proofErr w:type="spellEnd"/>
      <w:r>
        <w:rPr>
          <w:rFonts w:eastAsiaTheme="minorEastAsia" w:cs="Tahoma" w:hAnsi="Century Gothic" w:ascii="Century Gothic"/>
          <w:bCs/>
        </w:rPr>
        <w:t xml:space="preserve"> 7.500.000,00 kuna.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U proteklih 5 godina Društvo kontinuirano iskazuje dobit iz poslovanja. 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U periodu od 2012 - 2015  godine iskazana dobit po poslovnoj godini iznosi prosječno 93.700,00 kuna. 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U nastavku je sažetak osnovnih pokazatelja poslovanja stečajnog dužnika po godinama.  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cs="Times New Roman" w:eastAsia="Times New Roman" w:hAnsi="Century Gothic" w:ascii="Century Gothic"/>
          <w:noProof/>
          <w:lang w:eastAsia="hr-HR"/>
        </w:rPr>
        <w:lastRenderedPageBreak/>
        <w:drawing>
          <wp:inline distR="0" distL="0" distB="0" distT="0">
            <wp:extent cy="4163695" cx="5762625"/>
            <wp:effectExtent b="8255" r="9525" t="0" l="0"/>
            <wp:docPr descr="IMG_4026 (003)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G_4026 (003)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63695" cx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Na poslovanje dužnika odrazili su se i geopolitički odnosi,  zbog sankcija Rusiji njemački partner je izgubio dio svog tržišta te posljedično obustavio suradnju s dužnikom, a to rezultira problemima sa zaposlenošću kapaciteta. Iz financijskih izvještaja je vidljivo da od 2014. godine dužnik više ne ostvaruje prihode od izvoza, iako su prihodi i dalje stabilni.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Značajniji pad prihoda vidljiv je u 2016. godini kada dužnik ostvaruje manji ukupni prihod za 1.214.000, 00 kuna, što čini pad od </w:t>
      </w:r>
      <w:proofErr w:type="spellStart"/>
      <w:r>
        <w:rPr>
          <w:rFonts w:eastAsiaTheme="minorEastAsia" w:cs="Tahoma" w:hAnsi="Century Gothic" w:ascii="Century Gothic"/>
          <w:bCs/>
        </w:rPr>
        <w:t>cca</w:t>
      </w:r>
      <w:proofErr w:type="spellEnd"/>
      <w:r>
        <w:rPr>
          <w:rFonts w:eastAsiaTheme="minorEastAsia" w:cs="Tahoma" w:hAnsi="Century Gothic" w:ascii="Century Gothic"/>
          <w:bCs/>
        </w:rPr>
        <w:t xml:space="preserve"> 16% u odnosu na prethodnu godinu.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Unatoč tome, dužnik je poslovnu godinu okončao s dobiti, dobit je iskazana u iznosu od 201.700,00 kuna, što je gotovo dvostruko veći iznos u odnosu na prethodnu godinu kada je iskazana dobit od 103.600,00 kuna. 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Dobit je svih godina isplaćena članu društva u cijelosti, a u Bilanci za 2017. godinu iskazan je više isplaćeni predujam u odnosu na dobitak u iznosu od 27.420,67 kuna,  za što će stečajni upravitelj tražiti povrat.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Detaljnijim pregledom dostupne dokumentacije o primljenim pozajmicama utvrđeno je da je stečajni dužnik  sklapao Ugovore o pozajmicama tijekom 2014., 2015. i 2016. godine u ukupnom iznosu</w:t>
      </w:r>
      <w:r>
        <w:rPr>
          <w:rFonts w:hAnsi="Century Gothic" w:ascii="Century Gothic"/>
        </w:rPr>
        <w:t xml:space="preserve"> od 510.000,00 kuna.</w:t>
      </w:r>
    </w:p>
    <w:p w:rsidRDefault="00E60241" w:rsidP="00E60241" w:rsidR="00E60241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 2017. godini nastavlja se niz pozajmica i ukupno je pozajmljen iznos od 388.000,00 kuna.</w:t>
      </w:r>
    </w:p>
    <w:p w:rsidRDefault="00E60241" w:rsidP="00E60241" w:rsidR="00E60241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lastRenderedPageBreak/>
        <w:t xml:space="preserve">Sve pozajmice su odobrene za tekuću likvidnost i podmirenje obveza, beskamatno na godinu dana, Aneksima i Dodacima Ugovorima za većinu ugovora je rok otplate prolongiran, zajmodavac je Vesna tekstilna industrija d.o.o. </w:t>
      </w:r>
    </w:p>
    <w:p w:rsidRDefault="00E60241" w:rsidP="00E60241" w:rsidR="00E60241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Sve ugovore i za zajmodavca i zajmoprimca potpisala je ista osoba, direktorica Snježana Marinić.</w:t>
      </w:r>
    </w:p>
    <w:p w:rsidRDefault="00E60241" w:rsidP="00E60241" w:rsidR="00E60241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Nijedna od naznačenih pozajmica nije vraćena.   </w:t>
      </w:r>
    </w:p>
    <w:p w:rsidRDefault="00E60241" w:rsidP="00E60241" w:rsidR="00E60241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Uvidom u dostupnu dokumentaciju utvrđeno je da je dužnik uz financijska izvješća predaje i Izvješće o poslovnim događajima s povezanim osobama te da su kao povezane osobe naznačena trgovačka društva VESNA tekstilna industrija d.o.o., OIB:31352432777 i INTEKS d.o.o., OIB:21898212908 s oznakom povezanosti S - srodnik.</w:t>
      </w:r>
    </w:p>
    <w:p w:rsidRDefault="00E60241" w:rsidP="00E60241" w:rsidR="00E60241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Povezanost proizlazi iz činjenice da upravu sva tri trgovačka društva čini ista osoba u svojstvu direktora, te da je osnivač dužnika krvni srodnik u ravnoj liniji osnivača drugog društva Vesna tekstilna industrija d.o.o. i direktora sva tri društva.  </w:t>
      </w:r>
    </w:p>
    <w:p w:rsidRDefault="00E60241" w:rsidP="00E60241" w:rsidR="00E60241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Tijekom 2017. godine stečajni dužnik je imao problema s likvidnošću, koje probleme nastoji prevladati prodajom nekretnina.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hAnsi="Century Gothic" w:ascii="Century Gothic"/>
        </w:rPr>
        <w:t xml:space="preserve">Ugovorom o kupoprodaji nekretnine sklopljenim između </w:t>
      </w:r>
      <w:proofErr w:type="spellStart"/>
      <w:r>
        <w:rPr>
          <w:rFonts w:hAnsi="Century Gothic" w:ascii="Century Gothic"/>
        </w:rPr>
        <w:t>Darteks</w:t>
      </w:r>
      <w:proofErr w:type="spellEnd"/>
      <w:r>
        <w:rPr>
          <w:rFonts w:hAnsi="Century Gothic" w:ascii="Century Gothic"/>
        </w:rPr>
        <w:t xml:space="preserve"> d.o.o. kao prodavatelja i Tihomira Horvat iz Daruvara, Trg branitelja Daruvara 5, kao kupca od 16. veljače 2017. godine stečajni dužnik je prodao nekretninu upisanu u zemljišne knjige Općinskog suda u Bjelovaru, Zemljišnoknjižni odjel Daruvar, k.o. 304107 Daruvar,  </w:t>
      </w:r>
      <w:proofErr w:type="spellStart"/>
      <w:r>
        <w:rPr>
          <w:rFonts w:hAnsi="Century Gothic" w:ascii="Century Gothic"/>
        </w:rPr>
        <w:t>zk</w:t>
      </w:r>
      <w:proofErr w:type="spellEnd"/>
      <w:r>
        <w:rPr>
          <w:rFonts w:hAnsi="Century Gothic" w:ascii="Century Gothic"/>
        </w:rPr>
        <w:t xml:space="preserve">. ul.  1070, </w:t>
      </w:r>
      <w:proofErr w:type="spellStart"/>
      <w:r>
        <w:rPr>
          <w:rFonts w:hAnsi="Century Gothic" w:ascii="Century Gothic"/>
        </w:rPr>
        <w:t>čkbr</w:t>
      </w:r>
      <w:proofErr w:type="spellEnd"/>
      <w:r>
        <w:rPr>
          <w:rFonts w:hAnsi="Century Gothic" w:ascii="Century Gothic"/>
        </w:rPr>
        <w:t>. 816,  stambena zgrada i dvor  u ulici Matije Gupca površine 560 m</w:t>
      </w:r>
      <w:r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 xml:space="preserve"> i kč.br. 817 oranica površine 573 m</w:t>
      </w:r>
      <w:r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, ukupno 1133 m</w:t>
      </w:r>
      <w:r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 xml:space="preserve"> .</w:t>
      </w:r>
      <w:r>
        <w:rPr>
          <w:rFonts w:eastAsiaTheme="minorEastAsia" w:cs="Tahoma" w:hAnsi="Century Gothic" w:ascii="Century Gothic"/>
          <w:bCs/>
          <w:color w:val="C00000"/>
        </w:rPr>
        <w:t xml:space="preserve"> </w:t>
      </w:r>
      <w:r>
        <w:rPr>
          <w:rFonts w:eastAsiaTheme="minorEastAsia" w:cs="Tahoma" w:hAnsi="Century Gothic" w:ascii="Century Gothic"/>
          <w:bCs/>
        </w:rPr>
        <w:t>Kupoprodajna cijena utvrđena je u iznosu od 195.000,00 kn i uplaćena na račun prodavatelja 17. veljače 2017. godine.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Dana 27. lipnja 2017. godine sklopljen je  Ugovor o kupoprodaji nekretnine između </w:t>
      </w:r>
      <w:proofErr w:type="spellStart"/>
      <w:r>
        <w:rPr>
          <w:rFonts w:eastAsiaTheme="minorEastAsia" w:cs="Tahoma" w:hAnsi="Century Gothic" w:ascii="Century Gothic"/>
          <w:bCs/>
        </w:rPr>
        <w:t>Darteks</w:t>
      </w:r>
      <w:proofErr w:type="spellEnd"/>
      <w:r>
        <w:rPr>
          <w:rFonts w:eastAsiaTheme="minorEastAsia" w:cs="Tahoma" w:hAnsi="Century Gothic" w:ascii="Century Gothic"/>
          <w:bCs/>
        </w:rPr>
        <w:t xml:space="preserve"> d.o.o. kao prodavatelja i Bogumila </w:t>
      </w:r>
      <w:proofErr w:type="spellStart"/>
      <w:r>
        <w:rPr>
          <w:rFonts w:eastAsiaTheme="minorEastAsia" w:cs="Tahoma" w:hAnsi="Century Gothic" w:ascii="Century Gothic"/>
          <w:bCs/>
        </w:rPr>
        <w:t>Kalenski</w:t>
      </w:r>
      <w:proofErr w:type="spellEnd"/>
      <w:r>
        <w:rPr>
          <w:rFonts w:eastAsiaTheme="minorEastAsia" w:cs="Tahoma" w:hAnsi="Century Gothic" w:ascii="Century Gothic"/>
          <w:bCs/>
        </w:rPr>
        <w:t xml:space="preserve"> iz Daruvara, Josipa Jelačića 104, kao kupca, kojim Ugovorom je stečajni dužnik prodao nekretninu upisanu u zemljišne knjige Općinskog suda u Bjelovaru, Zemljišnoknjižni odjel Daruvar, k.o. 304107 Daruvar,  </w:t>
      </w:r>
      <w:proofErr w:type="spellStart"/>
      <w:r>
        <w:rPr>
          <w:rFonts w:eastAsiaTheme="minorEastAsia" w:cs="Tahoma" w:hAnsi="Century Gothic" w:ascii="Century Gothic"/>
          <w:bCs/>
        </w:rPr>
        <w:t>zk</w:t>
      </w:r>
      <w:proofErr w:type="spellEnd"/>
      <w:r>
        <w:rPr>
          <w:rFonts w:eastAsiaTheme="minorEastAsia" w:cs="Tahoma" w:hAnsi="Century Gothic" w:ascii="Century Gothic"/>
          <w:bCs/>
        </w:rPr>
        <w:t xml:space="preserve">. ul. 3360, </w:t>
      </w:r>
      <w:proofErr w:type="spellStart"/>
      <w:r>
        <w:rPr>
          <w:rFonts w:eastAsiaTheme="minorEastAsia" w:cs="Tahoma" w:hAnsi="Century Gothic" w:ascii="Century Gothic"/>
          <w:bCs/>
        </w:rPr>
        <w:t>čkbr</w:t>
      </w:r>
      <w:proofErr w:type="spellEnd"/>
      <w:r>
        <w:rPr>
          <w:rFonts w:eastAsiaTheme="minorEastAsia" w:cs="Tahoma" w:hAnsi="Century Gothic" w:ascii="Century Gothic"/>
          <w:bCs/>
        </w:rPr>
        <w:t>. 818/2,  Matije Gupca površine 246 m</w:t>
      </w:r>
      <w:r>
        <w:rPr>
          <w:rFonts w:eastAsiaTheme="minorEastAsia" w:cs="Tahoma" w:hAnsi="Century Gothic" w:ascii="Century Gothic"/>
          <w:bCs/>
          <w:vertAlign w:val="superscript"/>
        </w:rPr>
        <w:t>2</w:t>
      </w:r>
      <w:r>
        <w:rPr>
          <w:rFonts w:eastAsiaTheme="minorEastAsia" w:cs="Tahoma" w:hAnsi="Century Gothic" w:ascii="Century Gothic"/>
          <w:bCs/>
        </w:rPr>
        <w:t xml:space="preserve"> i to dvorište 197 m</w:t>
      </w:r>
      <w:r>
        <w:rPr>
          <w:rFonts w:eastAsiaTheme="minorEastAsia" w:cs="Tahoma" w:hAnsi="Century Gothic" w:ascii="Century Gothic"/>
          <w:bCs/>
          <w:vertAlign w:val="superscript"/>
        </w:rPr>
        <w:t>2</w:t>
      </w:r>
      <w:r>
        <w:rPr>
          <w:rFonts w:eastAsiaTheme="minorEastAsia" w:cs="Tahoma" w:hAnsi="Century Gothic" w:ascii="Century Gothic"/>
          <w:bCs/>
        </w:rPr>
        <w:t xml:space="preserve"> i pomoćna zgrada Daruvar, Matije Gupca površine 49 m</w:t>
      </w:r>
      <w:r>
        <w:rPr>
          <w:rFonts w:eastAsiaTheme="minorEastAsia" w:cs="Tahoma" w:hAnsi="Century Gothic" w:ascii="Century Gothic"/>
          <w:bCs/>
          <w:vertAlign w:val="superscript"/>
        </w:rPr>
        <w:t>2</w:t>
      </w:r>
      <w:r>
        <w:rPr>
          <w:rFonts w:eastAsiaTheme="minorEastAsia" w:cs="Tahoma" w:hAnsi="Century Gothic" w:ascii="Century Gothic"/>
          <w:bCs/>
        </w:rPr>
        <w:t>. Kupoprodajna cijena utvrđena je u iznosu od 20.000,00 kn i uplaćena na račun prodavatelja 29. lipnja 2017. godine.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Stečajni dužnik je u svibnju zapao u značajne probleme s likvidnošću i isplatom plaća. Za svibanj su isplaćene neto plaće radnika, ali nisu podmirene obveze za poreze i doprinose iz i na plaće.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U lipnju se problem produbljuje i dužnik uspijeva isplatiti neto plaću za 52 od ukupno 92 radnika. Za preostale radnike plaće i doprinose podmiruje Agencija za osiguranje radničkih tražbina. 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U srpnju je stečajni dužnik namirio neznatan iznos tražbina radnika. 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Razliku za srpanj i ukupni iznos za kolovoz, doprinose za obvezna osiguranja koji se obračunavaju iz osnovice i na osnovicu, te pripadajuće poreze i prireze,  do iznosa minimalne plaće, isplatio je AORT.  </w:t>
      </w:r>
    </w:p>
    <w:p w:rsidRDefault="00E60241" w:rsidP="00E60241" w:rsidR="00E60241">
      <w:p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lastRenderedPageBreak/>
        <w:t>Kako Agencija osigurava isplatu do tri neisplaćene plaće, zakonska mogućnost je iscrpljena plaćom za kolovoz, račun dužnika je blokiran od 03. kolovoza 2017. godine, nema izgleda za deblokadu i redovno poslovanje, to je najveći dio radnika dana 20. kolovoza 2017. godine sklopio s poslodavcem Sporazum o prestanku ugovora o radu. Prema saznanju stečajnog upravitelja, svim radnicima je Vesna tekstilna industrija d.o.o. ponudila ugovor o radu, najveći dio radnika je ponudu prihvatio i sklopio ugovor o radu.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Na računima i novčanim sredstvima na dan 15. studenoga 2017. godine evidentirano je</w:t>
      </w:r>
      <w:r>
        <w:rPr>
          <w:rFonts w:cs="Times New Roman" w:eastAsia="Times New Roman" w:hAnsi="Century Gothic" w:ascii="Century Gothic"/>
          <w:color w:val="C00000"/>
          <w:lang w:eastAsia="hr-HR"/>
        </w:rPr>
        <w:t xml:space="preserve"> </w:t>
      </w:r>
      <w:r>
        <w:rPr>
          <w:rFonts w:cs="Times New Roman" w:eastAsia="Times New Roman" w:hAnsi="Century Gothic" w:ascii="Century Gothic"/>
          <w:lang w:eastAsia="hr-HR"/>
        </w:rPr>
        <w:t>105</w:t>
      </w:r>
      <w:r>
        <w:rPr>
          <w:rFonts w:cs="Times New Roman" w:eastAsia="Times New Roman" w:hAnsi="Century Gothic" w:ascii="Century Gothic"/>
          <w:color w:val="C00000"/>
          <w:lang w:eastAsia="hr-HR"/>
        </w:rPr>
        <w:t xml:space="preserve"> </w:t>
      </w:r>
      <w:r>
        <w:rPr>
          <w:rFonts w:cs="Times New Roman" w:eastAsia="Times New Roman" w:hAnsi="Century Gothic" w:ascii="Century Gothic"/>
          <w:lang w:eastAsia="hr-HR"/>
        </w:rPr>
        <w:t xml:space="preserve">dana neprekidne blokade zbog nepodmirenih osnova za plaćanje evidentiranih u Očevidniku redoslijeda osnova za plaćanje. 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Nepodmirene obveze po evidentiranim a neizvršenim osnovama za plaćanje iznose    870.407,34 kn.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color w:val="C00000"/>
          <w:lang w:eastAsia="hr-HR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color w:val="C00000"/>
          <w:lang w:eastAsia="hr-HR"/>
        </w:rPr>
      </w:pP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V</w:t>
      </w:r>
      <w:r>
        <w:rPr>
          <w:rFonts w:eastAsiaTheme="minorEastAsia" w:cs="Tahoma" w:hAnsi="Century Gothic" w:ascii="Century Gothic"/>
        </w:rPr>
        <w:tab/>
        <w:t>STANJE STEČAJNE MASE</w:t>
      </w:r>
    </w:p>
    <w:p w:rsidRDefault="00E60241" w:rsidP="00E60241" w:rsidR="00E60241">
      <w:pPr>
        <w:spacing w:lineRule="auto" w:line="288" w:after="0"/>
        <w:jc w:val="both"/>
        <w:rPr>
          <w:rFonts w:eastAsiaTheme="minorEastAsia" w:cs="Tahoma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FINANCIJSKA IZVJEŠĆA  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color w:val="C00000"/>
        </w:rPr>
      </w:pPr>
      <w:r>
        <w:rPr>
          <w:rFonts w:hAnsi="Century Gothic" w:ascii="Century Gothic"/>
          <w:color w:val="C00000"/>
        </w:rPr>
        <w:t xml:space="preserve"> </w:t>
      </w:r>
    </w:p>
    <w:p w:rsidRDefault="00E60241" w:rsidP="00E60241" w:rsidR="00E60241">
      <w:pPr>
        <w:spacing w:lineRule="auto" w:line="288" w:after="0"/>
        <w:jc w:val="both"/>
        <w:rPr>
          <w:rFonts w:cs="Times New Roman" w:hAnsi="Century Gothic" w:ascii="Century Gothic"/>
          <w:sz w:val="24"/>
          <w:szCs w:val="24"/>
        </w:rPr>
      </w:pPr>
      <w:r>
        <w:rPr>
          <w:rFonts w:cs="Times New Roman" w:hAnsi="Century Gothic" w:ascii="Century Gothic"/>
        </w:rPr>
        <w:t xml:space="preserve">Prema dostavljenim financijskim izviješćima sa stanjem na dan 15. studenoga 2017. godine </w:t>
      </w:r>
      <w:r>
        <w:rPr>
          <w:rFonts w:cs="Times New Roman" w:eastAsia="Times New Roman" w:hAnsi="Century Gothic" w:ascii="Century Gothic"/>
          <w:lang w:eastAsia="hr-HR"/>
        </w:rPr>
        <w:t>iskazano je slijedeće stanje imovine i obveza</w:t>
      </w:r>
      <w:r>
        <w:rPr>
          <w:rFonts w:cs="Times New Roman" w:eastAsia="Times New Roman" w:hAnsi="Century Gothic" w:ascii="Century Gothic"/>
          <w:sz w:val="24"/>
          <w:szCs w:val="24"/>
          <w:lang w:eastAsia="hr-HR"/>
        </w:rPr>
        <w:t>: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</w:p>
    <w:tbl>
      <w:tblPr>
        <w:tblStyle w:val="TableGrid"/>
        <w:tblW w:type="dxa" w:w="9072"/>
        <w:tblInd w:type="dxa" w:w="-3"/>
        <w:tblCellMar>
          <w:top w:type="dxa" w:w="29"/>
          <w:left w:type="dxa" w:w="39"/>
          <w:right w:type="dxa" w:w="30"/>
        </w:tblCellMar>
        <w:tblLook w:val="04A0" w:noVBand="1" w:noHBand="0" w:lastColumn="0" w:firstColumn="1" w:lastRow="0" w:firstRow="1"/>
      </w:tblPr>
      <w:tblGrid>
        <w:gridCol w:w="851"/>
        <w:gridCol w:w="5346"/>
        <w:gridCol w:w="2875"/>
      </w:tblGrid>
      <w:tr w:rsidTr="00E60241" w:rsidR="00E60241">
        <w:trPr>
          <w:trHeight w:val="746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red.</w:t>
            </w:r>
          </w:p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left="-36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sz w:val="24"/>
                <w:szCs w:val="24"/>
                <w:lang w:eastAsia="hr-HR"/>
              </w:rPr>
              <w:t xml:space="preserve">Knjigovodstvena vrijednost </w:t>
            </w:r>
          </w:p>
        </w:tc>
      </w:tr>
      <w:tr w:rsidTr="00E60241" w:rsidR="00E60241">
        <w:trPr>
          <w:trHeight w:val="374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     </w:t>
            </w: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dugotrajna imovina (u kn)</w:t>
            </w:r>
          </w:p>
        </w:tc>
      </w:tr>
      <w:tr w:rsidTr="00E60241" w:rsidR="00E60241">
        <w:trPr>
          <w:trHeight w:val="374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l.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zemljište    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264.867  </w:t>
            </w:r>
          </w:p>
        </w:tc>
      </w:tr>
      <w:tr w:rsidTr="00E60241" w:rsidR="00E60241">
        <w:trPr>
          <w:trHeight w:val="374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2. 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građevinski objekti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420.348</w:t>
            </w:r>
          </w:p>
        </w:tc>
      </w:tr>
      <w:tr w:rsidTr="00E60241" w:rsidR="00E60241">
        <w:trPr>
          <w:trHeight w:val="435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3.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postrojenja i oprema 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21.708</w:t>
            </w:r>
          </w:p>
        </w:tc>
      </w:tr>
      <w:tr w:rsidTr="00E60241" w:rsidR="00E60241">
        <w:trPr>
          <w:trHeight w:val="407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4.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E60241" w:rsidR="00E60241">
            <w:pPr>
              <w:spacing w:lineRule="auto" w:line="240" w:after="0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alati, pogonski inventar i transportna imovina </w:t>
            </w:r>
          </w:p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15.344</w:t>
            </w:r>
          </w:p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</w:p>
        </w:tc>
      </w:tr>
      <w:tr w:rsidTr="00E60241" w:rsidR="00E60241">
        <w:trPr>
          <w:trHeight w:val="607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            </w:t>
            </w:r>
          </w:p>
          <w:p w:rsidRDefault="00E60241" w:rsidR="00E60241">
            <w:pPr>
              <w:spacing w:lineRule="auto" w:line="240" w:after="0"/>
              <w:ind w:right="109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                  kratkotrajna imovina (u kn)</w:t>
            </w:r>
          </w:p>
        </w:tc>
      </w:tr>
      <w:tr w:rsidTr="00E60241" w:rsidR="00E60241">
        <w:trPr>
          <w:trHeight w:val="473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5.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potraživanja od kupaca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199.002</w:t>
            </w:r>
          </w:p>
        </w:tc>
      </w:tr>
      <w:tr w:rsidTr="00E60241" w:rsidR="00E60241">
        <w:trPr>
          <w:trHeight w:val="436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6.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noProof/>
                <w:lang w:eastAsia="hr-HR"/>
              </w:rPr>
              <w:t>potraživanja od države i drugih institucija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30.131</w:t>
            </w:r>
          </w:p>
        </w:tc>
      </w:tr>
      <w:tr w:rsidTr="00E60241" w:rsidR="00E60241">
        <w:trPr>
          <w:trHeight w:val="518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7.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ostala potraživanja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59.993</w:t>
            </w:r>
          </w:p>
        </w:tc>
      </w:tr>
      <w:tr w:rsidTr="00E60241" w:rsidR="00E60241">
        <w:trPr>
          <w:trHeight w:val="373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color w:val="C00000"/>
                <w:lang w:eastAsia="hr-HR"/>
              </w:rPr>
            </w:pP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b/>
                <w:color w:val="C0000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IMOVINA (r.br. 1+2+3+4+5+6+7)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tabs>
                <w:tab w:pos="1790" w:val="left"/>
              </w:tabs>
              <w:spacing w:lineRule="auto" w:line="240" w:after="0"/>
              <w:ind w:right="109" w:left="708"/>
              <w:jc w:val="right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ahoma" w:hAnsi="Century Gothic" w:ascii="Century Gothic"/>
                <w:b/>
                <w:bCs/>
                <w:iCs/>
                <w:sz w:val="24"/>
                <w:szCs w:val="24"/>
                <w:lang w:eastAsia="hr-HR"/>
              </w:rPr>
              <w:t>1.011.393</w:t>
            </w: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ab/>
              <w:t xml:space="preserve"> </w:t>
            </w:r>
          </w:p>
        </w:tc>
      </w:tr>
      <w:tr w:rsidTr="00E60241" w:rsidR="00E60241">
        <w:trPr>
          <w:trHeight w:val="379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rPr>
                <w:rFonts w:cs="Times New Roman" w:eastAsia="Times New Roman" w:hAnsi="Century Gothic" w:ascii="Century Gothic"/>
                <w:b/>
                <w:color w:val="C0000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color w:val="C00000"/>
                <w:lang w:eastAsia="hr-HR"/>
              </w:rPr>
              <w:t xml:space="preserve"> </w:t>
            </w:r>
          </w:p>
        </w:tc>
      </w:tr>
      <w:tr w:rsidTr="00E60241" w:rsidR="00E60241">
        <w:trPr>
          <w:trHeight w:val="382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                  dugoročne obveze (u kn)</w:t>
            </w:r>
          </w:p>
        </w:tc>
      </w:tr>
      <w:tr w:rsidTr="00E60241" w:rsidR="00E60241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color w:val="C0000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1</w:t>
            </w:r>
            <w:r>
              <w:rPr>
                <w:rFonts w:cs="Times New Roman" w:eastAsia="Times New Roman" w:hAnsi="Century Gothic" w:ascii="Century Gothic"/>
                <w:color w:val="C00000"/>
                <w:lang w:eastAsia="hr-HR"/>
              </w:rPr>
              <w:t>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88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prema bankama i drugim financijskim</w:t>
            </w:r>
          </w:p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institucijama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216.477</w:t>
            </w:r>
          </w:p>
        </w:tc>
      </w:tr>
      <w:tr w:rsidTr="00E60241" w:rsidR="00E60241">
        <w:trPr>
          <w:trHeight w:val="382"/>
        </w:trPr>
        <w:tc>
          <w:tcPr>
            <w:tcW w:type="dxa" w:w="9072"/>
            <w:gridSpan w:val="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rPr>
                <w:rFonts w:cs="Times New Roman" w:eastAsia="Times New Roman" w:hAnsi="Century Gothic" w:ascii="Century Gothic"/>
                <w:b/>
                <w:color w:val="C0000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color w:val="C00000"/>
                <w:lang w:eastAsia="hr-HR"/>
              </w:rPr>
              <w:lastRenderedPageBreak/>
              <w:t xml:space="preserve">                  </w:t>
            </w: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kratkoročne obveze (u kn)</w:t>
            </w:r>
          </w:p>
        </w:tc>
      </w:tr>
      <w:tr w:rsidTr="00E60241" w:rsidR="00E60241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2.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88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za zajmove, depozite i slično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846.000</w:t>
            </w:r>
          </w:p>
        </w:tc>
      </w:tr>
      <w:tr w:rsidTr="00E60241" w:rsidR="00E60241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3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88" w:left="-44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obaveze prema dobavljačima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290.720</w:t>
            </w:r>
          </w:p>
        </w:tc>
      </w:tr>
      <w:tr w:rsidTr="00E60241" w:rsidR="00E60241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4.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prema zaposlenicima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106.534</w:t>
            </w:r>
          </w:p>
        </w:tc>
      </w:tr>
      <w:tr w:rsidTr="00E60241" w:rsidR="00E60241">
        <w:trPr>
          <w:trHeight w:val="370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5.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obveze za poreze, doprinose i slična davanja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 xml:space="preserve">      317.185</w:t>
            </w:r>
          </w:p>
        </w:tc>
      </w:tr>
      <w:tr w:rsidTr="00E60241" w:rsidR="00E60241">
        <w:trPr>
          <w:trHeight w:val="370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6</w:t>
            </w: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ostale kratkoročne obveze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lang w:eastAsia="hr-HR"/>
              </w:rPr>
              <w:t>625.467</w:t>
            </w:r>
          </w:p>
        </w:tc>
      </w:tr>
      <w:tr w:rsidTr="00E60241" w:rsidR="00E60241">
        <w:trPr>
          <w:trHeight w:val="379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center"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eastAsia="Times New Roman" w:hAnsi="Century Gothic" w:ascii="Century Gothic"/>
                <w:color w:val="C00000"/>
                <w:lang w:eastAsia="hr-HR"/>
              </w:rPr>
            </w:pPr>
          </w:p>
        </w:tc>
        <w:tc>
          <w:tcPr>
            <w:tcW w:type="dxa" w:w="534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firstLine="246"/>
              <w:jc w:val="both"/>
              <w:rPr>
                <w:rFonts w:cs="Times New Roman" w:eastAsia="Times New Roman" w:hAnsi="Century Gothic" w:ascii="Century Gothic"/>
                <w:b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>OBVEZE ( r.br. 1+2+3+4+5+6)</w:t>
            </w:r>
          </w:p>
        </w:tc>
        <w:tc>
          <w:tcPr>
            <w:tcW w:type="dxa" w:w="28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spacing w:lineRule="auto" w:line="240" w:after="0"/>
              <w:ind w:right="109"/>
              <w:jc w:val="right"/>
              <w:rPr>
                <w:rFonts w:cs="Times New Roman" w:eastAsia="Times New Roman" w:hAnsi="Century Gothic" w:ascii="Century Gothic"/>
                <w:b/>
                <w:color w:val="C00000"/>
                <w:lang w:eastAsia="hr-HR"/>
              </w:rPr>
            </w:pPr>
            <w:r>
              <w:rPr>
                <w:rFonts w:cs="Times New Roman" w:eastAsia="Times New Roman" w:hAnsi="Century Gothic" w:ascii="Century Gothic"/>
                <w:b/>
                <w:lang w:eastAsia="hr-HR"/>
              </w:rPr>
              <w:t xml:space="preserve">2.402.383 </w:t>
            </w:r>
          </w:p>
        </w:tc>
      </w:tr>
    </w:tbl>
    <w:p w:rsidRDefault="00E60241" w:rsidP="00E60241" w:rsidR="00E60241">
      <w:pPr>
        <w:spacing w:lineRule="auto" w:line="288" w:after="0"/>
        <w:jc w:val="both"/>
        <w:rPr>
          <w:rFonts w:cs="Times New Roman" w:hAnsi="Century Gothic" w:ascii="Century Gothic"/>
          <w:color w:val="C00000"/>
          <w:sz w:val="24"/>
          <w:szCs w:val="24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Društvo je u razdoblju 01.01.2017. do 27.09.2017. godine ostvarilo  gubitak  u iznosu      od  - 1.406.277 kn.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U Bilanci za 2016. godini je na pozicijama kratkotrajne imovine knjižen iznos od 1.388.195 kuna, od toga na potraživanjima iznos od 1.257.790 kuna i to od države i drugih institucija 1.116.403 kuna. 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>U Bilanci sa stanjem na dan 14. studenoga 2017. g. ta potraživanja iznose 30.131 kunu.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Najveći dio odnosi se na vrijednosna usklađenja kratkotrajne imovine osim financijske imovine u iznosu od 1.011.352 kune. Radi se o izravnom otpisu nenaplaćenog potraživanja koje je stečajni dužnik imao prema Vesna trikotaža d.o.o. u stečaju. Prema raspoloživim informacijama radi se o potraživanju koje je </w:t>
      </w:r>
      <w:proofErr w:type="spellStart"/>
      <w:r>
        <w:rPr>
          <w:rFonts w:cs="Times New Roman" w:hAnsi="Century Gothic" w:ascii="Century Gothic"/>
        </w:rPr>
        <w:t>Darteks</w:t>
      </w:r>
      <w:proofErr w:type="spellEnd"/>
      <w:r>
        <w:rPr>
          <w:rFonts w:cs="Times New Roman" w:hAnsi="Century Gothic" w:ascii="Century Gothic"/>
        </w:rPr>
        <w:t xml:space="preserve"> d.o.o. zatvorio prijebojem potraživanja s Vesna trikotaža d.o.o. prije otvaranja stečajnog postupka u iznosu od 1.011.352 kune. 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Stečajni upravitelj Vesna trikotaža d.o.o. u stečaju osporio je osnovanost prijeboja.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U međuvremenu je protekao zakonski rok za prijavu tražbine u stečajnom postupku, </w:t>
      </w:r>
      <w:proofErr w:type="spellStart"/>
      <w:r>
        <w:rPr>
          <w:rFonts w:cs="Times New Roman" w:hAnsi="Century Gothic" w:ascii="Century Gothic"/>
        </w:rPr>
        <w:t>Darteks</w:t>
      </w:r>
      <w:proofErr w:type="spellEnd"/>
      <w:r>
        <w:rPr>
          <w:rFonts w:cs="Times New Roman" w:hAnsi="Century Gothic" w:ascii="Century Gothic"/>
        </w:rPr>
        <w:t xml:space="preserve"> više nije imao zakonskih mogućnosti za naplatu ovog potraživanja budući se tražbine prema stečajnom dužniku mogu ostvarivati samo u stečajnom postupku.  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Stečajni postupak nad Vesna trikotaža d.o.o. u stečaju zaključen je 2015. godine, potraživanje nije naplaćeno a </w:t>
      </w:r>
      <w:proofErr w:type="spellStart"/>
      <w:r>
        <w:rPr>
          <w:rFonts w:cs="Times New Roman" w:hAnsi="Century Gothic" w:ascii="Century Gothic"/>
        </w:rPr>
        <w:t>Darteks</w:t>
      </w:r>
      <w:proofErr w:type="spellEnd"/>
      <w:r>
        <w:rPr>
          <w:rFonts w:cs="Times New Roman" w:hAnsi="Century Gothic" w:ascii="Century Gothic"/>
        </w:rPr>
        <w:t xml:space="preserve"> d.o.o. je u proteklom periodu s Poreznom upravom pokušao naći modalitet otpisa ovog potraživanja bez plaćanja poreza na dobit. 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>Preostali iznos se odnosi na usklađivanje potraživanja za bolovanja, ozlijede na radu i preplatu PDV-a.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Po izvršenoj analizi prikupljene dokumentacije te evidentiranog stanja imovine i obveza, prijavljenih tražbina vjerovnika, utvrđenog popisa vjerovnika i potraživanja te izvršene procjene mogućnosti naplate potraživanja, izrađen je popis imovine i obveza kako slijedi:</w:t>
      </w:r>
    </w:p>
    <w:p w:rsidRDefault="00E60241" w:rsidP="00E60241" w:rsidR="00E60241">
      <w:pPr>
        <w:spacing w:lineRule="auto" w:line="240" w:after="0"/>
        <w:rPr>
          <w:rFonts w:hAnsi="Century Gothic" w:ascii="Century Gothic"/>
          <w:color w:val="C00000"/>
        </w:rPr>
      </w:pPr>
    </w:p>
    <w:p w:rsidRDefault="00E60241" w:rsidP="00E60241" w:rsidR="00E60241">
      <w:pPr>
        <w:spacing w:lineRule="auto" w:line="240" w:after="0"/>
        <w:rPr>
          <w:rFonts w:hAnsi="Century Gothic" w:ascii="Century Gothic"/>
        </w:rPr>
      </w:pPr>
      <w:r>
        <w:rPr>
          <w:rFonts w:hAnsi="Century Gothic" w:ascii="Century Gothic"/>
        </w:rPr>
        <w:t>POPIS IMOVINE I OBVEZA</w:t>
      </w:r>
    </w:p>
    <w:p w:rsidRDefault="00E60241" w:rsidP="00E60241" w:rsidR="00E60241">
      <w:pPr>
        <w:spacing w:lineRule="auto" w:line="240" w:after="0"/>
        <w:rPr>
          <w:rFonts w:cs="Times New Roman" w:eastAsia="Times New Roman" w:hAnsi="Century Gothic" w:ascii="Century Gothic"/>
          <w:lang w:eastAsia="hr-HR"/>
        </w:rPr>
      </w:pPr>
    </w:p>
    <w:p w:rsidRDefault="00E60241" w:rsidP="00E60241" w:rsidR="00E60241">
      <w:pPr>
        <w:numPr>
          <w:ilvl w:val="0"/>
          <w:numId w:val="3"/>
        </w:numPr>
        <w:spacing w:lineRule="auto" w:line="240" w:after="0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IMOVINA DUŽNIKA</w:t>
      </w:r>
    </w:p>
    <w:p w:rsidRDefault="00E60241" w:rsidP="00E60241" w:rsidR="00E60241">
      <w:pPr>
        <w:spacing w:lineRule="auto" w:line="240" w:after="0"/>
        <w:rPr>
          <w:rFonts w:cs="Times New Roman" w:eastAsia="Times New Roman" w:hAnsi="Century Gothic" w:ascii="Century Gothic"/>
          <w:lang w:eastAsia="hr-HR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lastRenderedPageBreak/>
        <w:t xml:space="preserve">Imovina dužnika iskazana u bilanci sa stanjem na 15. studenoga 2017. godine odnosi se na:  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color w:val="C00000"/>
          <w:lang w:eastAsia="hr-HR"/>
        </w:rPr>
      </w:pPr>
      <w:r>
        <w:rPr>
          <w:rFonts w:cs="Times New Roman" w:eastAsia="Times New Roman" w:hAnsi="Century Gothic" w:ascii="Century Gothic"/>
          <w:color w:val="C00000"/>
          <w:lang w:eastAsia="hr-HR"/>
        </w:rPr>
        <w:t xml:space="preserve"> </w:t>
      </w:r>
    </w:p>
    <w:tbl>
      <w:tblPr>
        <w:tblW w:type="dxa" w:w="9360"/>
        <w:jc w:val="center"/>
        <w:tblLayout w:type="fixed"/>
        <w:tblLook w:val="04A0" w:noVBand="1" w:noHBand="0" w:lastColumn="0" w:firstColumn="1" w:lastRow="0" w:firstRow="1"/>
      </w:tblPr>
      <w:tblGrid>
        <w:gridCol w:w="710"/>
        <w:gridCol w:w="5525"/>
        <w:gridCol w:w="3125"/>
      </w:tblGrid>
      <w:tr w:rsidTr="00E60241" w:rsidR="00E60241">
        <w:trPr>
          <w:trHeight w:val="809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hAnsi="Century Gothic" w:ascii="Century Gothic"/>
              </w:rPr>
            </w:pPr>
          </w:p>
          <w:p w:rsidRDefault="00E60241" w:rsidR="00E60241">
            <w:pPr>
              <w:spacing w:lineRule="auto" w:line="240" w:after="0"/>
              <w:jc w:val="center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r.br.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hAnsi="Century Gothic" w:ascii="Century Gothic"/>
                <w:b/>
                <w:sz w:val="24"/>
                <w:szCs w:val="24"/>
              </w:rPr>
            </w:pPr>
          </w:p>
          <w:p w:rsidRDefault="00E60241" w:rsidR="00E60241">
            <w:pPr>
              <w:spacing w:lineRule="auto" w:line="240" w:after="0"/>
              <w:jc w:val="center"/>
              <w:rPr>
                <w:rFonts w:cs="Times New Roman" w:hAnsi="Century Gothic" w:ascii="Century Gothic"/>
                <w:b/>
                <w:sz w:val="24"/>
                <w:szCs w:val="24"/>
              </w:rPr>
            </w:pPr>
            <w:r>
              <w:rPr>
                <w:rFonts w:cs="Times New Roman" w:hAnsi="Century Gothic" w:ascii="Century Gothic"/>
                <w:b/>
                <w:sz w:val="24"/>
                <w:szCs w:val="24"/>
              </w:rPr>
              <w:t>imovina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</w:tcPr>
          <w:p w:rsidRDefault="00E60241" w:rsidR="00E60241">
            <w:pPr>
              <w:spacing w:lineRule="auto" w:line="240" w:after="0"/>
              <w:jc w:val="center"/>
              <w:rPr>
                <w:rFonts w:cs="Times New Roman" w:hAnsi="Century Gothic" w:ascii="Century Gothic"/>
                <w:b/>
                <w:sz w:val="24"/>
                <w:szCs w:val="24"/>
              </w:rPr>
            </w:pPr>
          </w:p>
          <w:p w:rsidRDefault="00E60241" w:rsidR="00E60241">
            <w:pPr>
              <w:spacing w:lineRule="auto" w:line="240" w:after="0"/>
              <w:jc w:val="center"/>
              <w:rPr>
                <w:rFonts w:cs="Times New Roman" w:hAnsi="Century Gothic" w:ascii="Century Gothic"/>
                <w:b/>
                <w:caps/>
                <w:sz w:val="24"/>
                <w:szCs w:val="24"/>
              </w:rPr>
            </w:pPr>
            <w:r>
              <w:rPr>
                <w:rFonts w:cs="Times New Roman" w:hAnsi="Century Gothic" w:ascii="Century Gothic"/>
                <w:b/>
                <w:sz w:val="24"/>
                <w:szCs w:val="24"/>
              </w:rPr>
              <w:t>knjigovodstvena</w:t>
            </w:r>
          </w:p>
          <w:p w:rsidRDefault="00E60241" w:rsidR="00E60241">
            <w:pPr>
              <w:spacing w:lineRule="auto" w:line="240" w:after="0"/>
              <w:jc w:val="center"/>
              <w:rPr>
                <w:rFonts w:cs="Times New Roman" w:hAnsi="Century Gothic" w:ascii="Century Gothic"/>
                <w:b/>
                <w:sz w:val="24"/>
                <w:szCs w:val="24"/>
              </w:rPr>
            </w:pPr>
            <w:r>
              <w:rPr>
                <w:rFonts w:cs="Times New Roman" w:hAnsi="Century Gothic" w:ascii="Century Gothic"/>
                <w:b/>
                <w:sz w:val="24"/>
                <w:szCs w:val="24"/>
              </w:rPr>
              <w:t>vrijednost u kn</w:t>
            </w:r>
          </w:p>
        </w:tc>
      </w:tr>
      <w:tr w:rsidTr="00E60241" w:rsidR="00E60241">
        <w:trPr>
          <w:trHeight w:val="510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spacing w:lineRule="auto" w:line="288" w:after="0"/>
              <w:jc w:val="center"/>
              <w:rPr>
                <w:rFonts w:cs="Tahoma" w:hAnsi="Century Gothic" w:ascii="Century Gothic"/>
                <w:iCs/>
                <w:sz w:val="20"/>
                <w:szCs w:val="24"/>
              </w:rPr>
            </w:pPr>
            <w:r>
              <w:rPr>
                <w:rFonts w:cs="Tahoma" w:hAnsi="Century Gothic" w:ascii="Century Gothic"/>
                <w:iCs/>
                <w:sz w:val="20"/>
                <w:szCs w:val="24"/>
              </w:rPr>
              <w:t>1.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ind w:firstLine="246"/>
              <w:jc w:val="both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 xml:space="preserve">zemljište    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ind w:right="109"/>
              <w:jc w:val="right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 xml:space="preserve">264.867  </w:t>
            </w:r>
          </w:p>
        </w:tc>
      </w:tr>
      <w:tr w:rsidTr="00E60241" w:rsidR="00E60241">
        <w:trPr>
          <w:trHeight w:val="48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spacing w:lineRule="auto" w:line="288" w:after="0"/>
              <w:jc w:val="center"/>
              <w:rPr>
                <w:rFonts w:cs="Tahoma" w:hAnsi="Century Gothic" w:ascii="Century Gothic"/>
                <w:iCs/>
                <w:sz w:val="20"/>
                <w:szCs w:val="24"/>
              </w:rPr>
            </w:pPr>
            <w:r>
              <w:rPr>
                <w:rFonts w:cs="Tahoma" w:hAnsi="Century Gothic" w:ascii="Century Gothic"/>
                <w:iCs/>
                <w:sz w:val="20"/>
                <w:szCs w:val="24"/>
              </w:rPr>
              <w:t>2.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ind w:firstLine="246"/>
              <w:jc w:val="both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građevinski objekti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ind w:right="109"/>
              <w:jc w:val="right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420.348</w:t>
            </w:r>
          </w:p>
        </w:tc>
      </w:tr>
      <w:tr w:rsidTr="00E60241" w:rsidR="00E60241">
        <w:trPr>
          <w:trHeight w:val="48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jc w:val="center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3.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ind w:firstLine="246"/>
              <w:jc w:val="both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 xml:space="preserve">postrojenja i oprema 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ind w:right="109"/>
              <w:jc w:val="right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 xml:space="preserve">             21.708</w:t>
            </w:r>
          </w:p>
        </w:tc>
      </w:tr>
      <w:tr w:rsidTr="00E60241" w:rsidR="00E60241">
        <w:trPr>
          <w:trHeight w:val="48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jc w:val="center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4.</w:t>
            </w:r>
          </w:p>
        </w:tc>
        <w:tc>
          <w:tcPr>
            <w:tcW w:type="dxa" w:w="552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 xml:space="preserve">    alati, pogonski inventar i transportna imovina </w:t>
            </w:r>
          </w:p>
        </w:tc>
        <w:tc>
          <w:tcPr>
            <w:tcW w:type="dxa" w:w="31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E60241" w:rsidR="00E60241">
            <w:pPr>
              <w:ind w:right="109"/>
              <w:jc w:val="right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15.344</w:t>
            </w:r>
          </w:p>
        </w:tc>
      </w:tr>
      <w:tr w:rsidTr="00E60241" w:rsidR="00E60241">
        <w:trPr>
          <w:trHeight w:val="4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jc w:val="center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5.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ind w:firstLine="246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potraživanja od kupaca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ind w:right="109"/>
              <w:jc w:val="right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199.002</w:t>
            </w:r>
          </w:p>
        </w:tc>
      </w:tr>
      <w:tr w:rsidTr="00E60241" w:rsidR="00E60241">
        <w:trPr>
          <w:trHeight w:val="4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jc w:val="center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6.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ind w:firstLine="246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  <w:noProof/>
              </w:rPr>
              <w:t>potraživanja od države i drugih institucija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ind w:right="109"/>
              <w:jc w:val="right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30.131</w:t>
            </w:r>
          </w:p>
        </w:tc>
      </w:tr>
      <w:tr w:rsidTr="00E60241" w:rsidR="00E60241">
        <w:trPr>
          <w:trHeight w:val="456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jc w:val="center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7.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 xml:space="preserve">    ostala potraživanja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hideMark/>
          </w:tcPr>
          <w:p w:rsidRDefault="00E60241" w:rsidR="00E60241">
            <w:pPr>
              <w:ind w:right="109"/>
              <w:jc w:val="right"/>
              <w:rPr>
                <w:rFonts w:cs="Times New Roman" w:eastAsia="Times New Roman" w:hAnsi="Century Gothic" w:ascii="Century Gothic"/>
              </w:rPr>
            </w:pPr>
            <w:r>
              <w:rPr>
                <w:rFonts w:cs="Times New Roman" w:eastAsia="Times New Roman" w:hAnsi="Century Gothic" w:ascii="Century Gothic"/>
              </w:rPr>
              <w:t>59.993</w:t>
            </w:r>
          </w:p>
        </w:tc>
      </w:tr>
      <w:tr w:rsidTr="00E60241" w:rsidR="00E60241">
        <w:trPr>
          <w:trHeight w:val="397"/>
          <w:jc w:val="center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E60241" w:rsidR="00E60241">
            <w:pPr>
              <w:spacing w:lineRule="auto" w:line="288" w:after="0"/>
              <w:jc w:val="both"/>
              <w:rPr>
                <w:rFonts w:cs="Tahoma" w:hAnsi="Century Gothic" w:ascii="Century Gothic"/>
                <w:iCs/>
                <w:color w:val="C00000"/>
                <w:sz w:val="24"/>
                <w:szCs w:val="24"/>
              </w:rPr>
            </w:pPr>
            <w:r>
              <w:rPr>
                <w:rFonts w:cs="Tahoma" w:hAnsi="Century Gothic" w:ascii="Century Gothic"/>
                <w:b/>
                <w:bCs/>
                <w:iCs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type="dxa" w:w="55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E60241" w:rsidR="00E60241">
            <w:pPr>
              <w:spacing w:lineRule="auto" w:line="288" w:after="0"/>
              <w:jc w:val="both"/>
              <w:rPr>
                <w:rFonts w:cs="Tahoma" w:hAnsi="Century Gothic" w:ascii="Century Gothic"/>
                <w:iCs/>
                <w:sz w:val="24"/>
                <w:szCs w:val="24"/>
              </w:rPr>
            </w:pPr>
            <w:r>
              <w:rPr>
                <w:rFonts w:cs="Tahoma" w:hAnsi="Century Gothic" w:ascii="Century Gothic"/>
                <w:b/>
                <w:bCs/>
                <w:iCs/>
                <w:sz w:val="24"/>
                <w:szCs w:val="24"/>
              </w:rPr>
              <w:t xml:space="preserve">imovina ukupno </w:t>
            </w:r>
          </w:p>
        </w:tc>
        <w:tc>
          <w:tcPr>
            <w:tcW w:type="dxa" w:w="3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Tint="33" w:themeFill="accent6" w:fill="FDE9D9" w:color="auto" w:val="clear"/>
            <w:hideMark/>
          </w:tcPr>
          <w:p w:rsidRDefault="00E60241" w:rsidR="00E60241">
            <w:pPr>
              <w:spacing w:lineRule="auto" w:line="240" w:after="0"/>
              <w:jc w:val="right"/>
              <w:rPr>
                <w:rFonts w:cs="ArialMT" w:eastAsia="Times New Roman" w:hAnsi="ArialMT" w:ascii="ArialMT"/>
                <w:color w:val="C00000"/>
              </w:rPr>
            </w:pPr>
            <w:r>
              <w:rPr>
                <w:rFonts w:cs="ArialMT" w:eastAsia="Times New Roman" w:hAnsi="ArialMT" w:ascii="ArialMT"/>
                <w:color w:val="C00000"/>
              </w:rPr>
              <w:t xml:space="preserve"> </w:t>
            </w:r>
          </w:p>
          <w:p w:rsidRDefault="00E60241" w:rsidR="00E60241">
            <w:pPr>
              <w:spacing w:lineRule="auto" w:line="288" w:after="0"/>
              <w:jc w:val="right"/>
              <w:rPr>
                <w:rFonts w:cs="Tahoma" w:hAnsi="Century Gothic" w:ascii="Century Gothic"/>
                <w:b/>
                <w:iCs/>
                <w:color w:val="C00000"/>
              </w:rPr>
            </w:pPr>
            <w:r>
              <w:rPr>
                <w:rFonts w:cs="Tahoma" w:hAnsi="Century Gothic" w:ascii="Century Gothic"/>
                <w:b/>
                <w:bCs/>
                <w:iCs/>
                <w:sz w:val="24"/>
                <w:szCs w:val="24"/>
              </w:rPr>
              <w:t>1.011.393</w:t>
            </w:r>
            <w:r>
              <w:rPr>
                <w:rFonts w:cs="Times New Roman" w:eastAsia="Times New Roman" w:hAnsi="Century Gothic" w:ascii="Century Gothic"/>
                <w:b/>
              </w:rPr>
              <w:t xml:space="preserve"> </w:t>
            </w:r>
          </w:p>
        </w:tc>
      </w:tr>
    </w:tbl>
    <w:p w:rsidRDefault="00E60241" w:rsidP="00E60241" w:rsidR="00E60241">
      <w:pPr>
        <w:spacing w:lineRule="auto" w:line="240" w:after="0"/>
        <w:rPr>
          <w:rFonts w:cs="Times New Roman" w:hAnsi="Times New Roman" w:ascii="Times New Roman"/>
          <w:color w:val="C00000"/>
          <w:sz w:val="24"/>
          <w:szCs w:val="24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noProof/>
          <w:color w:val="C00000"/>
        </w:rPr>
      </w:pPr>
      <w:r>
        <w:rPr>
          <w:rFonts w:cs="Times New Roman" w:eastAsia="Times New Roman" w:hAnsi="Century Gothic" w:ascii="Century Gothic"/>
          <w:color w:val="C00000"/>
          <w:lang w:eastAsia="hr-HR"/>
        </w:rPr>
        <w:t xml:space="preserve"> 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hAnsi="Century Gothic" w:ascii="Century Gothic"/>
        </w:rPr>
        <w:t xml:space="preserve">Stečajni dužnik upisan je u </w:t>
      </w:r>
      <w:r>
        <w:rPr>
          <w:rFonts w:cs="Times New Roman" w:eastAsia="Times New Roman" w:hAnsi="Century Gothic" w:ascii="Century Gothic"/>
          <w:lang w:eastAsia="hr-HR"/>
        </w:rPr>
        <w:t xml:space="preserve">zemljišne knjige koje vodi Općinski sud u  Daruvaru, Zemljišno knjižni odjel u </w:t>
      </w:r>
      <w:proofErr w:type="spellStart"/>
      <w:r>
        <w:rPr>
          <w:rFonts w:cs="Times New Roman" w:eastAsia="Times New Roman" w:hAnsi="Century Gothic" w:ascii="Century Gothic"/>
          <w:lang w:eastAsia="hr-HR"/>
        </w:rPr>
        <w:t>zk</w:t>
      </w:r>
      <w:proofErr w:type="spellEnd"/>
      <w:r>
        <w:rPr>
          <w:rFonts w:cs="Times New Roman" w:eastAsia="Times New Roman" w:hAnsi="Century Gothic" w:ascii="Century Gothic"/>
          <w:lang w:eastAsia="hr-HR"/>
        </w:rPr>
        <w:t xml:space="preserve">. ul. br. 3360 k.o. Daruvar, </w:t>
      </w:r>
      <w:proofErr w:type="spellStart"/>
      <w:r>
        <w:rPr>
          <w:rFonts w:cs="Times New Roman" w:eastAsia="Times New Roman" w:hAnsi="Century Gothic" w:ascii="Century Gothic"/>
          <w:lang w:eastAsia="hr-HR"/>
        </w:rPr>
        <w:t>čkbr</w:t>
      </w:r>
      <w:proofErr w:type="spellEnd"/>
      <w:r>
        <w:rPr>
          <w:rFonts w:cs="Times New Roman" w:eastAsia="Times New Roman" w:hAnsi="Century Gothic" w:ascii="Century Gothic"/>
          <w:lang w:eastAsia="hr-HR"/>
        </w:rPr>
        <w:t>. 818/1 dvorište od 679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 xml:space="preserve"> i kuća, Daruvar, Matije Gupca 12 površine 232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 xml:space="preserve"> ukupno 911 m</w:t>
      </w:r>
      <w:r>
        <w:rPr>
          <w:rFonts w:cs="Times New Roman" w:eastAsia="Times New Roman" w:hAnsi="Century Gothic" w:ascii="Century Gothic"/>
          <w:vertAlign w:val="superscript"/>
          <w:lang w:eastAsia="hr-HR"/>
        </w:rPr>
        <w:t>2</w:t>
      </w:r>
      <w:r>
        <w:rPr>
          <w:rFonts w:cs="Times New Roman" w:eastAsia="Times New Roman" w:hAnsi="Century Gothic" w:ascii="Century Gothic"/>
          <w:lang w:eastAsia="hr-HR"/>
        </w:rPr>
        <w:t xml:space="preserve"> .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Objekt je izgrađen na uređenom građevinskom zemljištu u I. zoni grada Daruvara. U neposrednoj blizini su stambeni i poslovni objekti različite namjene. Prema važećem GUP-u lokacija se nalazi  u građevinskom području, zoni stambene namjene. Objekt je priključen na komunalne sustave gradskog vodovoda, kanalizacije, električne struje, plina i telefona. 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Objekt je </w:t>
      </w:r>
      <w:proofErr w:type="spellStart"/>
      <w:r>
        <w:rPr>
          <w:rFonts w:cs="Times New Roman" w:hAnsi="Century Gothic" w:ascii="Century Gothic"/>
        </w:rPr>
        <w:t>katnosti</w:t>
      </w:r>
      <w:proofErr w:type="spellEnd"/>
      <w:r>
        <w:rPr>
          <w:rFonts w:cs="Times New Roman" w:hAnsi="Century Gothic" w:ascii="Century Gothic"/>
        </w:rPr>
        <w:t xml:space="preserve"> prizemlje + podrum, neto građevinske površine 208,96 m</w:t>
      </w:r>
      <w:r>
        <w:rPr>
          <w:rFonts w:cs="Times New Roman" w:hAnsi="Century Gothic" w:ascii="Century Gothic"/>
          <w:vertAlign w:val="superscript"/>
        </w:rPr>
        <w:t>2</w:t>
      </w:r>
      <w:r>
        <w:rPr>
          <w:rFonts w:cs="Times New Roman" w:hAnsi="Century Gothic" w:ascii="Century Gothic"/>
        </w:rPr>
        <w:t>. Poslovni prostor koristi se kontinuirano, namjena prostora je upravna zgrada za obavljanje djelatnosti Društva.</w:t>
      </w:r>
    </w:p>
    <w:p w:rsidRDefault="00E60241" w:rsidP="00E60241" w:rsidR="00E60241">
      <w:pPr>
        <w:spacing w:lineRule="auto" w:line="240" w:after="0"/>
        <w:jc w:val="both"/>
        <w:rPr>
          <w:rFonts w:cs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</w:rPr>
      </w:pPr>
      <w:r>
        <w:rPr>
          <w:rFonts w:cs="Times New Roman" w:eastAsia="Times New Roman" w:hAnsi="Century Gothic" w:ascii="Century Gothic"/>
          <w:lang w:eastAsia="hr-HR"/>
        </w:rPr>
        <w:t xml:space="preserve">Knjigovodstvena vrijednost nekretnine iznosi 685.215 kuna i to: </w:t>
      </w:r>
      <w:r>
        <w:rPr>
          <w:rFonts w:cs="Times New Roman" w:eastAsia="Times New Roman" w:hAnsi="Century Gothic" w:ascii="Century Gothic"/>
        </w:rPr>
        <w:t>zemljište u vrijednosti 264.867 kune i zgrada u vrijednosti 420.348 kn.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</w:rPr>
      </w:pPr>
      <w:r>
        <w:rPr>
          <w:rFonts w:cs="Times New Roman" w:eastAsia="Times New Roman" w:hAnsi="Century Gothic" w:ascii="Century Gothic"/>
        </w:rPr>
        <w:t>Za nekretninu je u listopadu 2017. godine sačinjena procjena vrijednosti po stalnom sudskom vještaku za graditeljstvo i procjenu nekretnina kojom Procjenom je utvrđena tržišna vrijednost nekretnine u iznosu 637.084,00 kuna.</w:t>
      </w:r>
    </w:p>
    <w:p w:rsidRDefault="00E60241" w:rsidP="00E60241" w:rsidR="00E60241">
      <w:pPr>
        <w:spacing w:lineRule="auto" w:line="240" w:after="0"/>
        <w:jc w:val="both"/>
        <w:rPr>
          <w:rFonts w:eastAsiaTheme="minorEastAsia" w:cs="Tahoma" w:hAnsi="Century Gothic" w:ascii="Century Gothic"/>
          <w:bCs/>
          <w:color w:val="C00000"/>
        </w:rPr>
      </w:pPr>
    </w:p>
    <w:p w:rsidRDefault="00E60241" w:rsidP="00E60241" w:rsidR="00E60241">
      <w:pPr>
        <w:spacing w:lineRule="auto" w:line="240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Na nekretnini  su upisana založna su prava za korist:</w:t>
      </w:r>
    </w:p>
    <w:p w:rsidRDefault="00E60241" w:rsidP="00E60241" w:rsidR="00E60241">
      <w:pPr>
        <w:spacing w:lineRule="auto" w:line="240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="Times New Roman" w:hAnsi="Century Gothic" w:ascii="Century Gothic"/>
          <w:lang w:eastAsia="hr-HR"/>
        </w:rPr>
        <w:t xml:space="preserve"> </w:t>
      </w:r>
    </w:p>
    <w:p w:rsidRDefault="00E60241" w:rsidP="00E60241" w:rsidR="00E60241">
      <w:pPr>
        <w:numPr>
          <w:ilvl w:val="0"/>
          <w:numId w:val="4"/>
        </w:numPr>
        <w:spacing w:lineRule="auto" w:line="240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PRIVREDNA BANKA ZAGREB, d.d., OIB:02535697732, Zagreb, Radnička cesta 50, uknjižba temeljem Sporazuma o zasnivanju založnog prava na nekretninama i pravu na neposrednu ovrhu od 17. lipnja 2014., </w:t>
      </w:r>
      <w:proofErr w:type="spellStart"/>
      <w:r>
        <w:rPr>
          <w:rFonts w:eastAsiaTheme="minorEastAsia" w:cs="Tahoma" w:hAnsi="Century Gothic" w:ascii="Century Gothic"/>
          <w:bCs/>
        </w:rPr>
        <w:t>solemniziran</w:t>
      </w:r>
      <w:proofErr w:type="spellEnd"/>
      <w:r>
        <w:rPr>
          <w:rFonts w:eastAsiaTheme="minorEastAsia" w:cs="Tahoma" w:hAnsi="Century Gothic" w:ascii="Century Gothic"/>
          <w:bCs/>
        </w:rPr>
        <w:t xml:space="preserve"> po </w:t>
      </w:r>
      <w:proofErr w:type="spellStart"/>
      <w:r>
        <w:rPr>
          <w:rFonts w:eastAsiaTheme="minorEastAsia" w:cs="Tahoma" w:hAnsi="Century Gothic" w:ascii="Century Gothic"/>
          <w:bCs/>
        </w:rPr>
        <w:t>jb</w:t>
      </w:r>
      <w:proofErr w:type="spellEnd"/>
      <w:r>
        <w:rPr>
          <w:rFonts w:eastAsiaTheme="minorEastAsia" w:cs="Tahoma" w:hAnsi="Century Gothic" w:ascii="Century Gothic"/>
          <w:bCs/>
        </w:rPr>
        <w:t xml:space="preserve"> u Daruvaru pod br. OV-4859/14 za iznos od 78.850 EUR u kunskoj protuvrijednosti, promjenjiva zakonska zatezna kamata od 15% godišnje;</w:t>
      </w:r>
    </w:p>
    <w:p w:rsidRDefault="00E60241" w:rsidP="00E60241" w:rsidR="00E60241">
      <w:pPr>
        <w:spacing w:lineRule="auto" w:line="240" w:after="0"/>
        <w:ind w:left="720"/>
        <w:jc w:val="both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pStyle w:val="Odlomakpopisa"/>
        <w:numPr>
          <w:ilvl w:val="0"/>
          <w:numId w:val="4"/>
        </w:num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lastRenderedPageBreak/>
        <w:t xml:space="preserve">PRIVREDNA BANKA ZAGREB, d.d., OIB:02535697732, Zagreb, Radnička cesta 50, uknjižba temeljem Sporazuma o zasnivanju založnog prava na nekretninama i pravu na neposrednu ovrhu od 18. prosinca 2015., na iznos od 46.000,00 EUR u kunskoj protuvrijednosti po srednjem tečaju PBZ d.d. na dan dospijeća, kamatama, naknadama te ostalim troškovima i uvjetima utvrđenim Ugovorom o dugoročnom kreditu s valutnom klauzulom broj 5110194619 i Dodatkom I Ugovoru i Sporazumom.  </w:t>
      </w:r>
    </w:p>
    <w:p w:rsidRDefault="00E60241" w:rsidP="00E60241" w:rsidR="00E60241">
      <w:pPr>
        <w:pStyle w:val="Odlomakpopisa"/>
        <w:rPr>
          <w:rFonts w:eastAsiaTheme="minorEastAsia" w:cs="Tahoma" w:hAnsi="Century Gothic" w:ascii="Century Gothic"/>
          <w:bCs/>
        </w:rPr>
      </w:pPr>
    </w:p>
    <w:p w:rsidRDefault="00E60241" w:rsidP="00E60241" w:rsidR="00E60241">
      <w:pPr>
        <w:pStyle w:val="Odlomakpopisa"/>
        <w:numPr>
          <w:ilvl w:val="0"/>
          <w:numId w:val="4"/>
        </w:numPr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>VESNA TEKSTILNA INDUSTRIJA d.o.o. za proizvodnju i usluge, OIB:31352432777, Matije Gupca 12, Daruvar, uknjižba temeljem</w:t>
      </w:r>
      <w:r>
        <w:t xml:space="preserve"> </w:t>
      </w:r>
      <w:r>
        <w:rPr>
          <w:rFonts w:eastAsiaTheme="minorEastAsia" w:cs="Tahoma" w:hAnsi="Century Gothic" w:ascii="Century Gothic"/>
          <w:bCs/>
        </w:rPr>
        <w:t>Sporazuma o zasnivanju založnog prava na nekretninama br. OU-69/17 od 12. lipnja 2017., Aneks Sporazuma o zasnivanju založnog prava na nekretninama br. OU-69/17-2 od 24. srpnja 2017. za iznos 15.000,00 kuna prema Ugovoru o pozajmici od 02.01.2017. god. za iznos od 150.000,00 kuna</w:t>
      </w:r>
      <w:r>
        <w:t xml:space="preserve"> </w:t>
      </w:r>
      <w:r>
        <w:rPr>
          <w:rFonts w:eastAsiaTheme="minorEastAsia" w:cs="Tahoma" w:hAnsi="Century Gothic" w:ascii="Century Gothic"/>
          <w:bCs/>
        </w:rPr>
        <w:t>prema Ugovoru o pozajmici od 30.01.2017. god. za iznos od 20.000,00 kuna prema Ugovoru o pozajmici od 07.02.2017. god. za iznos od 40.000,00 kuna prema Ugovoru o pozajmici od 10.02.2017. god. za iznos od 50.000,00 kuna prema Ugovoru o pozajmici od 14.02.2017. god. sve s rokom povrata od 12 mjeseci, beskamatno</w:t>
      </w: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  <w:b/>
          <w:bCs/>
          <w:i/>
          <w:color w:val="C00000"/>
          <w:sz w:val="21"/>
          <w:szCs w:val="21"/>
        </w:rPr>
      </w:pPr>
      <w:r>
        <w:rPr>
          <w:rFonts w:eastAsiaTheme="minorEastAsia" w:cs="Tahoma" w:hAnsi="Century Gothic" w:ascii="Century Gothic"/>
          <w:b/>
          <w:bCs/>
          <w:i/>
          <w:color w:val="C00000"/>
          <w:sz w:val="21"/>
          <w:szCs w:val="21"/>
        </w:rPr>
        <w:t xml:space="preserve"> </w:t>
      </w:r>
    </w:p>
    <w:p w:rsidRDefault="00E60241" w:rsidP="00E60241" w:rsidR="00E60241">
      <w:pPr>
        <w:numPr>
          <w:ilvl w:val="0"/>
          <w:numId w:val="3"/>
        </w:numPr>
        <w:tabs>
          <w:tab w:pos="284" w:val="left"/>
        </w:tabs>
        <w:autoSpaceDE w:val="false"/>
        <w:autoSpaceDN w:val="false"/>
        <w:adjustRightInd w:val="false"/>
        <w:spacing w:lineRule="auto" w:line="288" w:after="0"/>
        <w:contextualSpacing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OBVEZE STEČAJNOG DUŽNIKA </w:t>
      </w: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Calibri" w:hAnsi="Century Gothic" w:ascii="Century Gothic"/>
          <w:i/>
          <w:color w:val="C00000"/>
          <w:sz w:val="21"/>
          <w:szCs w:val="21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color w:val="C00000"/>
        </w:rPr>
      </w:pPr>
      <w:r>
        <w:rPr>
          <w:rFonts w:hAnsi="Century Gothic" w:ascii="Century Gothic"/>
        </w:rPr>
        <w:t>Do izrade ovog izvješća zaprimljeno je 7 tražbina stečajnih vjerovnika u ukupnom iznosu od  2.265.641,67 kuna</w:t>
      </w:r>
      <w:r>
        <w:rPr>
          <w:rFonts w:hAnsi="Century Gothic" w:ascii="Century Gothic"/>
          <w:color w:val="C00000"/>
        </w:rPr>
        <w:t>.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color w:val="C00000"/>
          <w:lang w:eastAsia="hr-HR"/>
        </w:rPr>
      </w:pP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bCs/>
        </w:rPr>
      </w:pPr>
      <w:r>
        <w:rPr>
          <w:rFonts w:cs="Times New Roman" w:eastAsia="Times New Roman" w:hAnsi="Century Gothic" w:ascii="Century Gothic"/>
          <w:lang w:eastAsia="hr-HR"/>
        </w:rPr>
        <w:t xml:space="preserve">Stečajni upravitelj je </w:t>
      </w:r>
      <w:r>
        <w:rPr>
          <w:rFonts w:hAnsi="Century Gothic" w:ascii="Century Gothic"/>
          <w:bCs/>
        </w:rPr>
        <w:t xml:space="preserve">sastavio popis svih tražbina radnika i prijašnjih dužnikovih radnika dospjelih do otvaranja stečajnoga postupka, za </w:t>
      </w:r>
      <w:r>
        <w:rPr>
          <w:rFonts w:cs="Times New Roman" w:eastAsia="Times New Roman" w:hAnsi="Century Gothic" w:ascii="Century Gothic"/>
          <w:lang w:eastAsia="hr-HR"/>
        </w:rPr>
        <w:t>73</w:t>
      </w:r>
      <w:r>
        <w:rPr>
          <w:rFonts w:hAnsi="Century Gothic" w:ascii="Century Gothic"/>
          <w:bCs/>
        </w:rPr>
        <w:t xml:space="preserve">  radnika u ukupnom iznosu od 309.592,02 kune. 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 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Prijavljene su tražbine vjerovnika I. i II. višeg isplatnog reda u ukupnom iznosu od 2.575.223,69 kuna.</w:t>
      </w:r>
    </w:p>
    <w:p w:rsidRDefault="00E60241" w:rsidP="00E60241" w:rsidR="00E60241">
      <w:pPr>
        <w:spacing w:lineRule="auto" w:line="240" w:after="0"/>
        <w:jc w:val="both"/>
        <w:rPr>
          <w:rFonts w:hAnsi="Century Gothic" w:ascii="Century Gothic"/>
          <w:bCs/>
          <w:strike/>
          <w:color w:val="C00000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Priznate su tražbine vjerovnika I. višeg isplatnog reda u iznosu</w:t>
      </w:r>
      <w:r>
        <w:rPr>
          <w:rFonts w:cs="Times New Roman" w:eastAsia="Times New Roman" w:hAnsi="Century Gothic" w:ascii="Century Gothic"/>
          <w:color w:val="C00000"/>
          <w:lang w:eastAsia="hr-HR"/>
        </w:rPr>
        <w:tab/>
      </w:r>
      <w:r>
        <w:rPr>
          <w:rFonts w:cs="Times New Roman" w:eastAsia="Times New Roman" w:hAnsi="Century Gothic" w:ascii="Century Gothic"/>
          <w:lang w:eastAsia="hr-HR"/>
        </w:rPr>
        <w:t>1.131.010,87</w:t>
      </w:r>
      <w:r>
        <w:rPr>
          <w:rFonts w:cs="Times New Roman" w:eastAsia="Times New Roman" w:hAnsi="Century Gothic" w:ascii="Century Gothic"/>
          <w:lang w:eastAsia="hr-HR"/>
        </w:rPr>
        <w:tab/>
        <w:t>kuna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Osporene su tražbine vjerovnika  I. višeg isplatnog reda u iznosu</w:t>
      </w:r>
      <w:r>
        <w:rPr>
          <w:rFonts w:cs="Times New Roman" w:eastAsia="Times New Roman" w:hAnsi="Century Gothic" w:ascii="Century Gothic"/>
          <w:lang w:eastAsia="hr-HR"/>
        </w:rPr>
        <w:tab/>
        <w:t xml:space="preserve">              0,00  kuna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Priznate su tražbine vjerovnika II. višeg isplatnog reda u iznosu</w:t>
      </w:r>
      <w:r>
        <w:rPr>
          <w:rFonts w:cs="Times New Roman" w:eastAsia="Times New Roman" w:hAnsi="Century Gothic" w:ascii="Century Gothic"/>
          <w:lang w:eastAsia="hr-HR"/>
        </w:rPr>
        <w:tab/>
        <w:t>1.444.222,82  kuna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Osporene su tražbine vjerovnika II. višeg isplatnog reda u iznosu od </w:t>
      </w:r>
      <w:r>
        <w:rPr>
          <w:rFonts w:cs="Times New Roman" w:eastAsia="Times New Roman" w:hAnsi="Century Gothic" w:ascii="Century Gothic"/>
          <w:lang w:eastAsia="hr-HR"/>
        </w:rPr>
        <w:tab/>
        <w:t xml:space="preserve">   0,00</w:t>
      </w:r>
      <w:r>
        <w:rPr>
          <w:rFonts w:cs="Times New Roman" w:eastAsia="Times New Roman" w:hAnsi="Century Gothic" w:ascii="Century Gothic"/>
          <w:lang w:eastAsia="hr-HR"/>
        </w:rPr>
        <w:tab/>
        <w:t>kuna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   </w:t>
      </w:r>
    </w:p>
    <w:p w:rsidRDefault="00E60241" w:rsidP="00E60241" w:rsidR="00E60241">
      <w:pPr>
        <w:spacing w:lineRule="auto" w:line="240" w:after="0"/>
        <w:rPr>
          <w:rFonts w:cs="Times New Roman" w:hAnsi="Century Gothic" w:ascii="Century Gothic"/>
        </w:rPr>
      </w:pPr>
      <w:r>
        <w:rPr>
          <w:rFonts w:cs="Times New Roman" w:hAnsi="Century Gothic" w:ascii="Century Gothic"/>
        </w:rPr>
        <w:t xml:space="preserve">Obavijest o </w:t>
      </w:r>
      <w:proofErr w:type="spellStart"/>
      <w:r>
        <w:rPr>
          <w:rFonts w:cs="Times New Roman" w:hAnsi="Century Gothic" w:ascii="Century Gothic"/>
        </w:rPr>
        <w:t>razlučnom</w:t>
      </w:r>
      <w:proofErr w:type="spellEnd"/>
      <w:r>
        <w:rPr>
          <w:rFonts w:cs="Times New Roman" w:hAnsi="Century Gothic" w:ascii="Century Gothic"/>
        </w:rPr>
        <w:t xml:space="preserve"> pravu dostavili su vjerovnici:</w:t>
      </w:r>
    </w:p>
    <w:p w:rsidRDefault="00E60241" w:rsidP="00E60241" w:rsidR="00E60241">
      <w:pPr>
        <w:spacing w:lineRule="auto" w:line="240" w:after="0"/>
        <w:rPr>
          <w:rFonts w:cs="Times New Roman" w:hAnsi="Century Gothic" w:ascii="Century Gothic"/>
          <w:sz w:val="24"/>
          <w:szCs w:val="24"/>
        </w:rPr>
      </w:pPr>
    </w:p>
    <w:p w:rsidRDefault="00E60241" w:rsidP="00E60241" w:rsidR="00E60241">
      <w:pPr>
        <w:numPr>
          <w:ilvl w:val="0"/>
          <w:numId w:val="5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PRIVREDNA BANKA ZAGREB d.d., OIB 02535697732, temeljem Sporazuma o zasnivanju založnog prava na nekretninama i pravu na neposrednu ovrhu </w:t>
      </w:r>
      <w:proofErr w:type="spellStart"/>
      <w:r>
        <w:rPr>
          <w:rFonts w:hAnsi="Century Gothic" w:ascii="Century Gothic"/>
        </w:rPr>
        <w:t>solemniziran</w:t>
      </w:r>
      <w:proofErr w:type="spellEnd"/>
      <w:r>
        <w:rPr>
          <w:rFonts w:hAnsi="Century Gothic" w:ascii="Century Gothic"/>
        </w:rPr>
        <w:t xml:space="preserve"> po javnom bilježniku Mladenu Čopu iz Daruvara dana 17.06.2014., pod poslovnim brojem OV-4859/14 na osnovi kojeg su osigurane tražbine iz Ugovora o dugoročnom kreditu s valutnom klauzulom, broj ugovora/partije:5110194577 od 17.06.2014. g., u iznosu od 202.812,54 kune, na nekretnini upisanoj u zemljišne knjige Općinskog suda u Bjelovaru, Zemljišnoknjižni odjel Daruvar, </w:t>
      </w:r>
      <w:proofErr w:type="spellStart"/>
      <w:r>
        <w:rPr>
          <w:rFonts w:hAnsi="Century Gothic" w:ascii="Century Gothic"/>
        </w:rPr>
        <w:t>zk</w:t>
      </w:r>
      <w:proofErr w:type="spellEnd"/>
      <w:r>
        <w:rPr>
          <w:rFonts w:hAnsi="Century Gothic" w:ascii="Century Gothic"/>
        </w:rPr>
        <w:t>. ul. 3360, k.o. Daruvar,  čkbr.818/1,  u naravi Matije Gupca površine 911m</w:t>
      </w:r>
      <w:r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 xml:space="preserve"> a koja se sastoji od dvorišta površine 679 m</w:t>
      </w:r>
      <w:r>
        <w:rPr>
          <w:rFonts w:hAnsi="Century Gothic" w:ascii="Century Gothic"/>
          <w:vertAlign w:val="superscript"/>
        </w:rPr>
        <w:t xml:space="preserve">2 </w:t>
      </w:r>
      <w:r>
        <w:rPr>
          <w:rFonts w:hAnsi="Century Gothic" w:ascii="Century Gothic"/>
        </w:rPr>
        <w:t>i kuće, Daruvar, Matije Gupca 12 površine 232 m</w:t>
      </w:r>
      <w:r>
        <w:rPr>
          <w:rFonts w:hAnsi="Century Gothic" w:ascii="Century Gothic"/>
          <w:vertAlign w:val="superscript"/>
        </w:rPr>
        <w:t xml:space="preserve">2 </w:t>
      </w:r>
      <w:r>
        <w:rPr>
          <w:rFonts w:hAnsi="Century Gothic" w:ascii="Century Gothic"/>
        </w:rPr>
        <w:t>.</w:t>
      </w:r>
    </w:p>
    <w:p w:rsidRDefault="00E60241" w:rsidP="00E60241" w:rsidR="00E60241">
      <w:pPr>
        <w:spacing w:lineRule="auto" w:line="240" w:after="0"/>
        <w:ind w:left="1080"/>
        <w:jc w:val="both"/>
        <w:rPr>
          <w:rFonts w:hAnsi="Century Gothic" w:ascii="Century Gothic"/>
        </w:rPr>
      </w:pPr>
    </w:p>
    <w:p w:rsidRDefault="00E60241" w:rsidP="00E60241" w:rsidR="00E60241">
      <w:pPr>
        <w:pStyle w:val="Odlomakpopisa"/>
        <w:numPr>
          <w:ilvl w:val="0"/>
          <w:numId w:val="5"/>
        </w:num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lastRenderedPageBreak/>
        <w:t xml:space="preserve">VESNA TEKSTILNA INDUSTRIJA d.o.o. za proizvodnju i usluge, OIB:31352432777, Matije Gupca 12, Daruvar, temeljem Sporazuma o zasnivanju založnog prava na nekretninama br. OU-69/17 od 12. lipnja 2017., Aneks Sporazuma o zasnivanju založnog prava na nekretninama br. OU-69/17-2 od 24. srpnja 2017.g., radi osiguranja tražbine u iznosu od 275.000, 00 kuna, na nekretnini upisanoj u zemljišne knjige Općinskog suda u Bjelovaru, Zemljišnoknjižni odjel Daruvar, kč.br.818/1   </w:t>
      </w:r>
      <w:proofErr w:type="spellStart"/>
      <w:r>
        <w:rPr>
          <w:rFonts w:hAnsi="Century Gothic" w:ascii="Century Gothic"/>
        </w:rPr>
        <w:t>zk</w:t>
      </w:r>
      <w:proofErr w:type="spellEnd"/>
      <w:r>
        <w:rPr>
          <w:rFonts w:hAnsi="Century Gothic" w:ascii="Century Gothic"/>
        </w:rPr>
        <w:t xml:space="preserve">. ul. 3360, k.o. Daruvar.  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Obavijesti o izlučnom pravu nisu zaprimljene.</w:t>
      </w:r>
    </w:p>
    <w:p w:rsidRDefault="00E60241" w:rsidP="00E60241" w:rsidR="00E60241">
      <w:pPr>
        <w:spacing w:lineRule="auto" w:line="276" w:after="0"/>
        <w:jc w:val="both"/>
        <w:rPr>
          <w:rFonts w:eastAsiaTheme="minorEastAsia" w:cs="Arial" w:hAnsi="Century Gothic" w:ascii="Century Gothic"/>
          <w:i/>
          <w:color w:val="C00000"/>
          <w:sz w:val="24"/>
          <w:szCs w:val="24"/>
        </w:rPr>
      </w:pPr>
    </w:p>
    <w:p w:rsidRDefault="00E60241" w:rsidP="00E60241" w:rsidR="00E60241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VI         POSTUPCI U TIJEKU</w:t>
      </w:r>
    </w:p>
    <w:p w:rsidRDefault="00E60241" w:rsidP="00E60241" w:rsidR="00E60241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E60241" w:rsidP="00E60241" w:rsidR="00E60241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Na dan sastavljanja ovog izvješća stečajni upravitelj ima saznanja da su prije nastupanja pravnih posljedica otvaranja stečajnog postupka, ovršne postupke protiv dužnika pokrenuli slijedeći vjerovnici:</w:t>
      </w:r>
    </w:p>
    <w:p w:rsidRDefault="00E60241" w:rsidP="00E60241" w:rsidR="00E60241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E60241" w:rsidP="00E60241" w:rsidR="00E60241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hAnsi="Century Gothic" w:ascii="Century Gothic"/>
        </w:rPr>
        <w:t xml:space="preserve"> </w:t>
      </w:r>
    </w:p>
    <w:tbl>
      <w:tblPr>
        <w:tblW w:type="dxa" w:w="9067"/>
        <w:tblLook w:val="04A0" w:noVBand="1" w:noHBand="0" w:lastColumn="0" w:firstColumn="1" w:lastRow="0" w:firstRow="1"/>
      </w:tblPr>
      <w:tblGrid>
        <w:gridCol w:w="561"/>
        <w:gridCol w:w="2100"/>
        <w:gridCol w:w="3855"/>
        <w:gridCol w:w="1417"/>
        <w:gridCol w:w="1134"/>
      </w:tblGrid>
      <w:tr w:rsidTr="00E60241" w:rsidR="00E60241">
        <w:trPr>
          <w:trHeight w:val="300"/>
        </w:trPr>
        <w:tc>
          <w:tcPr>
            <w:tcW w:type="dxa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proofErr w:type="spellStart"/>
            <w:r>
              <w:rPr>
                <w:rFonts w:cs="Times New Roman" w:hAnsi="Century Gothic" w:ascii="Century Gothic"/>
                <w:bCs/>
              </w:rPr>
              <w:t>Rb</w:t>
            </w:r>
            <w:proofErr w:type="spellEnd"/>
            <w:r>
              <w:rPr>
                <w:rFonts w:cs="Times New Roman" w:hAnsi="Century Gothic" w:ascii="Century Gothic"/>
                <w:bCs/>
              </w:rPr>
              <w:t>.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Ovrhovoditelj</w:t>
            </w:r>
          </w:p>
        </w:tc>
        <w:tc>
          <w:tcPr>
            <w:tcW w:type="dxa" w:w="3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center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 xml:space="preserve">Broj </w:t>
            </w:r>
            <w:proofErr w:type="spellStart"/>
            <w:r>
              <w:rPr>
                <w:rFonts w:cs="Times New Roman" w:hAnsi="Century Gothic" w:ascii="Century Gothic"/>
                <w:bCs/>
              </w:rPr>
              <w:t>rj</w:t>
            </w:r>
            <w:proofErr w:type="spellEnd"/>
            <w:r>
              <w:rPr>
                <w:rFonts w:cs="Times New Roman" w:hAnsi="Century Gothic" w:ascii="Century Gothic"/>
                <w:bCs/>
              </w:rPr>
              <w:t>. o ovrsi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Glavni dug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Kamata</w:t>
            </w:r>
          </w:p>
        </w:tc>
      </w:tr>
      <w:tr w:rsidTr="00E60241" w:rsidR="00E60241">
        <w:trPr>
          <w:trHeight w:val="900"/>
        </w:trPr>
        <w:tc>
          <w:tcPr>
            <w:tcW w:type="dxa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1</w:t>
            </w:r>
          </w:p>
        </w:tc>
        <w:tc>
          <w:tcPr>
            <w:tcW w:type="dxa" w:w="21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Agencija za osiguranje radničkih tražbina</w:t>
            </w:r>
          </w:p>
        </w:tc>
        <w:tc>
          <w:tcPr>
            <w:tcW w:type="dxa" w:w="3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Klasa: UP/I-110-02/17-04/0121 - AORT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234.624,17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2.344,63   </w:t>
            </w:r>
          </w:p>
        </w:tc>
      </w:tr>
      <w:tr w:rsidTr="00E60241" w:rsidR="00E60241">
        <w:trPr>
          <w:trHeight w:val="900"/>
        </w:trPr>
        <w:tc>
          <w:tcPr>
            <w:tcW w:type="dxa" w:w="5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2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Agencija za osiguranje radničkih tražbina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Klasa: UP/I-110-02/17-04/0108 - AORT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154.412,47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1.723,64   </w:t>
            </w:r>
          </w:p>
        </w:tc>
      </w:tr>
      <w:tr w:rsidTr="00E60241" w:rsidR="00E60241">
        <w:trPr>
          <w:trHeight w:val="300"/>
        </w:trPr>
        <w:tc>
          <w:tcPr>
            <w:tcW w:type="dxa" w:w="5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3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INA d.d. Zagreb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50717375-17-10-17/003/4105-TP - FINA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894,48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 </w:t>
            </w:r>
          </w:p>
        </w:tc>
      </w:tr>
      <w:tr w:rsidTr="00E60241" w:rsidR="00E60241">
        <w:trPr>
          <w:trHeight w:val="300"/>
        </w:trPr>
        <w:tc>
          <w:tcPr>
            <w:tcW w:type="dxa" w:w="5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4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INA d.d. Zagreb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50717375-17-10-17/003/4105-TP - FINA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434,76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 </w:t>
            </w:r>
          </w:p>
        </w:tc>
      </w:tr>
      <w:tr w:rsidTr="00E60241" w:rsidR="00E60241">
        <w:trPr>
          <w:trHeight w:val="900"/>
        </w:trPr>
        <w:tc>
          <w:tcPr>
            <w:tcW w:type="dxa" w:w="5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5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Agencija za osiguranje radničkih tražbina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Klasa: UP/I-110-02/17-04/0140 - AORT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178.338,48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466,76   </w:t>
            </w:r>
          </w:p>
        </w:tc>
      </w:tr>
      <w:tr w:rsidTr="00E60241" w:rsidR="00E60241">
        <w:trPr>
          <w:trHeight w:val="570"/>
        </w:trPr>
        <w:tc>
          <w:tcPr>
            <w:tcW w:type="dxa" w:w="5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6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 xml:space="preserve">Porezna uprava 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Klasa: 415-01/2017-01/02 - POREZNA UPRAVA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294.757,22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2.410,73   </w:t>
            </w:r>
          </w:p>
        </w:tc>
      </w:tr>
      <w:tr w:rsidTr="00E60241" w:rsidR="00E60241">
        <w:trPr>
          <w:trHeight w:val="1260"/>
        </w:trPr>
        <w:tc>
          <w:tcPr>
            <w:tcW w:type="dxa" w:w="5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7</w:t>
            </w:r>
          </w:p>
        </w:tc>
        <w:tc>
          <w:tcPr>
            <w:tcW w:type="dxa" w:w="2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  <w:bCs/>
              </w:rPr>
            </w:pPr>
            <w:r>
              <w:rPr>
                <w:rFonts w:cs="Times New Roman" w:hAnsi="Century Gothic" w:ascii="Century Gothic"/>
                <w:bCs/>
              </w:rPr>
              <w:t>Općinski sud u Bjelovaru           Stalna služba u Daruvaru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proofErr w:type="spellStart"/>
            <w:r>
              <w:rPr>
                <w:rFonts w:cs="Times New Roman" w:hAnsi="Century Gothic" w:ascii="Century Gothic"/>
              </w:rPr>
              <w:t>Ovr</w:t>
            </w:r>
            <w:proofErr w:type="spellEnd"/>
            <w:r>
              <w:rPr>
                <w:rFonts w:cs="Times New Roman" w:hAnsi="Century Gothic" w:ascii="Century Gothic"/>
              </w:rPr>
              <w:t>.-3825/2017-2 - primljeno 29.11.2017.</w:t>
            </w:r>
          </w:p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ovrhovoditelj POREZNA UPRAVA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 xml:space="preserve">297.167,95  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60241" w:rsidR="00E60241">
            <w:pPr>
              <w:tabs>
                <w:tab w:pos="4153" w:val="center"/>
                <w:tab w:pos="8306" w:val="right"/>
              </w:tabs>
              <w:spacing w:lineRule="auto" w:line="240" w:after="0"/>
              <w:jc w:val="both"/>
              <w:rPr>
                <w:rFonts w:cs="Times New Roman" w:hAnsi="Century Gothic" w:ascii="Century Gothic"/>
              </w:rPr>
            </w:pPr>
            <w:r>
              <w:rPr>
                <w:rFonts w:cs="Times New Roman" w:hAnsi="Century Gothic" w:ascii="Century Gothic"/>
              </w:rPr>
              <w:t> </w:t>
            </w:r>
          </w:p>
        </w:tc>
      </w:tr>
    </w:tbl>
    <w:p w:rsidRDefault="00E60241" w:rsidP="00E60241" w:rsidR="00E60241">
      <w:pPr>
        <w:tabs>
          <w:tab w:pos="4153" w:val="center"/>
          <w:tab w:pos="8306" w:val="right"/>
        </w:tabs>
        <w:spacing w:lineRule="auto" w:line="240" w:after="0"/>
        <w:jc w:val="both"/>
        <w:rPr>
          <w:rFonts w:cs="Times New Roman" w:eastAsia="Times New Roman" w:hAnsi="Century Gothic" w:ascii="Century Gothic"/>
          <w:color w:val="C00000"/>
          <w:lang w:eastAsia="hr-HR"/>
        </w:rPr>
      </w:pPr>
    </w:p>
    <w:p w:rsidRDefault="00E60241" w:rsidP="00E60241" w:rsidR="00E60241">
      <w:pPr>
        <w:tabs>
          <w:tab w:pos="709" w:val="left"/>
        </w:tabs>
        <w:spacing w:lineRule="auto" w:line="288" w:after="0"/>
        <w:jc w:val="both"/>
        <w:rPr>
          <w:rFonts w:eastAsiaTheme="minorEastAsia" w:cs="Tahoma" w:hAnsi="Century Gothic" w:ascii="Century Gothic"/>
          <w:bCs/>
        </w:rPr>
      </w:pPr>
      <w:r>
        <w:rPr>
          <w:rFonts w:eastAsiaTheme="minorEastAsia" w:cs="Tahoma" w:hAnsi="Century Gothic" w:ascii="Century Gothic"/>
          <w:bCs/>
        </w:rPr>
        <w:t xml:space="preserve"> </w:t>
      </w:r>
    </w:p>
    <w:p w:rsidRDefault="00E60241" w:rsidP="00E60241" w:rsidR="00E60241">
      <w:pPr>
        <w:tabs>
          <w:tab w:pos="709" w:val="left"/>
        </w:tabs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VII</w:t>
      </w:r>
      <w:r>
        <w:rPr>
          <w:rFonts w:eastAsiaTheme="minorEastAsia" w:cs="Tahoma" w:hAnsi="Century Gothic" w:ascii="Century Gothic"/>
        </w:rPr>
        <w:tab/>
        <w:t>PRIJEDLOZI STEČAJNOG UPRAVITELJA</w:t>
      </w:r>
    </w:p>
    <w:p w:rsidRDefault="00E60241" w:rsidP="00E60241" w:rsidR="00E60241">
      <w:pPr>
        <w:tabs>
          <w:tab w:pos="709" w:val="left"/>
        </w:tabs>
        <w:spacing w:lineRule="auto" w:line="288" w:after="0"/>
        <w:jc w:val="both"/>
        <w:rPr>
          <w:rFonts w:eastAsiaTheme="minorEastAsia" w:cs="Tahoma" w:hAnsi="Century Gothic" w:ascii="Century Gothic"/>
        </w:rPr>
      </w:pP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Slijedom gore navedenog, stečajni upravitelj predlaže da vjerovnici donesu slijedeće odluke:</w:t>
      </w:r>
    </w:p>
    <w:p w:rsidRDefault="00E60241" w:rsidP="00E60241" w:rsidR="00E60241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Arial" w:hAnsi="Century Gothic" w:ascii="Century Gothic"/>
        </w:rPr>
        <w:t>prihvaća se Izvješće stečajnog upravitelja o gospodarskom položaju dužnika i njegovim uzrocima,</w:t>
      </w:r>
    </w:p>
    <w:p w:rsidRDefault="00E60241" w:rsidP="00E60241" w:rsidR="00E60241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Arial" w:hAnsi="Century Gothic" w:ascii="Century Gothic"/>
        </w:rPr>
        <w:lastRenderedPageBreak/>
        <w:t>prihvaćaju se dosad poduzete radnje stečajnog upravitelja,</w:t>
      </w:r>
    </w:p>
    <w:p w:rsidRDefault="00E60241" w:rsidP="00E60241" w:rsidR="00E60241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Arial" w:hAnsi="Century Gothic" w:ascii="Century Gothic"/>
        </w:rPr>
        <w:t>utvrđuje se da nema mogućnosti za nastavak poslovanja,</w:t>
      </w:r>
    </w:p>
    <w:p w:rsidRDefault="00E60241" w:rsidP="00E60241" w:rsidR="00E60241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odobrava se ugovor o zakupu poslovnoga prostora,</w:t>
      </w:r>
    </w:p>
    <w:p w:rsidRDefault="00E60241" w:rsidP="00E60241" w:rsidR="00E60241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cs="Tahoma" w:eastAsia="Calibri" w:hAnsi="Century Gothic" w:ascii="Century Gothic"/>
          <w:bdr w:frame="true" w:space="0" w:sz="0" w:color="auto" w:val="none"/>
          <w:lang w:eastAsia="hr-HR"/>
        </w:rPr>
        <w:t xml:space="preserve">imovina stečajnog dužnika će se unovčiti na način da se: </w:t>
      </w:r>
    </w:p>
    <w:p w:rsidRDefault="00E60241" w:rsidP="00E60241" w:rsidR="00E60241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spacing w:lineRule="auto" w:line="288" w:after="0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ahoma" w:eastAsia="Calibri" w:hAnsi="Century Gothic" w:ascii="Century Gothic"/>
          <w:bdr w:frame="true" w:space="0" w:sz="0" w:color="auto" w:val="none"/>
          <w:lang w:eastAsia="hr-HR"/>
        </w:rPr>
        <w:t xml:space="preserve">nekretnina </w:t>
      </w:r>
      <w:r>
        <w:rPr>
          <w:rFonts w:cs="Times New Roman" w:eastAsia="Times New Roman" w:hAnsi="Century Gothic" w:ascii="Century Gothic"/>
          <w:lang w:eastAsia="hr-HR"/>
        </w:rPr>
        <w:t>prodaje se u stečajnom postupku uz odgovarajuću primjenu</w:t>
      </w:r>
    </w:p>
    <w:p w:rsidRDefault="00E60241" w:rsidP="00E60241" w:rsidR="00E60241">
      <w:pPr>
        <w:pStyle w:val="Odlomakpopisa"/>
        <w:autoSpaceDE w:val="false"/>
        <w:autoSpaceDN w:val="false"/>
        <w:adjustRightInd w:val="false"/>
        <w:spacing w:lineRule="auto" w:line="288" w:after="0"/>
        <w:ind w:left="1068"/>
        <w:jc w:val="both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 xml:space="preserve">pravila ovršnoga postupka, </w:t>
      </w:r>
      <w:r>
        <w:rPr>
          <w:rFonts w:eastAsia="Times New Roman" w:hAnsi="Century Gothic" w:ascii="Century Gothic"/>
          <w:lang w:eastAsia="hr-HR"/>
        </w:rPr>
        <w:t>elektroničkom javnom dražbom koju će provesti Financijska agencija,</w:t>
      </w:r>
    </w:p>
    <w:p w:rsidRDefault="00E60241" w:rsidP="00E60241" w:rsidR="00E60241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Tahoma" w:hAnsi="Century Gothic" w:ascii="Century Gothic"/>
        </w:rPr>
      </w:pPr>
      <w:r>
        <w:rPr>
          <w:rFonts w:eastAsia="Times New Roman" w:hAnsi="Century Gothic" w:ascii="Century Gothic"/>
          <w:lang w:eastAsia="hr-HR"/>
        </w:rPr>
        <w:t>pokretnine prodaju</w:t>
      </w:r>
      <w:r>
        <w:rPr>
          <w:rFonts w:cs="Tahoma" w:eastAsia="Calibri" w:hAnsi="Century Gothic" w:ascii="Century Gothic"/>
          <w:color w:val="C00000"/>
          <w:bdr w:frame="true" w:space="0" w:sz="0" w:color="auto" w:val="none"/>
          <w:lang w:eastAsia="hr-HR"/>
        </w:rPr>
        <w:t xml:space="preserve"> </w:t>
      </w:r>
      <w:r>
        <w:rPr>
          <w:rFonts w:cs="Tahoma" w:eastAsia="Calibri" w:hAnsi="Century Gothic" w:ascii="Century Gothic"/>
          <w:bdr w:frame="true" w:space="0" w:sz="0" w:color="auto" w:val="none"/>
          <w:lang w:eastAsia="hr-HR"/>
        </w:rPr>
        <w:t>objavom oglasa o prodaji prikupljanjem pisanih ponuda, početna cijena  kod prvog oglasa biti će cijena koju će utvrditi ovlašteni sudski vještak, ali ne ispod 2/3 procijenjene vrijednosti. Ukoliko se imovina ne proda po toj vrijednosti, u drugom pokušaju će se prodavati po ½ procijenjene vrijednosti, a u trećem pokušaju po 1/3 procijenjene vrijednosti. Ako se imovina ne proda niti nakon trećeg pokušaja, može se prodati slobodnom pogodbom.</w:t>
      </w: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Calibri" w:hAnsi="Century Gothic" w:ascii="Century Gothic"/>
        </w:rPr>
      </w:pP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jc w:val="both"/>
        <w:rPr>
          <w:rFonts w:eastAsiaTheme="minorEastAsia" w:cs="Calibri" w:hAnsi="Century Gothic" w:ascii="Century Gothic"/>
        </w:rPr>
      </w:pPr>
      <w:r>
        <w:rPr>
          <w:rFonts w:eastAsiaTheme="minorEastAsia" w:cs="Calibri" w:hAnsi="Century Gothic" w:ascii="Century Gothic"/>
        </w:rPr>
        <w:t>U Križevcima, 28. siječnja 2018.</w:t>
      </w: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jc w:val="right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Stečajni upravitelj</w:t>
      </w: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ind w:firstLine="708" w:left="6372"/>
        <w:jc w:val="center"/>
        <w:rPr>
          <w:rFonts w:eastAsiaTheme="minorEastAsia" w:cs="Tahoma" w:hAnsi="Century Gothic" w:ascii="Century Gothic"/>
        </w:rPr>
      </w:pPr>
    </w:p>
    <w:p w:rsidRDefault="00E60241" w:rsidP="00E60241" w:rsidR="00E60241">
      <w:pPr>
        <w:autoSpaceDE w:val="false"/>
        <w:autoSpaceDN w:val="false"/>
        <w:adjustRightInd w:val="false"/>
        <w:spacing w:lineRule="auto" w:line="288" w:after="0"/>
        <w:ind w:firstLine="708" w:left="6372"/>
        <w:jc w:val="center"/>
        <w:rPr>
          <w:rFonts w:eastAsiaTheme="minorEastAsia" w:cs="Tahoma" w:hAnsi="Century Gothic" w:ascii="Century Gothic"/>
        </w:rPr>
      </w:pPr>
      <w:r>
        <w:rPr>
          <w:rFonts w:eastAsiaTheme="minorEastAsia" w:cs="Tahoma" w:hAnsi="Century Gothic" w:ascii="Century Gothic"/>
        </w:rPr>
        <w:t>Darko Šket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sz w:val="18"/>
          <w:szCs w:val="18"/>
          <w:lang w:eastAsia="hr-HR"/>
        </w:rPr>
      </w:pP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 xml:space="preserve">Prilog: </w:t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</w: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ab/>
        <w:t xml:space="preserve"> 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sz w:val="18"/>
          <w:szCs w:val="18"/>
          <w:lang w:eastAsia="hr-HR"/>
        </w:rPr>
      </w:pP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 xml:space="preserve">1x Bilanca za poduzetnike  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sz w:val="18"/>
          <w:szCs w:val="18"/>
          <w:lang w:eastAsia="hr-HR"/>
        </w:rPr>
      </w:pP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 xml:space="preserve">     na dan 14. 11.2017. g.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sz w:val="18"/>
          <w:szCs w:val="18"/>
          <w:lang w:eastAsia="hr-HR"/>
        </w:rPr>
      </w:pP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>1x Račun dobiti i gubitka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sz w:val="18"/>
          <w:szCs w:val="18"/>
          <w:lang w:eastAsia="hr-HR"/>
        </w:rPr>
      </w:pP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 xml:space="preserve">     na dan  14. 11.2017 g.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sz w:val="18"/>
          <w:szCs w:val="18"/>
          <w:lang w:eastAsia="hr-HR"/>
        </w:rPr>
      </w:pPr>
      <w:r>
        <w:rPr>
          <w:rFonts w:cs="Times New Roman" w:eastAsia="Times New Roman" w:hAnsi="Century Gothic" w:ascii="Century Gothic"/>
          <w:sz w:val="18"/>
          <w:szCs w:val="18"/>
          <w:lang w:eastAsia="hr-HR"/>
        </w:rPr>
        <w:t>1x izvadak iz zemljišne knjige</w:t>
      </w: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lang w:eastAsia="hr-HR"/>
        </w:rPr>
      </w:pPr>
    </w:p>
    <w:p w:rsidRDefault="00E60241" w:rsidP="00E60241" w:rsidR="00E60241">
      <w:pPr>
        <w:spacing w:lineRule="auto" w:line="240" w:after="0"/>
        <w:jc w:val="both"/>
        <w:rPr>
          <w:rFonts w:cs="Times New Roman" w:eastAsia="Times New Roman" w:hAnsi="Century Gothic" w:ascii="Century Gothic"/>
          <w:color w:val="C00000"/>
          <w:lang w:eastAsia="hr-HR"/>
        </w:rPr>
      </w:pPr>
      <w:r>
        <w:rPr>
          <w:rFonts w:cs="Times New Roman" w:eastAsia="Times New Roman" w:hAnsi="Century Gothic" w:ascii="Century Gothic"/>
          <w:color w:val="C00000"/>
          <w:lang w:eastAsia="hr-HR"/>
        </w:rPr>
        <w:t xml:space="preserve"> </w:t>
      </w:r>
    </w:p>
    <w:p w:rsidRDefault="00D36CB0" w:rsidR="00D36CB0"/>
    <w:sectPr w:rsidR="00D36C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ArialMT">
    <w:altName w:val="Arial"/>
    <w:charset w:val="00"/>
    <w:family w:val="swiss"/>
    <w:pitch w:val="variable"/>
    <w:sig w:csb1="00000000" w:csb0="000001FF" w:usb3="00000000" w:usb2="00000009" w:usb1="C0007843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F2264"/>
    <w:multiLevelType w:val="hybridMultilevel"/>
    <w:tmpl w:val="97E6D1C6"/>
    <w:lvl w:tplc="C5003A14" w:ilvl="0">
      <w:start w:val="2"/>
      <w:numFmt w:val="bullet"/>
      <w:lvlText w:val="-"/>
      <w:lvlJc w:val="left"/>
      <w:pPr>
        <w:ind w:hanging="360" w:left="1068"/>
      </w:pPr>
      <w:rPr>
        <w:rFonts w:cs="Tahoma" w:eastAsia="Calibri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962E70"/>
    <w:multiLevelType w:val="hybridMultilevel"/>
    <w:tmpl w:val="611CD104"/>
    <w:lvl w:tplc="43A8FB66" w:ilvl="0">
      <w:start w:val="1"/>
      <w:numFmt w:val="lowerLetter"/>
      <w:lvlText w:val="%1)"/>
      <w:lvlJc w:val="left"/>
      <w:pPr>
        <w:ind w:hanging="360" w:left="720"/>
      </w:pPr>
      <w:rPr>
        <w:sz w:val="22"/>
        <w:szCs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961A3"/>
    <w:multiLevelType w:val="hybridMultilevel"/>
    <w:tmpl w:val="8A06A1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426F9A"/>
    <w:multiLevelType w:val="hybridMultilevel"/>
    <w:tmpl w:val="7FD8253A"/>
    <w:lvl w:tplc="685C1F3A" w:ilvl="0">
      <w:start w:val="1"/>
      <w:numFmt w:val="decimal"/>
      <w:lvlText w:val="%1."/>
      <w:lvlJc w:val="left"/>
      <w:pPr>
        <w:ind w:hanging="36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7E45B1"/>
    <w:multiLevelType w:val="hybridMultilevel"/>
    <w:tmpl w:val="FC18C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2A2B34"/>
    <w:multiLevelType w:val="hybridMultilevel"/>
    <w:tmpl w:val="571A0260"/>
    <w:lvl w:tplc="EE3E71E8" w:ilvl="0">
      <w:start w:val="2"/>
      <w:numFmt w:val="bullet"/>
      <w:lvlText w:val="-"/>
      <w:lvlJc w:val="left"/>
      <w:pPr>
        <w:ind w:hanging="360" w:left="1080"/>
      </w:pPr>
      <w:rPr>
        <w:rFonts w:cstheme="minorBidi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241"/>
    <w:rsid w:val="00BC759B"/>
    <w:rsid w:val="00D36CB0"/>
    <w:rsid w:val="00E6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241"/>
    <w:pPr>
      <w:spacing w:lineRule="auto" w:line="256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0241"/>
    <w:pPr>
      <w:ind w:left="720"/>
      <w:contextualSpacing/>
    </w:pPr>
  </w:style>
  <w:style w:customStyle="true" w:styleId="TableGrid" w:type="table">
    <w:name w:val="TableGrid"/>
    <w:rsid w:val="00E60241"/>
    <w:pPr>
      <w:spacing w:lineRule="auto" w:line="240" w:after="0"/>
    </w:pPr>
    <w:rPr>
      <w:rFonts w:eastAsiaTheme="minorEastAsia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BC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59B"/>
    <w:rPr>
      <w:rFonts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59B"/>
    <w:rPr>
      <w:rFonts w:cs="Times New Roman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59B"/>
    <w:rPr>
      <w:rFonts w:cs="Times New Roman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241"/>
    <w:pPr>
      <w:spacing w:after="160"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0241"/>
    <w:pPr>
      <w:ind w:left="720"/>
      <w:contextualSpacing/>
    </w:pPr>
  </w:style>
  <w:style w:customStyle="1" w:styleId="TableGrid" w:type="table">
    <w:name w:val="TableGrid"/>
    <w:rsid w:val="00E60241"/>
    <w:pPr>
      <w:spacing w:after="0" w:line="240" w:lineRule="auto"/>
    </w:pPr>
    <w:rPr>
      <w:rFonts w:eastAsiaTheme="minorEastAsia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BC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59B"/>
    <w:rPr>
      <w:rFonts w:ascii="Century Gothic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59B"/>
    <w:rPr>
      <w:rFonts w:ascii="Century Gothic" w:cs="Times New Roman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59B"/>
    <w:rPr>
      <w:rFonts w:ascii="Century Gothic" w:cs="Times New Roman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08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izvorni_sadrzaj>
    <derivirana_varijabla naziv="DomainObject.Predmet.SudioniciListNazivOIB_1"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3247</properties:Words>
  <properties:Characters>19291</properties:Characters>
  <properties:Lines>586</properties:Lines>
  <properties:Paragraphs>279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2018-02-01T07:59:00Z</dcterms:created>
  <dc:creator>Vesna Dragišić</dc:creator>
  <cp:lastModifiedBy>Vesna Dragišić</cp:lastModifiedBy>
  <dcterms:modified xmlns:xsi="http://www.w3.org/2001/XMLSchema-instance" xsi:type="dcterms:W3CDTF">2018-02-01T08:15:00Z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