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fc17" w14:paraId="df8fc17" w:rsidRDefault="004D185E" w:rsidP="004D185E" w:rsidR="004D185E" w:rsidRPr="004D185E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4D185E"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185E" w:rsidP="00757911" w:rsidR="004D185E">
      <w:r>
        <w:t xml:space="preserve">REPUBLIKA HRVATSKA                                                                             </w:t>
      </w:r>
    </w:p>
    <w:p w:rsidRDefault="004D185E" w:rsidP="00757911" w:rsidR="004D185E">
      <w:r>
        <w:t>Trgovački sud u Zagrebu</w:t>
      </w:r>
    </w:p>
    <w:p w:rsidRDefault="004D185E" w:rsidP="00757911" w:rsidR="004D185E">
      <w:r>
        <w:t>Zagreb, Amruševa 2/II</w:t>
      </w:r>
    </w:p>
    <w:p w:rsidRDefault="004D185E" w:rsidP="004D185E" w:rsidR="004D185E" w:rsidRPr="004D185E">
      <w:pPr>
        <w:rPr>
          <w:rFonts w:eastAsia="Times New Roman"/>
          <w:lang w:eastAsia="hr-HR"/>
        </w:rPr>
      </w:pPr>
    </w:p>
    <w:p w:rsidRDefault="004D185E" w:rsidP="004D185E" w:rsidR="004D185E" w:rsidRPr="004D185E">
      <w:pPr>
        <w:rPr>
          <w:rFonts w:eastAsia="Times New Roman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R E P U B L I K A    H R V A T S K A</w:t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R J E Š E N J E</w:t>
      </w:r>
    </w:p>
    <w:p w:rsidRDefault="004D185E" w:rsidP="004D185E" w:rsidR="004D185E" w:rsidRPr="004D185E">
      <w:pPr>
        <w:jc w:val="center"/>
        <w:rPr>
          <w:rFonts w:eastAsia="Times New Roman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ab/>
        <w:t xml:space="preserve">Trgovački sud u Zagrebu po sucu pojedincu </w:t>
      </w:r>
      <w:r w:rsidRPr="004D185E">
        <w:rPr>
          <w:rFonts w:eastAsia="Times New Roman"/>
          <w:shd w:themeFill="background1" w:fill="FFFFFF" w:color="auto" w:val="clear"/>
          <w:lang w:eastAsia="hr-HR"/>
        </w:rPr>
        <w:t xml:space="preserve">Mirjani Chour Hršak, </w:t>
      </w:r>
      <w:r w:rsidRPr="004D185E">
        <w:rPr>
          <w:rFonts w:eastAsia="Times New Roman"/>
          <w:lang w:eastAsia="hr-HR"/>
        </w:rPr>
        <w:t xml:space="preserve">u skraćenom stečajnom postupku pokrenutim nad dužnikom </w:t>
      </w:r>
      <w:r>
        <w:rPr>
          <w:rFonts w:eastAsia="Times New Roman"/>
          <w:lang w:eastAsia="hr-HR"/>
        </w:rPr>
        <w:t xml:space="preserve">OZALJ-PROMET </w:t>
      </w:r>
      <w:r w:rsidRPr="00DE5125">
        <w:rPr>
          <w:rFonts w:eastAsia="Times New Roman"/>
          <w:lang w:eastAsia="hr-HR"/>
        </w:rPr>
        <w:t xml:space="preserve">d.o.o. sa sjedištem u: </w:t>
      </w:r>
      <w:r>
        <w:rPr>
          <w:rFonts w:eastAsia="Times New Roman"/>
          <w:lang w:eastAsia="hr-HR"/>
        </w:rPr>
        <w:t>Ulica Gjure Eisenhutha 1</w:t>
      </w:r>
      <w:r w:rsidRPr="00DE5125">
        <w:rPr>
          <w:rFonts w:eastAsia="Times New Roman"/>
          <w:lang w:eastAsia="hr-HR"/>
        </w:rPr>
        <w:t xml:space="preserve">, 10000 Zagreb, OIB: </w:t>
      </w:r>
      <w:r>
        <w:rPr>
          <w:rFonts w:eastAsia="Times New Roman"/>
          <w:lang w:eastAsia="hr-HR"/>
        </w:rPr>
        <w:t>60132643696</w:t>
      </w:r>
      <w:r w:rsidRPr="004D185E">
        <w:rPr>
          <w:rFonts w:eastAsia="Times New Roman"/>
          <w:szCs w:val="20"/>
          <w:lang w:eastAsia="hr-HR" w:val="en-GB"/>
        </w:rPr>
        <w:t xml:space="preserve">, </w:t>
      </w:r>
      <w:r w:rsidRPr="004D185E">
        <w:rPr>
          <w:rFonts w:eastAsia="Times New Roman"/>
          <w:lang w:eastAsia="hr-HR"/>
        </w:rPr>
        <w:t>dana 0</w:t>
      </w:r>
      <w:r>
        <w:rPr>
          <w:rFonts w:eastAsia="Times New Roman"/>
          <w:lang w:eastAsia="hr-HR"/>
        </w:rPr>
        <w:t>8</w:t>
      </w:r>
      <w:r w:rsidRPr="004D185E">
        <w:rPr>
          <w:rFonts w:eastAsia="Times New Roman"/>
          <w:lang w:eastAsia="hr-HR"/>
        </w:rPr>
        <w:t xml:space="preserve">. lipnja 2016. godine </w:t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r i j e š i o    je</w:t>
      </w:r>
    </w:p>
    <w:p w:rsidRDefault="004D185E" w:rsidP="004D185E" w:rsidR="004D185E" w:rsidRPr="004D185E">
      <w:pPr>
        <w:jc w:val="center"/>
        <w:rPr>
          <w:rFonts w:eastAsia="Times New Roman"/>
          <w:lang w:eastAsia="hr-HR"/>
        </w:rPr>
      </w:pPr>
    </w:p>
    <w:p w:rsidRDefault="004D185E" w:rsidP="004D185E" w:rsidR="004D185E" w:rsidRPr="004D185E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I</w:t>
      </w:r>
      <w:r w:rsidRPr="004D185E">
        <w:rPr>
          <w:rFonts w:eastAsia="Times New Roman"/>
          <w:lang w:eastAsia="hr-HR"/>
        </w:rPr>
        <w:tab/>
        <w:t xml:space="preserve">Otvara se stečajni postupak nad dužnikom </w:t>
      </w:r>
      <w:r>
        <w:rPr>
          <w:rFonts w:eastAsia="Times New Roman"/>
          <w:lang w:eastAsia="hr-HR"/>
        </w:rPr>
        <w:t xml:space="preserve">OZALJ-PROMET </w:t>
      </w:r>
      <w:r w:rsidRPr="00DE5125">
        <w:rPr>
          <w:rFonts w:eastAsia="Times New Roman"/>
          <w:lang w:eastAsia="hr-HR"/>
        </w:rPr>
        <w:t xml:space="preserve">d.o.o. sa sjedištem u: </w:t>
      </w:r>
      <w:r>
        <w:rPr>
          <w:rFonts w:eastAsia="Times New Roman"/>
          <w:lang w:eastAsia="hr-HR"/>
        </w:rPr>
        <w:t>Ulica Gjure Eisenhutha 1</w:t>
      </w:r>
      <w:r w:rsidRPr="00DE5125">
        <w:rPr>
          <w:rFonts w:eastAsia="Times New Roman"/>
          <w:lang w:eastAsia="hr-HR"/>
        </w:rPr>
        <w:t xml:space="preserve">, 10000 Zagreb, OIB: </w:t>
      </w:r>
      <w:r>
        <w:rPr>
          <w:rFonts w:eastAsia="Times New Roman"/>
          <w:lang w:eastAsia="hr-HR"/>
        </w:rPr>
        <w:t>60132643696</w:t>
      </w:r>
      <w:r w:rsidRPr="004D185E">
        <w:rPr>
          <w:rFonts w:eastAsia="Times New Roman"/>
          <w:szCs w:val="20"/>
          <w:lang w:eastAsia="hr-HR"/>
        </w:rPr>
        <w:t xml:space="preserve">, </w:t>
      </w:r>
      <w:r w:rsidRPr="004D185E">
        <w:rPr>
          <w:rFonts w:eastAsia="Times New Roman"/>
          <w:lang w:eastAsia="hr-HR"/>
        </w:rPr>
        <w:t>Stečajni postupak otvoren je dana 0</w:t>
      </w:r>
      <w:r>
        <w:rPr>
          <w:rFonts w:eastAsia="Times New Roman"/>
          <w:lang w:eastAsia="hr-HR"/>
        </w:rPr>
        <w:t>8</w:t>
      </w:r>
      <w:r w:rsidRPr="004D185E">
        <w:rPr>
          <w:rFonts w:eastAsia="Times New Roman"/>
          <w:lang w:eastAsia="hr-HR"/>
        </w:rPr>
        <w:t>. lipnja 2016. godine u 15 sati i 00 minuta, kada je ovo rješenje objavljeno na mrežnoj stranici e-Oglasne ploča ovog suda.</w:t>
      </w:r>
    </w:p>
    <w:p w:rsidRDefault="004D185E" w:rsidP="004D185E" w:rsidR="004D185E" w:rsidRPr="004D185E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II</w:t>
      </w:r>
      <w:r w:rsidRPr="004D185E">
        <w:rPr>
          <w:rFonts w:eastAsia="Times New Roman"/>
          <w:lang w:eastAsia="hr-HR"/>
        </w:rPr>
        <w:tab/>
        <w:t xml:space="preserve">Za stečajnog upravitelja imenuje se </w:t>
      </w:r>
      <w:r>
        <w:rPr>
          <w:rFonts w:eastAsia="Times New Roman"/>
          <w:lang w:eastAsia="hr-HR"/>
        </w:rPr>
        <w:t>Anđelko Stankus, Varaždin, Braće Radić 20</w:t>
      </w:r>
      <w:r w:rsidRPr="004D185E">
        <w:rPr>
          <w:rFonts w:eastAsia="Times New Roman"/>
          <w:lang w:eastAsia="hr-HR"/>
        </w:rPr>
        <w:t xml:space="preserve">, OIB: </w:t>
      </w:r>
      <w:r>
        <w:rPr>
          <w:rFonts w:eastAsia="Times New Roman"/>
          <w:lang w:eastAsia="hr-HR"/>
        </w:rPr>
        <w:t>11168088853</w:t>
      </w:r>
      <w:r w:rsidRPr="004D185E">
        <w:rPr>
          <w:rFonts w:eastAsia="Times New Roman"/>
          <w:lang w:eastAsia="hr-HR"/>
        </w:rPr>
        <w:t>.</w:t>
      </w:r>
    </w:p>
    <w:p w:rsidRDefault="004D185E" w:rsidP="004D185E" w:rsidR="004D185E" w:rsidRPr="004D185E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ind w:hanging="709" w:left="709"/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III</w:t>
      </w:r>
      <w:r w:rsidRPr="004D185E">
        <w:rPr>
          <w:rFonts w:eastAsia="Times New Roman"/>
          <w:lang w:eastAsia="hr-HR"/>
        </w:rPr>
        <w:tab/>
        <w:t xml:space="preserve">Zaključuje se stečajni postupak nad dužnikom </w:t>
      </w:r>
      <w:r>
        <w:rPr>
          <w:rFonts w:eastAsia="Times New Roman"/>
          <w:lang w:eastAsia="hr-HR"/>
        </w:rPr>
        <w:t xml:space="preserve">OZALJ-PROMET </w:t>
      </w:r>
      <w:r w:rsidRPr="00DE5125">
        <w:rPr>
          <w:rFonts w:eastAsia="Times New Roman"/>
          <w:lang w:eastAsia="hr-HR"/>
        </w:rPr>
        <w:t xml:space="preserve">d.o.o. sa sjedištem u: </w:t>
      </w:r>
      <w:r>
        <w:rPr>
          <w:rFonts w:eastAsia="Times New Roman"/>
          <w:lang w:eastAsia="hr-HR"/>
        </w:rPr>
        <w:t>Ulica Gjure Eisenhutha 1</w:t>
      </w:r>
      <w:r w:rsidRPr="00DE5125">
        <w:rPr>
          <w:rFonts w:eastAsia="Times New Roman"/>
          <w:lang w:eastAsia="hr-HR"/>
        </w:rPr>
        <w:t xml:space="preserve">, 10000 Zagreb, OIB: </w:t>
      </w:r>
      <w:r>
        <w:rPr>
          <w:rFonts w:eastAsia="Times New Roman"/>
          <w:lang w:eastAsia="hr-HR"/>
        </w:rPr>
        <w:t>60132643696</w:t>
      </w:r>
      <w:r w:rsidRPr="004D185E">
        <w:rPr>
          <w:rFonts w:eastAsia="Times New Roman"/>
          <w:szCs w:val="20"/>
          <w:lang w:eastAsia="hr-HR" w:val="en-GB"/>
        </w:rPr>
        <w:t>.</w:t>
      </w:r>
    </w:p>
    <w:p w:rsidRDefault="004D185E" w:rsidP="004D185E" w:rsidR="004D185E" w:rsidRPr="004D185E">
      <w:pPr>
        <w:ind w:left="720"/>
        <w:contextualSpacing/>
        <w:rPr>
          <w:rFonts w:eastAsia="Times New Roman"/>
          <w:lang w:eastAsia="hr-HR"/>
        </w:rPr>
      </w:pPr>
    </w:p>
    <w:p w:rsidRDefault="004D185E" w:rsidP="004D185E" w:rsidR="004D185E" w:rsidRPr="004D185E">
      <w:pPr>
        <w:ind w:hanging="360" w:left="360"/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 xml:space="preserve">IV </w:t>
      </w:r>
      <w:r w:rsidRPr="004D185E">
        <w:rPr>
          <w:rFonts w:eastAsia="Times New Roman"/>
          <w:lang w:eastAsia="hr-HR"/>
        </w:rPr>
        <w:tab/>
      </w:r>
      <w:r w:rsidRPr="004D185E">
        <w:rPr>
          <w:rFonts w:eastAsia="Times New Roman"/>
          <w:lang w:eastAsia="hr-HR"/>
        </w:rPr>
        <w:tab/>
        <w:t>Nakon po pravomoćnosti ovog rješenja,  dužnik će se  brisati iz sudskog registra.</w:t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ind w:left="360"/>
        <w:jc w:val="center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Obrazloženje</w:t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lang w:eastAsia="hr-HR"/>
        </w:rPr>
        <w:tab/>
        <w:t xml:space="preserve">Zahtjev za provedbu skraćenog stečajnog postupka podnijela je ovome sudu </w:t>
      </w:r>
      <w:r w:rsidRPr="004D185E">
        <w:rPr>
          <w:rFonts w:eastAsia="Times New Roman"/>
          <w:szCs w:val="20"/>
          <w:lang w:eastAsia="hr-HR" w:val="en-GB"/>
        </w:rPr>
        <w:t>Financijsk</w:t>
      </w:r>
      <w:r w:rsidR="00592234">
        <w:rPr>
          <w:rFonts w:eastAsia="Times New Roman"/>
          <w:szCs w:val="20"/>
          <w:lang w:eastAsia="hr-HR" w:val="en-GB"/>
        </w:rPr>
        <w:t>a</w:t>
      </w:r>
      <w:r w:rsidRPr="004D185E">
        <w:rPr>
          <w:rFonts w:eastAsia="Times New Roman"/>
          <w:szCs w:val="20"/>
          <w:lang w:eastAsia="hr-HR" w:val="en-GB"/>
        </w:rPr>
        <w:t xml:space="preserve"> agencij</w:t>
      </w:r>
      <w:r w:rsidR="00592234">
        <w:rPr>
          <w:rFonts w:eastAsia="Times New Roman"/>
          <w:szCs w:val="20"/>
          <w:lang w:eastAsia="hr-HR" w:val="en-GB"/>
        </w:rPr>
        <w:t>a</w:t>
      </w:r>
      <w:r w:rsidRPr="004D185E">
        <w:rPr>
          <w:rFonts w:eastAsia="Times New Roman"/>
          <w:szCs w:val="20"/>
          <w:lang w:eastAsia="hr-HR" w:val="en-GB"/>
        </w:rPr>
        <w:t>, RC Zagreb, Podružnica Zagreb, Trg svibanjskih žrtava 1995. 1, OIB: 85821130368,</w:t>
      </w:r>
      <w:r w:rsidRPr="004D185E">
        <w:rPr>
          <w:rFonts w:eastAsia="Times New Roman" w:hAnsi="Arial" w:ascii="Arial"/>
          <w:szCs w:val="20"/>
          <w:lang w:eastAsia="hr-HR" w:val="en-GB"/>
        </w:rPr>
        <w:t xml:space="preserve"> </w:t>
      </w:r>
      <w:r w:rsidRPr="004D185E">
        <w:rPr>
          <w:rFonts w:eastAsia="Times New Roman"/>
          <w:lang w:eastAsia="hr-HR"/>
        </w:rPr>
        <w:t xml:space="preserve">(dalje: FINA), temeljem odredbe čl. 429. </w:t>
      </w:r>
      <w:r w:rsidRPr="004D185E">
        <w:rPr>
          <w:rFonts w:eastAsia="Times New Roman"/>
          <w:szCs w:val="20"/>
          <w:lang w:eastAsia="hr-HR"/>
        </w:rPr>
        <w:t xml:space="preserve">Stečajnog zakona (NN 71/15, dalje SZ), nakon čega je ovaj sud rješenjem od </w:t>
      </w:r>
      <w:r w:rsidR="009802EE">
        <w:rPr>
          <w:rFonts w:eastAsia="Times New Roman"/>
          <w:szCs w:val="20"/>
          <w:lang w:eastAsia="hr-HR"/>
        </w:rPr>
        <w:t>23. veljače</w:t>
      </w:r>
      <w:r w:rsidRPr="004D185E">
        <w:rPr>
          <w:rFonts w:eastAsia="Times New Roman"/>
          <w:szCs w:val="20"/>
          <w:lang w:eastAsia="hr-HR"/>
        </w:rPr>
        <w:t xml:space="preserve"> 2016. godine pokrenuo skraćeni stečajni postupak nad gore navedenim dužnikom, budući da su ostvareni  uvjeti iz čl. 428. SZ-a.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ab/>
        <w:t xml:space="preserve">Zaključkom od </w:t>
      </w:r>
      <w:r>
        <w:rPr>
          <w:rFonts w:eastAsia="Times New Roman"/>
          <w:szCs w:val="20"/>
          <w:lang w:eastAsia="hr-HR"/>
        </w:rPr>
        <w:t>23. veljače</w:t>
      </w:r>
      <w:r w:rsidRPr="004D185E">
        <w:rPr>
          <w:rFonts w:eastAsia="Times New Roman"/>
          <w:szCs w:val="20"/>
          <w:lang w:eastAsia="hr-HR"/>
        </w:rPr>
        <w:t xml:space="preserve"> 2016. godine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eastAsia="Times New Roman"/>
          <w:szCs w:val="20"/>
          <w:lang w:eastAsia="hr-HR"/>
        </w:rPr>
        <w:t>02</w:t>
      </w:r>
      <w:r w:rsidRPr="004D185E">
        <w:rPr>
          <w:rFonts w:eastAsia="Times New Roman"/>
          <w:szCs w:val="20"/>
          <w:lang w:eastAsia="hr-HR"/>
        </w:rPr>
        <w:t>. ožujka 2016. godine, međutim po istom nije postupljeno.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ab/>
        <w:t xml:space="preserve">Zaključkom od </w:t>
      </w:r>
      <w:r>
        <w:rPr>
          <w:rFonts w:eastAsia="Times New Roman"/>
          <w:szCs w:val="20"/>
          <w:lang w:eastAsia="hr-HR"/>
        </w:rPr>
        <w:t>23. veljače</w:t>
      </w:r>
      <w:r w:rsidRPr="004D185E">
        <w:rPr>
          <w:rFonts w:eastAsia="Times New Roman"/>
          <w:szCs w:val="20"/>
          <w:lang w:eastAsia="hr-HR"/>
        </w:rPr>
        <w:t xml:space="preserve">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ind w:firstLine="708"/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>Zagreb, 0</w:t>
      </w:r>
      <w:r>
        <w:rPr>
          <w:rFonts w:eastAsia="Times New Roman"/>
          <w:szCs w:val="20"/>
          <w:lang w:eastAsia="hr-HR"/>
        </w:rPr>
        <w:t>8</w:t>
      </w:r>
      <w:r w:rsidRPr="004D185E">
        <w:rPr>
          <w:rFonts w:eastAsia="Times New Roman"/>
          <w:szCs w:val="20"/>
          <w:lang w:eastAsia="hr-HR"/>
        </w:rPr>
        <w:t>. lipnja 2016. godine</w:t>
      </w:r>
    </w:p>
    <w:p w:rsidRDefault="004D185E" w:rsidP="004D185E" w:rsidR="004D185E" w:rsidRPr="004D185E">
      <w:pPr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ind w:firstLine="708" w:left="5664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>S U D A C :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  <w:t>MIRJANA CHOUR HRŠAK</w:t>
      </w:r>
      <w:r w:rsidR="002F6DFA">
        <w:rPr>
          <w:rFonts w:eastAsia="Times New Roman"/>
          <w:szCs w:val="20"/>
          <w:lang w:eastAsia="hr-HR"/>
        </w:rPr>
        <w:t>, v.r.</w:t>
      </w: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/>
        </w:rPr>
      </w:pP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  <w:r w:rsidRPr="004D185E">
        <w:rPr>
          <w:rFonts w:eastAsia="Times New Roman"/>
          <w:szCs w:val="20"/>
          <w:lang w:eastAsia="hr-HR"/>
        </w:rPr>
        <w:tab/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>UPUTA O PRAVNOM LIJEKU:</w:t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  <w:r w:rsidRPr="004D185E">
        <w:rPr>
          <w:rFonts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D185E" w:rsidP="004D185E" w:rsidR="004D185E" w:rsidRPr="004D185E">
      <w:pPr>
        <w:jc w:val="both"/>
        <w:rPr>
          <w:rFonts w:eastAsia="Times New Roman"/>
          <w:lang w:eastAsia="hr-HR"/>
        </w:rPr>
      </w:pPr>
    </w:p>
    <w:p w:rsidRDefault="004D185E" w:rsidP="004D185E" w:rsidR="004D185E" w:rsidRPr="004D185E">
      <w:pPr>
        <w:jc w:val="both"/>
        <w:rPr>
          <w:rFonts w:eastAsia="Times New Roman"/>
          <w:szCs w:val="20"/>
          <w:lang w:eastAsia="hr-HR" w:val="en-GB"/>
        </w:rPr>
      </w:pPr>
    </w:p>
    <w:p w:rsidRDefault="002F6DFA" w:rsidP="00A40EE6" w:rsidR="002F6DFA">
      <w:pPr>
        <w:jc w:val="right"/>
        <w:rPr>
          <w:rFonts w:eastAsia="Times New Roman"/>
        </w:rPr>
      </w:pPr>
      <w:r>
        <w:rPr>
          <w:rFonts w:eastAsia="Times New Roman"/>
        </w:rPr>
        <w:t>Za točnost otpravka – ovlašteni službenik:</w:t>
      </w:r>
    </w:p>
    <w:p w:rsidRDefault="002F6DFA" w:rsidP="00A40EE6" w:rsidR="002F6DFA">
      <w:pPr>
        <w:jc w:val="right"/>
      </w:pPr>
      <w:r>
        <w:rPr>
          <w:rFonts w:eastAsia="Times New Roman"/>
        </w:rPr>
        <w:t>Vlasta Bogović Milisavljević</w:t>
      </w:r>
    </w:p>
    <w:p w:rsidRDefault="004D185E" w:rsidP="004D185E" w:rsidR="004D185E" w:rsidRPr="004D185E">
      <w:pPr>
        <w:jc w:val="both"/>
        <w:rPr>
          <w:rFonts w:eastAsia="Times New Roman"/>
          <w:sz w:val="22"/>
          <w:szCs w:val="20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4D185E" w:rsidP="004D185E" w:rsidR="004D185E" w:rsidRPr="004D185E">
      <w:pPr>
        <w:jc w:val="center"/>
        <w:rPr>
          <w:rFonts w:eastAsia="Times New Roman" w:hAnsi="Arial" w:ascii="Arial"/>
          <w:sz w:val="32"/>
          <w:szCs w:val="20"/>
          <w:u w:val="single"/>
          <w:lang w:eastAsia="hr-HR"/>
        </w:rPr>
      </w:pPr>
    </w:p>
    <w:p w:rsidRDefault="004D185E" w:rsidP="004D185E" w:rsidR="004D185E" w:rsidRPr="004D185E">
      <w:pPr>
        <w:rPr>
          <w:rFonts w:eastAsia="Times New Roman" w:hAnsi="Arial" w:ascii="Arial"/>
          <w:szCs w:val="20"/>
          <w:lang w:eastAsia="hr-HR" w:val="en-GB"/>
        </w:rPr>
      </w:pPr>
    </w:p>
    <w:p w:rsidRDefault="004D185E" w:rsidP="004D185E" w:rsidR="004D185E" w:rsidRPr="004D185E">
      <w:pPr>
        <w:rPr>
          <w:rFonts w:eastAsia="Times New Roman" w:hAnsi="Arial" w:ascii="Arial"/>
          <w:szCs w:val="20"/>
          <w:lang w:eastAsia="hr-HR" w:val="en-GB"/>
        </w:rPr>
      </w:pPr>
    </w:p>
    <w:p w:rsidRDefault="004D185E" w:rsidP="004D185E" w:rsidR="004D185E" w:rsidRPr="004D185E">
      <w:pPr>
        <w:rPr>
          <w:rFonts w:eastAsia="Times New Roman" w:hAnsi="Arial" w:ascii="Arial"/>
          <w:szCs w:val="20"/>
          <w:lang w:eastAsia="hr-HR" w:val="en-GB"/>
        </w:rPr>
      </w:pPr>
    </w:p>
    <w:p w:rsidRDefault="004D185E" w:rsidP="004D185E" w:rsidR="004D185E" w:rsidRPr="004D185E">
      <w:pPr>
        <w:rPr>
          <w:rFonts w:eastAsia="Times New Roman" w:hAnsi="Arial" w:ascii="Arial"/>
          <w:szCs w:val="20"/>
          <w:lang w:eastAsia="hr-HR" w:val="en-GB"/>
        </w:rPr>
      </w:pPr>
    </w:p>
    <w:p w:rsidRDefault="004D185E" w:rsidP="004D185E" w:rsidR="004D185E" w:rsidRPr="004D185E">
      <w:pPr>
        <w:rPr>
          <w:rFonts w:eastAsia="Times New Roman" w:hAnsi="Arial" w:ascii="Arial"/>
          <w:szCs w:val="20"/>
          <w:lang w:eastAsia="hr-HR" w:val="en-GB"/>
        </w:rPr>
      </w:pPr>
    </w:p>
    <w:p w:rsidRDefault="00CA5654" w:rsidP="004D185E" w:rsidR="00CA5654" w:rsidRPr="004D185E"/>
    <w:sectPr w:rsidR="00CA5654" w:rsidRPr="004D185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85E" w:rsidP="004D185E" w:rsidR="004D185E">
      <w:r>
        <w:separator/>
      </w:r>
    </w:p>
  </w:endnote>
  <w:endnote w:id="0" w:type="continuationSeparator">
    <w:p w:rsidRDefault="004D185E" w:rsidP="004D185E" w:rsidR="004D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85E" w:rsidP="004D185E" w:rsidR="004D185E">
      <w:r>
        <w:separator/>
      </w:r>
    </w:p>
  </w:footnote>
  <w:footnote w:id="0" w:type="continuationSeparator">
    <w:p w:rsidRDefault="004D185E" w:rsidP="004D185E" w:rsidR="004D1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787668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92234" w:rsidR="003A3FC6" w:rsidRPr="003A3FC6">
        <w:pPr>
          <w:pStyle w:val="Zaglavlje"/>
          <w:jc w:val="center"/>
          <w:rPr>
            <w:rFonts w:hAnsi="Times New Roman" w:ascii="Times New Roman"/>
          </w:rPr>
        </w:pPr>
        <w:r w:rsidRPr="003A3FC6">
          <w:rPr>
            <w:rFonts w:hAnsi="Times New Roman" w:ascii="Times New Roman"/>
          </w:rPr>
          <w:fldChar w:fldCharType="begin"/>
        </w:r>
        <w:r w:rsidRPr="003A3FC6">
          <w:rPr>
            <w:rFonts w:hAnsi="Times New Roman" w:ascii="Times New Roman"/>
          </w:rPr>
          <w:instrText>PAGE   \* MERGEFORMAT</w:instrText>
        </w:r>
        <w:r w:rsidRPr="003A3FC6">
          <w:rPr>
            <w:rFonts w:hAnsi="Times New Roman" w:ascii="Times New Roman"/>
          </w:rPr>
          <w:fldChar w:fldCharType="separate"/>
        </w:r>
        <w:r w:rsidR="00220728" w:rsidRPr="00220728">
          <w:rPr>
            <w:rFonts w:hAnsi="Times New Roman" w:ascii="Times New Roman"/>
            <w:noProof/>
            <w:lang w:val="hr-HR"/>
          </w:rPr>
          <w:t>1</w:t>
        </w:r>
        <w:r w:rsidRPr="003A3FC6">
          <w:rPr>
            <w:rFonts w:hAnsi="Times New Roman" w:ascii="Times New Roman"/>
          </w:rPr>
          <w:fldChar w:fldCharType="end"/>
        </w:r>
      </w:p>
    </w:sdtContent>
  </w:sdt>
  <w:p w:rsidRDefault="00592234" w:rsidP="003A3FC6" w:rsidR="003A3FC6" w:rsidRPr="003A3FC6">
    <w:pPr>
      <w:pStyle w:val="Zaglavlje"/>
      <w:jc w:val="right"/>
      <w:rPr>
        <w:rFonts w:hAnsi="Times New Roman" w:ascii="Times New Roman"/>
      </w:rPr>
    </w:pPr>
    <w:r w:rsidRPr="003A3FC6">
      <w:rPr>
        <w:rFonts w:hAnsi="Times New Roman" w:ascii="Times New Roman"/>
      </w:rPr>
      <w:t xml:space="preserve">34. </w:t>
    </w:r>
    <w:r w:rsidR="004D185E">
      <w:rPr>
        <w:rFonts w:hAnsi="Times New Roman" w:ascii="Times New Roman"/>
      </w:rPr>
      <w:t>St</w:t>
    </w:r>
    <w:r w:rsidRPr="003A3FC6">
      <w:rPr>
        <w:rFonts w:hAnsi="Times New Roman" w:ascii="Times New Roman"/>
      </w:rPr>
      <w:t>-</w:t>
    </w:r>
    <w:r w:rsidR="004D185E">
      <w:rPr>
        <w:rFonts w:hAnsi="Times New Roman" w:ascii="Times New Roman"/>
      </w:rPr>
      <w:t>1672</w:t>
    </w:r>
    <w:r w:rsidRPr="003A3FC6">
      <w:rPr>
        <w:rFonts w:hAnsi="Times New Roman" w:ascii="Times New Roman"/>
      </w:rPr>
      <w:t>/2016-</w:t>
    </w:r>
    <w:r w:rsidR="004D185E">
      <w:rPr>
        <w:rFonts w:hAnsi="Times New Roman" w:ascii="Times New Roman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85E"/>
    <w:rsid w:val="0002382C"/>
    <w:rsid w:val="000304CA"/>
    <w:rsid w:val="000A3E2D"/>
    <w:rsid w:val="000C6923"/>
    <w:rsid w:val="000D1200"/>
    <w:rsid w:val="00177EED"/>
    <w:rsid w:val="00220728"/>
    <w:rsid w:val="002460D4"/>
    <w:rsid w:val="00277821"/>
    <w:rsid w:val="002F6DFA"/>
    <w:rsid w:val="003502D7"/>
    <w:rsid w:val="003E6A20"/>
    <w:rsid w:val="00474D14"/>
    <w:rsid w:val="00487368"/>
    <w:rsid w:val="004A3CF8"/>
    <w:rsid w:val="004C24AD"/>
    <w:rsid w:val="004D185E"/>
    <w:rsid w:val="00592234"/>
    <w:rsid w:val="006B3CDB"/>
    <w:rsid w:val="00734906"/>
    <w:rsid w:val="007555F9"/>
    <w:rsid w:val="007A7911"/>
    <w:rsid w:val="007C6CF3"/>
    <w:rsid w:val="0095186A"/>
    <w:rsid w:val="009802EE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85E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4D185E"/>
    <w:rPr>
      <w:rFonts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8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185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18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185E"/>
  </w:style>
  <w:style w:styleId="Tekstrezerviranogmjesta" w:type="character">
    <w:name w:val="Placeholder Text"/>
    <w:basedOn w:val="Zadanifontodlomka"/>
    <w:uiPriority w:val="99"/>
    <w:semiHidden/>
    <w:rsid w:val="002F6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F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DF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DF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DF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85E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4D185E"/>
    <w:rPr>
      <w:rFonts w:ascii="Arial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8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185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18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185E"/>
  </w:style>
  <w:style w:styleId="Tekstrezerviranogmjesta" w:type="character">
    <w:name w:val="Placeholder Text"/>
    <w:basedOn w:val="Zadanifontodlomka"/>
    <w:uiPriority w:val="99"/>
    <w:semiHidden/>
    <w:rsid w:val="002F6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DF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DF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DF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DF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St-1672/2016-7</izvorni_sadrzaj>
    <derivirana_varijabla naziv="DomainObject.Oznaka_1">St-1672/2016-7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OZALJ-PROMET, d.o.o.</izvorni_sadrzaj>
    <derivirana_varijabla naziv="DomainObject.Predmet.ProtustrankaFormated_1">  OZALJ-PROMET, d.o.o.</derivirana_varijabla>
  </DomainObject.Predmet.ProtustrankaFormated>
  <DomainObject.Predmet.ProtustrankaFormatedOIB>
    <izvorni_sadrzaj>  OZALJ-PROMET, d.o.o., OIB 60132643696</izvorni_sadrzaj>
    <derivirana_varijabla naziv="DomainObject.Predmet.ProtustrankaFormatedOIB_1">  OZALJ-PROMET, d.o.o., OIB 60132643696</derivirana_varijabla>
  </DomainObject.Predmet.ProtustrankaFormatedOIB>
  <DomainObject.Predmet.ProtustrankaFormatedWithAdress>
    <izvorni_sadrzaj> OZALJ-PROMET, d.o.o., Ulica Gjure Eisenhutha 1, 10000 Zagreb</izvorni_sadrzaj>
    <derivirana_varijabla naziv="DomainObject.Predmet.ProtustrankaFormatedWithAdress_1"> OZALJ-PROMET, d.o.o., Ulica Gjure Eisenhutha 1, 10000 Zagreb</derivirana_varijabla>
  </DomainObject.Predmet.ProtustrankaFormatedWithAdress>
  <DomainObject.Predmet.ProtustrankaFormatedWithAdressOIB>
    <izvorni_sadrzaj> OZALJ-PROMET, d.o.o., OIB 60132643696, Ulica Gjure Eisenhutha 1, 10000 Zagreb</izvorni_sadrzaj>
    <derivirana_varijabla naziv="DomainObject.Predmet.ProtustrankaFormatedWithAdressOIB_1"> OZALJ-PROMET, d.o.o., OIB 60132643696, Ulica Gjure Eisenhutha 1, 10000 Zagreb</derivirana_varijabla>
  </DomainObject.Predmet.ProtustrankaFormatedWithAdressOIB>
  <DomainObject.Predmet.ProtustrankaWithAdress>
    <izvorni_sadrzaj>OZALJ-PROMET, d.o.o. Ulica Gjure Eisenhutha 1, 10000 Zagreb</izvorni_sadrzaj>
    <derivirana_varijabla naziv="DomainObject.Predmet.ProtustrankaWithAdress_1">OZALJ-PROMET, d.o.o. Ulica Gjure Eisenhutha 1, 10000 Zagreb</derivirana_varijabla>
  </DomainObject.Predmet.ProtustrankaWithAdress>
  <DomainObject.Predmet.ProtustrankaWithAdressOIB>
    <izvorni_sadrzaj>OZALJ-PROMET, d.o.o., OIB 60132643696, Ulica Gjure Eisenhutha 1, 10000 Zagreb</izvorni_sadrzaj>
    <derivirana_varijabla naziv="DomainObject.Predmet.ProtustrankaWithAdressOIB_1">OZALJ-PROMET, d.o.o., OIB 60132643696, Ulica Gjure Eisenhutha 1, 10000 Zagreb</derivirana_varijabla>
  </DomainObject.Predmet.ProtustrankaWithAdressOIB>
  <DomainObject.Predmet.ProtustrankaNazivFormated>
    <izvorni_sadrzaj>OZALJ-PROMET, d.o.o.</izvorni_sadrzaj>
    <derivirana_varijabla naziv="DomainObject.Predmet.ProtustrankaNazivFormated_1">OZALJ-PROMET, d.o.o.</derivirana_varijabla>
  </DomainObject.Predmet.ProtustrankaNazivFormated>
  <DomainObject.Predmet.ProtustrankaNazivFormatedOIB>
    <izvorni_sadrzaj>OZALJ-PROMET, d.o.o., OIB 60132643696</izvorni_sadrzaj>
    <derivirana_varijabla naziv="DomainObject.Predmet.ProtustrankaNazivFormatedOIB_1">OZALJ-PROMET, d.o.o., OIB 60132643696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OZALJ-PROMET, d.o.o.</item>
    </izvorni_sadrzaj>
    <derivirana_varijabla naziv="DomainObject.Predmet.ProtuStrankaListFormated_1">
      <item>OZALJ-PROMET, d.o.o.</item>
    </derivirana_varijabla>
  </DomainObject.Predmet.ProtuStrankaListFormated>
  <DomainObject.Predmet.ProtuStrankaListFormatedOIB>
    <izvorni_sadrzaj>
      <item>OZALJ-PROMET, d.o.o., OIB 60132643696</item>
    </izvorni_sadrzaj>
    <derivirana_varijabla naziv="DomainObject.Predmet.ProtuStrankaListFormatedOIB_1">
      <item>OZALJ-PROMET, d.o.o., OIB 60132643696</item>
    </derivirana_varijabla>
  </DomainObject.Predmet.ProtuStrankaListFormatedOIB>
  <DomainObject.Predmet.ProtuStrankaListFormatedWithAdress>
    <izvorni_sadrzaj>
      <item>OZALJ-PROMET, d.o.o., Ulica Gjure Eisenhutha 1, 10000 Zagreb</item>
    </izvorni_sadrzaj>
    <derivirana_varijabla naziv="DomainObject.Predmet.ProtuStrankaListFormatedWithAdress_1">
      <item>OZALJ-PROMET, d.o.o., Ulica Gjure Eisenhutha 1, 10000 Zagreb</item>
    </derivirana_varijabla>
  </DomainObject.Predmet.ProtuStrankaListFormatedWithAdress>
  <DomainObject.Predmet.ProtuStrankaListFormatedWithAdressOIB>
    <izvorni_sadrzaj>
      <item>OZALJ-PROMET, d.o.o., OIB 60132643696, Ulica Gjure Eisenhutha 1, 10000 Zagreb</item>
    </izvorni_sadrzaj>
    <derivirana_varijabla naziv="DomainObject.Predmet.ProtuStrankaListFormatedWithAdressOIB_1">
      <item>OZALJ-PROMET, d.o.o., OIB 60132643696, Ulica Gjure Eisenhutha 1, 10000 Zagreb</item>
    </derivirana_varijabla>
  </DomainObject.Predmet.ProtuStrankaListFormatedWithAdressOIB>
  <DomainObject.Predmet.ProtuStrankaListNazivFormated>
    <izvorni_sadrzaj>
      <item>OZALJ-PROMET, d.o.o.</item>
    </izvorni_sadrzaj>
    <derivirana_varijabla naziv="DomainObject.Predmet.ProtuStrankaListNazivFormated_1">
      <item>OZALJ-PROMET, d.o.o.</item>
    </derivirana_varijabla>
  </DomainObject.Predmet.ProtuStrankaListNazivFormated>
  <DomainObject.Predmet.ProtuStrankaListNazivFormatedOIB>
    <izvorni_sadrzaj>
      <item>OZALJ-PROMET, d.o.o., OIB 60132643696</item>
    </izvorni_sadrzaj>
    <derivirana_varijabla naziv="DomainObject.Predmet.ProtuStrankaListNazivFormatedOIB_1">
      <item>OZALJ-PROMET, d.o.o., OIB 60132643696</item>
    </derivirana_varijabla>
  </DomainObject.Predmet.ProtuStrankaListNazivFormatedOIB>
  <DomainObject.Predmet.OstaliListFormated>
    <izvorni_sadrzaj>
      <item>Ivan Gregor</item>
    </izvorni_sadrzaj>
    <derivirana_varijabla naziv="DomainObject.Predmet.OstaliListFormated_1">
      <item>Ivan Gregor</item>
    </derivirana_varijabla>
  </DomainObject.Predmet.OstaliListFormated>
  <DomainObject.Predmet.OstaliListFormatedOIB>
    <izvorni_sadrzaj>
      <item>Ivan Gregor, OIB 41514899947</item>
    </izvorni_sadrzaj>
    <derivirana_varijabla naziv="DomainObject.Predmet.OstaliListFormatedOIB_1">
      <item>Ivan Gregor, OIB 41514899947</item>
    </derivirana_varijabla>
  </DomainObject.Predmet.OstaliListFormatedOIB>
  <DomainObject.Predmet.OstaliListFormatedWithAdress>
    <izvorni_sadrzaj>
      <item>Ivan Gregor, Eisenhutova 1, 10000 Zagreb</item>
    </izvorni_sadrzaj>
    <derivirana_varijabla naziv="DomainObject.Predmet.OstaliListFormatedWithAdress_1">
      <item>Ivan Gregor, Eisenhutova 1, 10000 Zagreb</item>
    </derivirana_varijabla>
  </DomainObject.Predmet.OstaliListFormatedWithAdress>
  <DomainObject.Predmet.OstaliListFormatedWithAdressOIB>
    <izvorni_sadrzaj>
      <item>Ivan Gregor, OIB 41514899947, Eisenhutova 1, 10000 Zagreb</item>
    </izvorni_sadrzaj>
    <derivirana_varijabla naziv="DomainObject.Predmet.OstaliListFormatedWithAdressOIB_1">
      <item>Ivan Gregor, OIB 41514899947, Eisenhutova 1, 10000 Zagreb</item>
    </derivirana_varijabla>
  </DomainObject.Predmet.OstaliListFormatedWithAdressOIB>
  <DomainObject.Predmet.OstaliListNazivFormated>
    <izvorni_sadrzaj>
      <item>Ivan Gregor</item>
    </izvorni_sadrzaj>
    <derivirana_varijabla naziv="DomainObject.Predmet.OstaliListNazivFormated_1">
      <item>Ivan Gregor</item>
    </derivirana_varijabla>
  </DomainObject.Predmet.OstaliListNazivFormated>
  <DomainObject.Predmet.OstaliListNazivFormatedOIB>
    <izvorni_sadrzaj>
      <item>Ivan Gregor, OIB 41514899947</item>
    </izvorni_sadrzaj>
    <derivirana_varijabla naziv="DomainObject.Predmet.OstaliListNazivFormatedOIB_1">
      <item>Ivan Gregor, OIB 41514899947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St-1672/2016-7</izvorni_sadrzaj>
    <derivirana_varijabla naziv="DomainObject.PoslovniBrojDokumenta_1">St-1672/2016-7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OZALJ-PROMET, d.o.o.</izvorni_sadrzaj>
    <derivirana_varijabla naziv="DomainObject.Predmet.ProtustrankaIDrugi_1">OZALJ-PROMET,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OZALJ-PROMET, d.o.o., OIB 60132643696, Ulica Gjure Eisenhutha 1, 10000 Zagreb</izvorni_sadrzaj>
    <derivirana_varijabla naziv="DomainObject.Predmet.ProtustrankaIDrugiAdressOIB_1">OZALJ-PROMET, d.o.o., OIB 60132643696, Ulica Gjure Eisenhutha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OZALJ-PROMET, d.o.o.</item>
      <item>Ivan Gregor</item>
    </izvorni_sadrzaj>
    <derivirana_varijabla naziv="DomainObject.Predmet.SudioniciListNaziv_1">
      <item>FINA Regionalni centar Zagreb</item>
      <item>OZALJ-PROMET, d.o.o.</item>
      <item>Ivan Gregor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OZALJ-PROMET, d.o.o., OIB 60132643696, Ulica Gjure Eisenhutha 1,10000 Zagreb</item>
      <item>Ivan Gregor, OIB 41514899947, Eisenhutova 1,10000 Zagreb</item>
    </izvorni_sadrzaj>
    <derivirana_varijabla naziv="DomainObject.Predmet.SudioniciListAdressOIB_1">
      <item>FINA Regionalni centar Zagreb, OIB 85821130368, Trg svibanjskih žrtava 1995. br. 1,10000 Zagreb</item>
      <item>OZALJ-PROMET, d.o.o., OIB 60132643696, Ulica Gjure Eisenhutha 1,10000 Zagreb</item>
      <item>Ivan Gregor, OIB 41514899947, Eisenhutova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60132643696</item>
      <item>, OIB 41514899947</item>
    </izvorni_sadrzaj>
    <derivirana_varijabla naziv="DomainObject.Predmet.SudioniciListNazivOIB_1">
      <item>, OIB 85821130368</item>
      <item>, OIB 60132643696</item>
      <item>, OIB 41514899947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2228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2016-06-08T06:07:00Z</dcterms:created>
  <dc:creator>Vlasta Bogović Milisavljević</dc:creator>
  <cp:lastModifiedBy>Vlasta Bogović Milisavljević</cp:lastModifiedBy>
  <cp:lastPrinted>2016-06-08T06:17:00Z</cp:lastPrinted>
  <dcterms:modified xmlns:xsi="http://www.w3.org/2001/XMLSchema-instance" xsi:type="dcterms:W3CDTF">2016-06-08T06:17:00Z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St-1672/2016-7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