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fa22c0" w14:paraId="0fa22c0" w:rsidRDefault="005A1CFD" w:rsidP="005A1CFD" w:rsidR="005A1CFD">
      <w:pPr>
        <w:jc w:val="center"/>
        <w15:collapsed w:val="false"/>
        <w:rPr>
          <w:rFonts w:hAnsi="Times New Roman" w:ascii="Times New Roman"/>
          <w:b/>
          <w:sz w:val="24"/>
        </w:rPr>
      </w:pPr>
      <w:bookmarkStart w:name="_GoBack" w:id="0"/>
      <w:bookmarkEnd w:id="0"/>
    </w:p>
    <w:p w:rsidRDefault="005A1CFD" w:rsidP="005A1CFD" w:rsidR="005A1CFD" w:rsidRPr="00B234F4">
      <w:pPr>
        <w:jc w:val="center"/>
        <w:rPr>
          <w:rFonts w:hAnsi="Times New Roman" w:ascii="Times New Roman"/>
          <w:b/>
          <w:sz w:val="28"/>
        </w:rPr>
      </w:pPr>
      <w:r w:rsidRPr="00B234F4">
        <w:rPr>
          <w:rFonts w:hAnsi="Times New Roman" w:ascii="Times New Roman"/>
          <w:b/>
          <w:sz w:val="28"/>
        </w:rPr>
        <w:t>Obrazac 20.</w:t>
      </w:r>
    </w:p>
    <w:p w:rsidRDefault="005A1CFD" w:rsidP="005A1CFD" w:rsidR="005A1CFD">
      <w:pPr>
        <w:jc w:val="center"/>
        <w:rPr>
          <w:rFonts w:hAnsi="Times New Roman" w:ascii="Times New Roman"/>
          <w:b/>
          <w:sz w:val="24"/>
        </w:rPr>
      </w:pPr>
    </w:p>
    <w:p w:rsidRDefault="005A1CFD" w:rsidP="005A1CFD" w:rsidR="005A1CFD" w:rsidRPr="00B234F4">
      <w:pPr>
        <w:jc w:val="center"/>
        <w:rPr>
          <w:rFonts w:hAnsi="Times New Roman" w:ascii="Times New Roman"/>
          <w:b/>
          <w:sz w:val="24"/>
        </w:rPr>
      </w:pPr>
      <w:r w:rsidRPr="00B234F4">
        <w:rPr>
          <w:rFonts w:hAnsi="Times New Roman" w:ascii="Times New Roman"/>
          <w:b/>
          <w:sz w:val="24"/>
        </w:rPr>
        <w:t xml:space="preserve">IZVJEŠĆE </w:t>
      </w:r>
      <w:r w:rsidRPr="00B234F4">
        <w:rPr>
          <w:rFonts w:hAnsi="Times New Roman" w:ascii="Times New Roman"/>
          <w:b/>
          <w:sz w:val="24"/>
          <w:szCs w:val="24"/>
        </w:rPr>
        <w:t>STEČAJNOGA</w:t>
      </w:r>
      <w:r w:rsidRPr="00B234F4">
        <w:rPr>
          <w:rFonts w:hAnsi="Times New Roman" w:ascii="Times New Roman"/>
          <w:b/>
          <w:sz w:val="24"/>
        </w:rPr>
        <w:t xml:space="preserve"> UPRAVITELJA O TIJEKU </w:t>
      </w:r>
      <w:r w:rsidRPr="00B234F4">
        <w:rPr>
          <w:rFonts w:hAnsi="Times New Roman" w:ascii="Times New Roman"/>
          <w:b/>
          <w:sz w:val="24"/>
          <w:szCs w:val="24"/>
        </w:rPr>
        <w:t>STEČAJNOGA</w:t>
      </w:r>
      <w:r w:rsidRPr="00B234F4">
        <w:rPr>
          <w:rFonts w:hAnsi="Times New Roman" w:ascii="Times New Roman"/>
          <w:b/>
          <w:sz w:val="24"/>
        </w:rPr>
        <w:t xml:space="preserve"> POSTUPKA I STANJU STEČAJNE MASE</w:t>
      </w:r>
    </w:p>
    <w:p w:rsidRDefault="005A1CFD" w:rsidP="005A1CFD" w:rsidR="005A1CFD" w:rsidRPr="00B234F4">
      <w:pPr>
        <w:jc w:val="center"/>
        <w:rPr>
          <w:rFonts w:hAnsi="Times New Roman" w:ascii="Times New Roman"/>
          <w:sz w:val="24"/>
        </w:rPr>
      </w:pPr>
    </w:p>
    <w:p w:rsidRDefault="005A1CFD" w:rsidP="005A1CFD" w:rsidR="005A1CFD" w:rsidRPr="00202173">
      <w:pPr>
        <w:jc w:val="both"/>
        <w:rPr>
          <w:rFonts w:hAnsi="Times New Roman" w:ascii="Times New Roman"/>
          <w:sz w:val="24"/>
          <w:szCs w:val="24"/>
        </w:rPr>
      </w:pPr>
      <w:r w:rsidRPr="00202173">
        <w:rPr>
          <w:rFonts w:hAnsi="Times New Roman" w:ascii="Times New Roman"/>
          <w:sz w:val="24"/>
          <w:szCs w:val="24"/>
        </w:rPr>
        <w:t>Nadležni trgovački sud : TRGOVAČKI SUD U ZA</w:t>
      </w:r>
      <w:r>
        <w:rPr>
          <w:rFonts w:hAnsi="Times New Roman" w:ascii="Times New Roman"/>
          <w:sz w:val="24"/>
          <w:szCs w:val="24"/>
        </w:rPr>
        <w:t>GREBU</w:t>
      </w:r>
    </w:p>
    <w:p w:rsidRDefault="005A1CFD" w:rsidP="005A1CFD" w:rsidR="005A1CFD" w:rsidRPr="00202173">
      <w:pPr>
        <w:jc w:val="both"/>
        <w:rPr>
          <w:rFonts w:hAnsi="Times New Roman" w:ascii="Times New Roman"/>
          <w:sz w:val="24"/>
          <w:szCs w:val="24"/>
        </w:rPr>
      </w:pPr>
      <w:r w:rsidRPr="00202173">
        <w:rPr>
          <w:rFonts w:hAnsi="Times New Roman" w:ascii="Times New Roman"/>
          <w:sz w:val="24"/>
          <w:szCs w:val="24"/>
        </w:rPr>
        <w:t xml:space="preserve">Poslovni broj spisa: </w:t>
      </w:r>
      <w:r>
        <w:rPr>
          <w:rFonts w:hAnsi="Times New Roman" w:ascii="Times New Roman"/>
          <w:sz w:val="24"/>
          <w:szCs w:val="24"/>
          <w:u w:val="single"/>
        </w:rPr>
        <w:t xml:space="preserve">Na </w:t>
      </w:r>
      <w:proofErr w:type="spellStart"/>
      <w:r>
        <w:rPr>
          <w:rFonts w:hAnsi="Times New Roman" w:ascii="Times New Roman"/>
          <w:sz w:val="24"/>
          <w:szCs w:val="24"/>
          <w:u w:val="single"/>
        </w:rPr>
        <w:t>posl</w:t>
      </w:r>
      <w:proofErr w:type="spellEnd"/>
      <w:r>
        <w:rPr>
          <w:rFonts w:hAnsi="Times New Roman" w:ascii="Times New Roman"/>
          <w:sz w:val="24"/>
          <w:szCs w:val="24"/>
          <w:u w:val="single"/>
        </w:rPr>
        <w:t>. br. 48. St-5048/16</w:t>
      </w:r>
    </w:p>
    <w:p w:rsidRDefault="005A1CFD" w:rsidP="005A1CFD" w:rsidR="005A1CFD" w:rsidRPr="00202173">
      <w:pPr>
        <w:rPr>
          <w:rFonts w:hAnsi="Times New Roman" w:ascii="Times New Roman"/>
          <w:sz w:val="24"/>
          <w:szCs w:val="24"/>
        </w:rPr>
      </w:pPr>
      <w:r w:rsidRPr="00202173">
        <w:rPr>
          <w:rFonts w:hAnsi="Times New Roman" w:ascii="Times New Roman"/>
          <w:sz w:val="24"/>
          <w:szCs w:val="24"/>
        </w:rPr>
        <w:t>Dužnik (ime i prezime / tvrtka ili naziv, sjedište/adresa, OIB):</w:t>
      </w:r>
    </w:p>
    <w:p w:rsidRDefault="005A1CFD" w:rsidP="005A1CFD" w:rsidR="005A1CFD">
      <w:pPr>
        <w:rPr>
          <w:rFonts w:hAnsi="Times New Roman" w:ascii="Times New Roman"/>
          <w:b/>
          <w:bCs/>
          <w:sz w:val="24"/>
          <w:szCs w:val="24"/>
        </w:rPr>
      </w:pPr>
      <w:r>
        <w:rPr>
          <w:rFonts w:hAnsi="Times New Roman" w:ascii="Times New Roman"/>
          <w:b/>
          <w:bCs/>
          <w:sz w:val="24"/>
          <w:szCs w:val="24"/>
        </w:rPr>
        <w:t>RUTH</w:t>
      </w:r>
      <w:r w:rsidRPr="007F1F35">
        <w:rPr>
          <w:rFonts w:hAnsi="Times New Roman" w:ascii="Times New Roman"/>
          <w:b/>
          <w:bCs/>
          <w:sz w:val="24"/>
          <w:szCs w:val="24"/>
        </w:rPr>
        <w:t xml:space="preserve"> </w:t>
      </w:r>
      <w:r>
        <w:rPr>
          <w:rFonts w:hAnsi="Times New Roman" w:ascii="Times New Roman"/>
          <w:b/>
          <w:bCs/>
          <w:sz w:val="24"/>
          <w:szCs w:val="24"/>
        </w:rPr>
        <w:t>d.o.o. – u stečaju</w:t>
      </w:r>
    </w:p>
    <w:p w:rsidRDefault="005A1CFD" w:rsidP="005A1CFD" w:rsidR="005A1CFD">
      <w:pPr>
        <w:rPr>
          <w:rFonts w:hAnsi="Times New Roman" w:ascii="Times New Roman"/>
          <w:b/>
          <w:bCs/>
          <w:sz w:val="24"/>
          <w:szCs w:val="24"/>
        </w:rPr>
      </w:pPr>
      <w:r>
        <w:rPr>
          <w:rFonts w:hAnsi="Times New Roman" w:ascii="Times New Roman"/>
          <w:b/>
          <w:bCs/>
          <w:sz w:val="24"/>
          <w:szCs w:val="24"/>
        </w:rPr>
        <w:t>OIB: 89020750410</w:t>
      </w:r>
    </w:p>
    <w:p w:rsidRDefault="005A1CFD" w:rsidP="005A1CFD" w:rsidR="005A1CFD" w:rsidRPr="007F1F35">
      <w:pPr>
        <w:rPr>
          <w:rFonts w:hAnsi="Times New Roman" w:ascii="Times New Roman"/>
          <w:b/>
          <w:bCs/>
          <w:sz w:val="24"/>
          <w:szCs w:val="24"/>
        </w:rPr>
      </w:pPr>
      <w:r>
        <w:rPr>
          <w:rFonts w:hAnsi="Times New Roman" w:ascii="Times New Roman"/>
          <w:b/>
          <w:bCs/>
          <w:sz w:val="24"/>
          <w:szCs w:val="24"/>
        </w:rPr>
        <w:t>Zagreb, Trg Ante Starčevića 7</w:t>
      </w:r>
      <w:r w:rsidRPr="007F1F35">
        <w:rPr>
          <w:rFonts w:hAnsi="Times New Roman" w:ascii="Times New Roman"/>
          <w:b/>
          <w:bCs/>
          <w:sz w:val="24"/>
          <w:szCs w:val="24"/>
        </w:rPr>
        <w:t xml:space="preserve">                                                                     </w:t>
      </w:r>
      <w:r w:rsidRPr="007F1F35">
        <w:rPr>
          <w:rFonts w:hAnsi="Times New Roman" w:ascii="Times New Roman"/>
          <w:b/>
          <w:bCs/>
          <w:sz w:val="24"/>
          <w:szCs w:val="24"/>
        </w:rPr>
        <w:tab/>
      </w:r>
      <w:r w:rsidRPr="007F1F35">
        <w:rPr>
          <w:rFonts w:hAnsi="Times New Roman" w:ascii="Times New Roman"/>
          <w:b/>
          <w:bCs/>
          <w:sz w:val="24"/>
          <w:szCs w:val="24"/>
        </w:rPr>
        <w:tab/>
      </w:r>
      <w:r w:rsidRPr="007F1F35">
        <w:rPr>
          <w:rFonts w:hAnsi="Times New Roman" w:ascii="Times New Roman"/>
          <w:b/>
          <w:bCs/>
          <w:sz w:val="24"/>
          <w:szCs w:val="24"/>
        </w:rPr>
        <w:tab/>
      </w:r>
      <w:r w:rsidRPr="007F1F35">
        <w:rPr>
          <w:rFonts w:hAnsi="Times New Roman" w:ascii="Times New Roman"/>
          <w:b/>
          <w:bCs/>
          <w:sz w:val="24"/>
          <w:szCs w:val="24"/>
        </w:rPr>
        <w:tab/>
      </w:r>
      <w:r>
        <w:rPr>
          <w:rFonts w:hAnsi="Times New Roman" w:ascii="Times New Roman"/>
          <w:b/>
          <w:bCs/>
          <w:sz w:val="24"/>
          <w:szCs w:val="24"/>
        </w:rPr>
        <w:t xml:space="preserve">  </w:t>
      </w:r>
      <w:r w:rsidRPr="007F1F35">
        <w:rPr>
          <w:rFonts w:hAnsi="Times New Roman" w:ascii="Times New Roman"/>
          <w:b/>
          <w:bCs/>
          <w:sz w:val="24"/>
          <w:szCs w:val="24"/>
        </w:rPr>
        <w:tab/>
      </w:r>
      <w:r w:rsidRPr="007F1F35">
        <w:rPr>
          <w:rFonts w:hAnsi="Times New Roman" w:ascii="Times New Roman"/>
          <w:b/>
          <w:bCs/>
          <w:sz w:val="24"/>
          <w:szCs w:val="24"/>
        </w:rPr>
        <w:tab/>
      </w:r>
    </w:p>
    <w:p w:rsidRDefault="005A1CFD" w:rsidP="005A1CFD" w:rsidR="005A1CFD" w:rsidRPr="00B234F4">
      <w:pPr>
        <w:numPr>
          <w:ilvl w:val="0"/>
          <w:numId w:val="1"/>
        </w:numPr>
        <w:rPr>
          <w:rFonts w:hAnsi="Times New Roman" w:ascii="Times New Roman"/>
          <w:sz w:val="24"/>
          <w:szCs w:val="24"/>
        </w:rPr>
      </w:pPr>
      <w:r w:rsidRPr="007F1F35">
        <w:rPr>
          <w:rFonts w:hAnsi="Times New Roman" w:ascii="Times New Roman"/>
          <w:sz w:val="24"/>
          <w:szCs w:val="24"/>
        </w:rPr>
        <w:t>TIJEK</w:t>
      </w:r>
      <w:r w:rsidRPr="00B234F4">
        <w:rPr>
          <w:rFonts w:hAnsi="Times New Roman" w:ascii="Times New Roman"/>
          <w:sz w:val="24"/>
          <w:szCs w:val="24"/>
        </w:rPr>
        <w:t xml:space="preserve"> STEČAJNOGA POSTUPKA U RAZDOBLJU DO </w:t>
      </w:r>
      <w:r w:rsidRPr="006B2FF0">
        <w:rPr>
          <w:rFonts w:hAnsi="Times New Roman" w:ascii="Times New Roman"/>
          <w:b/>
          <w:sz w:val="24"/>
          <w:szCs w:val="24"/>
        </w:rPr>
        <w:t>29</w:t>
      </w:r>
      <w:r w:rsidRPr="007F1F35">
        <w:rPr>
          <w:rFonts w:hAnsi="Times New Roman" w:ascii="Times New Roman"/>
          <w:b/>
          <w:sz w:val="24"/>
          <w:szCs w:val="24"/>
        </w:rPr>
        <w:t xml:space="preserve">. </w:t>
      </w:r>
      <w:r>
        <w:rPr>
          <w:rFonts w:hAnsi="Times New Roman" w:ascii="Times New Roman"/>
          <w:b/>
          <w:sz w:val="24"/>
          <w:szCs w:val="24"/>
        </w:rPr>
        <w:t>travnja</w:t>
      </w:r>
      <w:r w:rsidRPr="007F1F35">
        <w:rPr>
          <w:rFonts w:hAnsi="Times New Roman" w:ascii="Times New Roman"/>
          <w:b/>
          <w:sz w:val="24"/>
          <w:szCs w:val="24"/>
        </w:rPr>
        <w:t xml:space="preserve"> 201</w:t>
      </w:r>
      <w:r>
        <w:rPr>
          <w:rFonts w:hAnsi="Times New Roman" w:ascii="Times New Roman"/>
          <w:b/>
          <w:sz w:val="24"/>
          <w:szCs w:val="24"/>
        </w:rPr>
        <w:t>9</w:t>
      </w:r>
      <w:r>
        <w:rPr>
          <w:rFonts w:hAnsi="Times New Roman" w:ascii="Times New Roman"/>
          <w:sz w:val="24"/>
          <w:szCs w:val="24"/>
        </w:rPr>
        <w:t>. godine</w:t>
      </w:r>
    </w:p>
    <w:p w:rsidRDefault="005A1CFD" w:rsidP="005A1CFD" w:rsidR="005A1CFD">
      <w:r>
        <w:t xml:space="preserve">                  </w:t>
      </w:r>
    </w:p>
    <w:p w:rsidRDefault="005A1CFD" w:rsidP="005A1CFD" w:rsidR="005A1CFD">
      <w:pPr>
        <w:jc w:val="both"/>
        <w:rPr>
          <w:rFonts w:hAnsi="Times New Roman" w:ascii="Times New Roman"/>
          <w:sz w:val="24"/>
          <w:szCs w:val="24"/>
        </w:rPr>
      </w:pPr>
      <w:r>
        <w:t xml:space="preserve">                     </w:t>
      </w:r>
      <w:r w:rsidRPr="00B234F4">
        <w:rPr>
          <w:rFonts w:hAnsi="Times New Roman" w:ascii="Times New Roman"/>
          <w:sz w:val="24"/>
          <w:szCs w:val="24"/>
        </w:rPr>
        <w:t>STANJE STEČAJNE MASE</w:t>
      </w:r>
    </w:p>
    <w:p w:rsidRDefault="005A1CFD" w:rsidP="005A1CFD" w:rsidR="005A1CFD">
      <w:pPr>
        <w:jc w:val="both"/>
        <w:rPr>
          <w:rFonts w:hAnsi="Times New Roman" w:ascii="Times New Roman"/>
          <w:sz w:val="24"/>
          <w:szCs w:val="24"/>
        </w:rPr>
      </w:pPr>
    </w:p>
    <w:p w:rsidRDefault="005A1CFD" w:rsidP="005A1CFD" w:rsidR="005A1CFD">
      <w:pPr>
        <w:jc w:val="both"/>
        <w:rPr>
          <w:rFonts w:hAnsi="Times New Roman" w:ascii="Times New Roman"/>
          <w:sz w:val="24"/>
          <w:szCs w:val="24"/>
        </w:rPr>
      </w:pPr>
      <w:r>
        <w:rPr>
          <w:rFonts w:hAnsi="Times New Roman" w:ascii="Times New Roman"/>
          <w:sz w:val="24"/>
          <w:szCs w:val="24"/>
        </w:rPr>
        <w:t>U odnosu na prethodno izvješće o tijeku stečajnog postupka i stanju stečajne mase nije bilo nikakvih promjena.</w:t>
      </w:r>
    </w:p>
    <w:p w:rsidRDefault="005A1CFD" w:rsidP="005A1CFD" w:rsidR="005A1CFD">
      <w:pPr>
        <w:jc w:val="both"/>
        <w:rPr>
          <w:rFonts w:hAnsi="Times New Roman" w:ascii="Times New Roman"/>
          <w:sz w:val="24"/>
          <w:szCs w:val="24"/>
        </w:rPr>
      </w:pPr>
      <w:r>
        <w:rPr>
          <w:rFonts w:hAnsi="Times New Roman" w:ascii="Times New Roman"/>
          <w:sz w:val="24"/>
          <w:szCs w:val="24"/>
        </w:rPr>
        <w:t>Stanje stečajne mase je nepromijenjeno i to:</w:t>
      </w:r>
    </w:p>
    <w:p w:rsidRDefault="005A1CFD" w:rsidP="005A1CFD" w:rsidR="005A1CFD">
      <w:pPr>
        <w:jc w:val="both"/>
        <w:rPr>
          <w:rFonts w:hAnsi="Times New Roman" w:ascii="Times New Roman"/>
          <w:sz w:val="24"/>
          <w:szCs w:val="24"/>
        </w:rPr>
      </w:pPr>
    </w:p>
    <w:p w:rsidRDefault="005A1CFD" w:rsidP="005A1CFD" w:rsidR="005A1CFD">
      <w:pPr>
        <w:jc w:val="both"/>
        <w:rPr>
          <w:rFonts w:hAnsi="Times New Roman" w:ascii="Times New Roman"/>
          <w:sz w:val="24"/>
          <w:szCs w:val="24"/>
        </w:rPr>
      </w:pPr>
    </w:p>
    <w:p w:rsidRDefault="005A1CFD" w:rsidP="005A1CFD" w:rsidR="005A1CFD" w:rsidRPr="00496E68">
      <w:pPr>
        <w:pStyle w:val="Odlomakpopisa"/>
        <w:numPr>
          <w:ilvl w:val="0"/>
          <w:numId w:val="2"/>
        </w:numPr>
        <w:rPr>
          <w:rFonts w:hAnsi="Times New Roman" w:ascii="Times New Roman"/>
          <w:b/>
          <w:sz w:val="24"/>
          <w:szCs w:val="24"/>
        </w:rPr>
      </w:pPr>
      <w:r w:rsidRPr="00496E68">
        <w:rPr>
          <w:rFonts w:hAnsi="Times New Roman" w:ascii="Times New Roman"/>
          <w:b/>
          <w:sz w:val="24"/>
          <w:szCs w:val="24"/>
        </w:rPr>
        <w:t>NEKRETNINE</w:t>
      </w:r>
    </w:p>
    <w:p w:rsidRDefault="005A1CFD" w:rsidP="005A1CFD" w:rsidR="005A1CFD" w:rsidRPr="00496E68">
      <w:pPr>
        <w:pStyle w:val="Odlomakpopisa"/>
        <w:ind w:left="2040"/>
        <w:rPr>
          <w:rFonts w:hAnsi="Times New Roman" w:ascii="Times New Roman"/>
          <w:b/>
          <w:sz w:val="24"/>
          <w:szCs w:val="24"/>
        </w:rPr>
      </w:pPr>
    </w:p>
    <w:p w:rsidRDefault="005A1CFD" w:rsidP="005A1CFD" w:rsidR="005A1CFD">
      <w:pPr>
        <w:pStyle w:val="Uvuenotijeloteksta"/>
        <w:ind w:right="-288"/>
        <w:jc w:val="both"/>
        <w:rPr>
          <w:rFonts w:cs="Times New Roman" w:hAnsi="Times New Roman" w:ascii="Times New Roman"/>
        </w:rPr>
      </w:pPr>
      <w:r>
        <w:rPr>
          <w:rFonts w:cs="Times New Roman" w:hAnsi="Times New Roman" w:ascii="Times New Roman"/>
        </w:rPr>
        <w:t xml:space="preserve">        Nekretnina upisan u zemljišnoknjižni uložak broj 14856  k. o. Grad Zagreb, </w:t>
      </w:r>
      <w:proofErr w:type="spellStart"/>
      <w:r>
        <w:rPr>
          <w:rFonts w:cs="Times New Roman" w:hAnsi="Times New Roman" w:ascii="Times New Roman"/>
        </w:rPr>
        <w:t>kat.čestica</w:t>
      </w:r>
      <w:proofErr w:type="spellEnd"/>
      <w:r>
        <w:rPr>
          <w:rFonts w:cs="Times New Roman" w:hAnsi="Times New Roman" w:ascii="Times New Roman"/>
        </w:rPr>
        <w:t xml:space="preserve"> </w:t>
      </w:r>
      <w:proofErr w:type="spellStart"/>
      <w:r>
        <w:rPr>
          <w:rFonts w:cs="Times New Roman" w:hAnsi="Times New Roman" w:ascii="Times New Roman"/>
        </w:rPr>
        <w:t>4714</w:t>
      </w:r>
      <w:proofErr w:type="spellEnd"/>
      <w:r>
        <w:rPr>
          <w:rFonts w:cs="Times New Roman" w:hAnsi="Times New Roman" w:ascii="Times New Roman"/>
        </w:rPr>
        <w:t xml:space="preserve">/3, a koja se sastoji od obiteljske stambene zgrade u Maglajskoj ulici br. 3 upisana kao </w:t>
      </w:r>
      <w:proofErr w:type="spellStart"/>
      <w:r>
        <w:rPr>
          <w:rFonts w:cs="Times New Roman" w:hAnsi="Times New Roman" w:ascii="Times New Roman"/>
        </w:rPr>
        <w:t>zk</w:t>
      </w:r>
      <w:proofErr w:type="spellEnd"/>
      <w:r>
        <w:rPr>
          <w:rFonts w:cs="Times New Roman" w:hAnsi="Times New Roman" w:ascii="Times New Roman"/>
        </w:rPr>
        <w:t xml:space="preserve">. tijelo A II (dva), sagrađena na zk.č.br.4714/3 dvorište u Zagrebu, Ulica rade Končara 95 i Maglajska 3, </w:t>
      </w:r>
      <w:proofErr w:type="spellStart"/>
      <w:r>
        <w:rPr>
          <w:rFonts w:cs="Times New Roman" w:hAnsi="Times New Roman" w:ascii="Times New Roman"/>
        </w:rPr>
        <w:t>pov.193</w:t>
      </w:r>
      <w:proofErr w:type="spellEnd"/>
      <w:r>
        <w:rPr>
          <w:rFonts w:cs="Times New Roman" w:hAnsi="Times New Roman" w:ascii="Times New Roman"/>
        </w:rPr>
        <w:t xml:space="preserve">,2 </w:t>
      </w:r>
      <w:proofErr w:type="spellStart"/>
      <w:r>
        <w:rPr>
          <w:rFonts w:cs="Times New Roman" w:hAnsi="Times New Roman" w:ascii="Times New Roman"/>
        </w:rPr>
        <w:t>čhv</w:t>
      </w:r>
      <w:proofErr w:type="spellEnd"/>
      <w:r>
        <w:rPr>
          <w:rFonts w:cs="Times New Roman" w:hAnsi="Times New Roman" w:ascii="Times New Roman"/>
        </w:rPr>
        <w:t xml:space="preserve"> ili </w:t>
      </w:r>
      <w:proofErr w:type="spellStart"/>
      <w:r>
        <w:rPr>
          <w:rFonts w:cs="Times New Roman" w:hAnsi="Times New Roman" w:ascii="Times New Roman"/>
        </w:rPr>
        <w:t>695</w:t>
      </w:r>
      <w:proofErr w:type="spellEnd"/>
      <w:r>
        <w:rPr>
          <w:rFonts w:cs="Times New Roman" w:hAnsi="Times New Roman" w:ascii="Times New Roman"/>
        </w:rPr>
        <w:t xml:space="preserve"> </w:t>
      </w:r>
      <w:proofErr w:type="spellStart"/>
      <w:r>
        <w:rPr>
          <w:rFonts w:cs="Times New Roman" w:hAnsi="Times New Roman" w:ascii="Times New Roman"/>
        </w:rPr>
        <w:t>m2</w:t>
      </w:r>
      <w:proofErr w:type="spellEnd"/>
      <w:r>
        <w:rPr>
          <w:rFonts w:cs="Times New Roman" w:hAnsi="Times New Roman" w:ascii="Times New Roman"/>
        </w:rPr>
        <w:t xml:space="preserve"> upisana kao </w:t>
      </w:r>
      <w:proofErr w:type="spellStart"/>
      <w:r>
        <w:rPr>
          <w:rFonts w:cs="Times New Roman" w:hAnsi="Times New Roman" w:ascii="Times New Roman"/>
        </w:rPr>
        <w:t>zk</w:t>
      </w:r>
      <w:proofErr w:type="spellEnd"/>
      <w:r>
        <w:rPr>
          <w:rFonts w:cs="Times New Roman" w:hAnsi="Times New Roman" w:ascii="Times New Roman"/>
        </w:rPr>
        <w:t xml:space="preserve">. tijelo A I (jedan) , u </w:t>
      </w:r>
      <w:r w:rsidRPr="002E6EC7">
        <w:rPr>
          <w:rFonts w:cs="Times New Roman" w:hAnsi="Times New Roman" w:ascii="Times New Roman"/>
          <w:b/>
        </w:rPr>
        <w:t>društvenom vlasništvu</w:t>
      </w:r>
      <w:r>
        <w:rPr>
          <w:rFonts w:cs="Times New Roman" w:hAnsi="Times New Roman" w:ascii="Times New Roman"/>
        </w:rPr>
        <w:t>.</w:t>
      </w:r>
    </w:p>
    <w:p w:rsidRDefault="00DE016F" w:rsidR="00DE016F"/>
    <w:p w:rsidRDefault="005A1CFD" w:rsidP="005A1CFD" w:rsidR="005A1CFD">
      <w:pPr>
        <w:pStyle w:val="Uvuenotijeloteksta"/>
        <w:ind w:right="-288"/>
        <w:jc w:val="both"/>
        <w:rPr>
          <w:rFonts w:cs="Times New Roman" w:hAnsi="Times New Roman" w:ascii="Times New Roman"/>
        </w:rPr>
      </w:pPr>
      <w:r>
        <w:rPr>
          <w:rFonts w:cs="Times New Roman" w:hAnsi="Times New Roman" w:ascii="Times New Roman"/>
        </w:rPr>
        <w:t>Na nekretnini je zabilježen spor zaprimljena 7. lipnja 2017. godine pod brojem Z-3100/2017.</w:t>
      </w:r>
    </w:p>
    <w:p w:rsidRDefault="005A1CFD" w:rsidP="005A1CFD" w:rsidR="005A1CFD">
      <w:pPr>
        <w:pStyle w:val="Uvuenotijeloteksta"/>
        <w:ind w:right="-288"/>
        <w:jc w:val="both"/>
        <w:rPr>
          <w:rFonts w:cs="Times New Roman" w:hAnsi="Times New Roman" w:ascii="Times New Roman"/>
        </w:rPr>
      </w:pPr>
      <w:r>
        <w:rPr>
          <w:rFonts w:cs="Times New Roman" w:hAnsi="Times New Roman" w:ascii="Times New Roman"/>
        </w:rPr>
        <w:t xml:space="preserve">Zabilježba, spor, tužba podnesena je Općinskom građanskom sudu u Zagrebu pod poslo.br. P-2569/18 (ranije P-3519/16 31).  kojom tužitelj Željko </w:t>
      </w:r>
      <w:proofErr w:type="spellStart"/>
      <w:r>
        <w:rPr>
          <w:rFonts w:cs="Times New Roman" w:hAnsi="Times New Roman" w:ascii="Times New Roman"/>
        </w:rPr>
        <w:t>Petrlić</w:t>
      </w:r>
      <w:proofErr w:type="spellEnd"/>
      <w:r>
        <w:rPr>
          <w:rFonts w:cs="Times New Roman" w:hAnsi="Times New Roman" w:ascii="Times New Roman"/>
        </w:rPr>
        <w:t xml:space="preserve"> vodi parnicu protiv tuženika društva u stečaju RUTH d.o.o.</w:t>
      </w:r>
    </w:p>
    <w:p w:rsidRDefault="005A1CFD" w:rsidP="005A1CFD" w:rsidR="005A1CFD">
      <w:pPr>
        <w:pStyle w:val="Uvuenotijeloteksta"/>
        <w:ind w:right="-288"/>
        <w:jc w:val="both"/>
        <w:rPr>
          <w:rFonts w:cs="Times New Roman" w:hAnsi="Times New Roman" w:ascii="Times New Roman"/>
        </w:rPr>
      </w:pPr>
      <w:r>
        <w:rPr>
          <w:rFonts w:cs="Times New Roman" w:hAnsi="Times New Roman" w:ascii="Times New Roman"/>
        </w:rPr>
        <w:t>Radi se o nekretnini :</w:t>
      </w:r>
    </w:p>
    <w:p w:rsidRDefault="005A1CFD" w:rsidP="005A1CFD" w:rsidR="005A1CFD">
      <w:pPr>
        <w:pStyle w:val="Uvuenotijeloteksta"/>
        <w:numPr>
          <w:ilvl w:val="0"/>
          <w:numId w:val="3"/>
        </w:numPr>
        <w:ind w:right="-288"/>
        <w:jc w:val="both"/>
        <w:rPr>
          <w:rFonts w:cs="Times New Roman" w:hAnsi="Times New Roman" w:ascii="Times New Roman"/>
        </w:rPr>
      </w:pPr>
      <w:r>
        <w:rPr>
          <w:rFonts w:cs="Times New Roman" w:hAnsi="Times New Roman" w:ascii="Times New Roman"/>
        </w:rPr>
        <w:t xml:space="preserve">Obiteljska stambena zgrada u Maglajskoj ulici br. 3. sagrađenoj na </w:t>
      </w:r>
      <w:proofErr w:type="spellStart"/>
      <w:r>
        <w:rPr>
          <w:rFonts w:cs="Times New Roman" w:hAnsi="Times New Roman" w:ascii="Times New Roman"/>
        </w:rPr>
        <w:t>kat.čestici</w:t>
      </w:r>
      <w:proofErr w:type="spellEnd"/>
      <w:r>
        <w:rPr>
          <w:rFonts w:cs="Times New Roman" w:hAnsi="Times New Roman" w:ascii="Times New Roman"/>
        </w:rPr>
        <w:t xml:space="preserve"> </w:t>
      </w:r>
      <w:proofErr w:type="spellStart"/>
      <w:r>
        <w:rPr>
          <w:rFonts w:cs="Times New Roman" w:hAnsi="Times New Roman" w:ascii="Times New Roman"/>
        </w:rPr>
        <w:t>4714</w:t>
      </w:r>
      <w:proofErr w:type="spellEnd"/>
      <w:r>
        <w:rPr>
          <w:rFonts w:cs="Times New Roman" w:hAnsi="Times New Roman" w:ascii="Times New Roman"/>
        </w:rPr>
        <w:t xml:space="preserve">/3, u kojoj živi Željko </w:t>
      </w:r>
      <w:proofErr w:type="spellStart"/>
      <w:r>
        <w:rPr>
          <w:rFonts w:cs="Times New Roman" w:hAnsi="Times New Roman" w:ascii="Times New Roman"/>
        </w:rPr>
        <w:t>Petrlić</w:t>
      </w:r>
      <w:proofErr w:type="spellEnd"/>
      <w:r>
        <w:rPr>
          <w:rFonts w:cs="Times New Roman" w:hAnsi="Times New Roman" w:ascii="Times New Roman"/>
        </w:rPr>
        <w:t xml:space="preserve"> sa obitelji.</w:t>
      </w:r>
    </w:p>
    <w:p w:rsidRDefault="005A1CFD" w:rsidP="005A1CFD" w:rsidR="005A1CFD">
      <w:pPr>
        <w:pStyle w:val="Uvuenotijeloteksta"/>
        <w:ind w:right="-288"/>
        <w:jc w:val="both"/>
        <w:rPr>
          <w:rFonts w:cs="Times New Roman" w:hAnsi="Times New Roman" w:ascii="Times New Roman"/>
        </w:rPr>
      </w:pPr>
    </w:p>
    <w:p w:rsidRDefault="005A1CFD" w:rsidP="005A1CFD" w:rsidR="005A1CFD">
      <w:pPr>
        <w:pStyle w:val="Uvuenotijeloteksta"/>
        <w:ind w:right="-288"/>
        <w:jc w:val="both"/>
        <w:rPr>
          <w:rFonts w:cs="Times New Roman" w:hAnsi="Times New Roman" w:ascii="Times New Roman"/>
        </w:rPr>
      </w:pPr>
    </w:p>
    <w:p w:rsidRDefault="005A1CFD" w:rsidP="005A1CFD" w:rsidR="005A1CFD">
      <w:pPr>
        <w:pStyle w:val="Uvuenotijeloteksta"/>
        <w:ind w:right="-288"/>
        <w:jc w:val="both"/>
        <w:rPr>
          <w:rFonts w:cs="Times New Roman" w:hAnsi="Times New Roman" w:ascii="Times New Roman"/>
        </w:rPr>
      </w:pPr>
    </w:p>
    <w:p w:rsidRDefault="005A1CFD" w:rsidP="005A1CFD" w:rsidR="005A1CFD">
      <w:pPr>
        <w:pStyle w:val="Uvuenotijeloteksta"/>
        <w:ind w:right="-288"/>
        <w:jc w:val="both"/>
        <w:rPr>
          <w:rFonts w:cs="Times New Roman" w:hAnsi="Times New Roman" w:ascii="Times New Roman"/>
        </w:rPr>
      </w:pPr>
    </w:p>
    <w:p w:rsidRDefault="005A1CFD" w:rsidR="005A1CFD"/>
    <w:p w:rsidRDefault="005A1CFD" w:rsidP="005A1CFD" w:rsidR="005A1CFD">
      <w:pPr>
        <w:rPr>
          <w:rFonts w:hAnsi="Times New Roman" w:ascii="Times New Roman"/>
          <w:i/>
          <w:sz w:val="24"/>
          <w:szCs w:val="24"/>
        </w:rPr>
      </w:pPr>
      <w:r w:rsidRPr="005A1CFD">
        <w:rPr>
          <w:rFonts w:hAnsi="Times New Roman" w:ascii="Times New Roman"/>
          <w:i/>
          <w:sz w:val="24"/>
          <w:szCs w:val="24"/>
        </w:rPr>
        <w:lastRenderedPageBreak/>
        <w:t>Izvješće o stanju predmeta</w:t>
      </w:r>
    </w:p>
    <w:p w:rsidRDefault="005A1CFD" w:rsidP="005A1CFD" w:rsidR="005A1CFD" w:rsidRPr="005A1CFD">
      <w:pPr>
        <w:rPr>
          <w:rFonts w:hAnsi="Times New Roman" w:ascii="Times New Roman"/>
          <w:i/>
          <w:sz w:val="24"/>
          <w:szCs w:val="24"/>
        </w:rPr>
      </w:pPr>
    </w:p>
    <w:p w:rsidRDefault="005A1CFD" w:rsidP="005A1CFD" w:rsidR="005A1CFD" w:rsidRPr="005A1CFD">
      <w:pPr>
        <w:rPr>
          <w:rFonts w:hAnsi="Times New Roman" w:ascii="Times New Roman"/>
          <w:sz w:val="24"/>
          <w:szCs w:val="24"/>
        </w:rPr>
      </w:pPr>
      <w:r w:rsidRPr="005A1CFD">
        <w:rPr>
          <w:rFonts w:hAnsi="Times New Roman" w:ascii="Times New Roman"/>
          <w:sz w:val="24"/>
          <w:szCs w:val="24"/>
        </w:rPr>
        <w:t xml:space="preserve">1. ŽELJKO PETRLIĆ vs RUTH d.o.o. u stečaju – Općinski građanski sud u Zagrebu – </w:t>
      </w:r>
      <w:proofErr w:type="spellStart"/>
      <w:r w:rsidRPr="005A1CFD">
        <w:rPr>
          <w:rFonts w:hAnsi="Times New Roman" w:ascii="Times New Roman"/>
          <w:sz w:val="24"/>
          <w:szCs w:val="24"/>
        </w:rPr>
        <w:t>posl</w:t>
      </w:r>
      <w:proofErr w:type="spellEnd"/>
      <w:r w:rsidRPr="005A1CFD">
        <w:rPr>
          <w:rFonts w:hAnsi="Times New Roman" w:ascii="Times New Roman"/>
          <w:sz w:val="24"/>
          <w:szCs w:val="24"/>
        </w:rPr>
        <w:t>. br. P-2569/18 (ranije P-3519/16)</w:t>
      </w:r>
    </w:p>
    <w:p w:rsidRDefault="005A1CFD" w:rsidP="005A1CFD" w:rsidR="005A1CFD">
      <w:pPr>
        <w:jc w:val="both"/>
        <w:rPr>
          <w:rFonts w:hAnsi="Times New Roman" w:ascii="Times New Roman"/>
          <w:sz w:val="24"/>
          <w:szCs w:val="24"/>
        </w:rPr>
      </w:pPr>
      <w:r w:rsidRPr="005A1CFD">
        <w:rPr>
          <w:rFonts w:hAnsi="Times New Roman" w:ascii="Times New Roman"/>
          <w:sz w:val="24"/>
          <w:szCs w:val="24"/>
        </w:rPr>
        <w:t xml:space="preserve">U navedenom postupku tužitelj je protiv stečajnog dužnika ustao sa tužbom radi utvrđenja prava vlasništva na nekretnini upisanoj u zk.ul.br. 14856 k.o. Grad Zagreb, koja je trenutno upisana kao vlasništvo stečajnog dužnika. Tužitelj tvrdi da je predmetnu nekretninu stekao dosjelošću – neprekidnim posjedovanjem od 1966. godine. 14. 9. 2016. godine podnesen je odgovor na tužbu kojim je ista osporena. U ovome postupku zapravo nije bilo pravnih radnji, a sud je rješenjem od 28.6.2018. godine prekinuo postupak radi nastupa pravnih posljedica otvaranja stečajnog postupka nad stečajnim dužnikom. </w:t>
      </w:r>
    </w:p>
    <w:p w:rsidRDefault="005A1CFD" w:rsidP="005A1CFD" w:rsidR="005A1CFD" w:rsidRPr="005A1CFD">
      <w:pPr>
        <w:jc w:val="both"/>
        <w:rPr>
          <w:rFonts w:hAnsi="Times New Roman" w:ascii="Times New Roman"/>
          <w:sz w:val="24"/>
          <w:szCs w:val="24"/>
        </w:rPr>
      </w:pPr>
      <w:r w:rsidRPr="005A1CFD">
        <w:rPr>
          <w:rFonts w:hAnsi="Times New Roman" w:ascii="Times New Roman"/>
          <w:sz w:val="24"/>
          <w:szCs w:val="24"/>
        </w:rPr>
        <w:t>Stečajni upravitelj je dana 29. 4. 2019. podnio sudu podnesak koji je obavijestio sud o preuzimanju postupka. Očekuje se zakazivanje pripremnog ročišta.</w:t>
      </w:r>
    </w:p>
    <w:p w:rsidRDefault="005A1CFD" w:rsidP="005A1CFD" w:rsidR="005A1CFD" w:rsidRPr="005A1CFD">
      <w:pPr>
        <w:jc w:val="both"/>
        <w:rPr>
          <w:rFonts w:hAnsi="Times New Roman" w:ascii="Times New Roman"/>
          <w:sz w:val="24"/>
          <w:szCs w:val="24"/>
        </w:rPr>
      </w:pPr>
    </w:p>
    <w:p w:rsidRDefault="005A1CFD" w:rsidP="005A1CFD" w:rsidR="005A1CFD" w:rsidRPr="005A1CFD">
      <w:pPr>
        <w:jc w:val="both"/>
        <w:rPr>
          <w:rFonts w:hAnsi="Times New Roman" w:ascii="Times New Roman"/>
          <w:sz w:val="24"/>
          <w:szCs w:val="24"/>
        </w:rPr>
      </w:pPr>
      <w:r w:rsidRPr="005A1CFD">
        <w:rPr>
          <w:rFonts w:hAnsi="Times New Roman" w:ascii="Times New Roman"/>
          <w:sz w:val="24"/>
          <w:szCs w:val="24"/>
        </w:rPr>
        <w:t xml:space="preserve">2. </w:t>
      </w:r>
      <w:proofErr w:type="spellStart"/>
      <w:r w:rsidRPr="005A1CFD">
        <w:rPr>
          <w:rFonts w:hAnsi="Times New Roman" w:ascii="Times New Roman"/>
          <w:sz w:val="24"/>
          <w:szCs w:val="24"/>
        </w:rPr>
        <w:t>ŽELJKO</w:t>
      </w:r>
      <w:proofErr w:type="spellEnd"/>
      <w:r w:rsidRPr="005A1CFD">
        <w:rPr>
          <w:rFonts w:hAnsi="Times New Roman" w:ascii="Times New Roman"/>
          <w:sz w:val="24"/>
          <w:szCs w:val="24"/>
        </w:rPr>
        <w:t xml:space="preserve"> </w:t>
      </w:r>
      <w:proofErr w:type="spellStart"/>
      <w:r w:rsidRPr="005A1CFD">
        <w:rPr>
          <w:rFonts w:hAnsi="Times New Roman" w:ascii="Times New Roman"/>
          <w:sz w:val="24"/>
          <w:szCs w:val="24"/>
        </w:rPr>
        <w:t>PETRLIĆ</w:t>
      </w:r>
      <w:proofErr w:type="spellEnd"/>
      <w:r w:rsidRPr="005A1CFD">
        <w:rPr>
          <w:rFonts w:hAnsi="Times New Roman" w:ascii="Times New Roman"/>
          <w:sz w:val="24"/>
          <w:szCs w:val="24"/>
        </w:rPr>
        <w:t xml:space="preserve"> </w:t>
      </w:r>
      <w:proofErr w:type="spellStart"/>
      <w:r w:rsidRPr="005A1CFD">
        <w:rPr>
          <w:rFonts w:hAnsi="Times New Roman" w:ascii="Times New Roman"/>
          <w:sz w:val="24"/>
          <w:szCs w:val="24"/>
        </w:rPr>
        <w:t>vs</w:t>
      </w:r>
      <w:proofErr w:type="spellEnd"/>
      <w:r w:rsidRPr="005A1CFD">
        <w:rPr>
          <w:rFonts w:hAnsi="Times New Roman" w:ascii="Times New Roman"/>
          <w:sz w:val="24"/>
          <w:szCs w:val="24"/>
        </w:rPr>
        <w:t xml:space="preserve"> Nenad </w:t>
      </w:r>
      <w:proofErr w:type="spellStart"/>
      <w:r w:rsidRPr="005A1CFD">
        <w:rPr>
          <w:rFonts w:hAnsi="Times New Roman" w:ascii="Times New Roman"/>
          <w:sz w:val="24"/>
          <w:szCs w:val="24"/>
        </w:rPr>
        <w:t>Sente</w:t>
      </w:r>
      <w:proofErr w:type="spellEnd"/>
      <w:r w:rsidRPr="005A1CFD">
        <w:rPr>
          <w:rFonts w:hAnsi="Times New Roman" w:ascii="Times New Roman"/>
          <w:sz w:val="24"/>
          <w:szCs w:val="24"/>
        </w:rPr>
        <w:t xml:space="preserve">, Andrija </w:t>
      </w:r>
      <w:proofErr w:type="spellStart"/>
      <w:r w:rsidRPr="005A1CFD">
        <w:rPr>
          <w:rFonts w:hAnsi="Times New Roman" w:ascii="Times New Roman"/>
          <w:sz w:val="24"/>
          <w:szCs w:val="24"/>
        </w:rPr>
        <w:t>Sente</w:t>
      </w:r>
      <w:proofErr w:type="spellEnd"/>
      <w:r w:rsidRPr="005A1CFD">
        <w:rPr>
          <w:rFonts w:hAnsi="Times New Roman" w:ascii="Times New Roman"/>
          <w:sz w:val="24"/>
          <w:szCs w:val="24"/>
        </w:rPr>
        <w:t xml:space="preserve">, Obrtničko štedna banka d.d., Ruth d.o.o. u stečaju – Općinski građanski sud u Zagrebu – </w:t>
      </w:r>
      <w:proofErr w:type="spellStart"/>
      <w:r w:rsidRPr="005A1CFD">
        <w:rPr>
          <w:rFonts w:hAnsi="Times New Roman" w:ascii="Times New Roman"/>
          <w:sz w:val="24"/>
          <w:szCs w:val="24"/>
        </w:rPr>
        <w:t>posl</w:t>
      </w:r>
      <w:proofErr w:type="spellEnd"/>
      <w:r w:rsidRPr="005A1CFD">
        <w:rPr>
          <w:rFonts w:hAnsi="Times New Roman" w:ascii="Times New Roman"/>
          <w:sz w:val="24"/>
          <w:szCs w:val="24"/>
        </w:rPr>
        <w:t>. br. P-7880/11 (ranije P-2025/08)</w:t>
      </w:r>
    </w:p>
    <w:p w:rsidRDefault="005A1CFD" w:rsidP="005A1CFD" w:rsidR="005A1CFD">
      <w:pPr>
        <w:jc w:val="both"/>
        <w:rPr>
          <w:rFonts w:hAnsi="Times New Roman" w:ascii="Times New Roman"/>
          <w:sz w:val="24"/>
          <w:szCs w:val="24"/>
        </w:rPr>
      </w:pPr>
      <w:r w:rsidRPr="005A1CFD">
        <w:rPr>
          <w:rFonts w:hAnsi="Times New Roman" w:ascii="Times New Roman"/>
          <w:sz w:val="24"/>
          <w:szCs w:val="24"/>
        </w:rPr>
        <w:t xml:space="preserve">U navedenom postupku tužitelj je ustao s tužbom radi: (i) utvrđenja </w:t>
      </w:r>
      <w:proofErr w:type="spellStart"/>
      <w:r w:rsidRPr="005A1CFD">
        <w:rPr>
          <w:rFonts w:hAnsi="Times New Roman" w:ascii="Times New Roman"/>
          <w:sz w:val="24"/>
          <w:szCs w:val="24"/>
        </w:rPr>
        <w:t>ništetnim</w:t>
      </w:r>
      <w:proofErr w:type="spellEnd"/>
      <w:r w:rsidRPr="005A1CFD">
        <w:rPr>
          <w:rFonts w:hAnsi="Times New Roman" w:ascii="Times New Roman"/>
          <w:sz w:val="24"/>
          <w:szCs w:val="24"/>
        </w:rPr>
        <w:t xml:space="preserve"> darovnog ugovora koji je zaključen 1991. godine između Nenada i Andrije </w:t>
      </w:r>
      <w:proofErr w:type="spellStart"/>
      <w:r w:rsidRPr="005A1CFD">
        <w:rPr>
          <w:rFonts w:hAnsi="Times New Roman" w:ascii="Times New Roman"/>
          <w:sz w:val="24"/>
          <w:szCs w:val="24"/>
        </w:rPr>
        <w:t>Sente</w:t>
      </w:r>
      <w:proofErr w:type="spellEnd"/>
      <w:r w:rsidRPr="005A1CFD">
        <w:rPr>
          <w:rFonts w:hAnsi="Times New Roman" w:ascii="Times New Roman"/>
          <w:sz w:val="24"/>
          <w:szCs w:val="24"/>
        </w:rPr>
        <w:t xml:space="preserve"> čiji je predmet bio nekretnina upisana  u zk.ul.br. 14856 k.o. Grad Zagreb; (</w:t>
      </w:r>
      <w:proofErr w:type="spellStart"/>
      <w:r w:rsidRPr="005A1CFD">
        <w:rPr>
          <w:rFonts w:hAnsi="Times New Roman" w:ascii="Times New Roman"/>
          <w:sz w:val="24"/>
          <w:szCs w:val="24"/>
        </w:rPr>
        <w:t>ii</w:t>
      </w:r>
      <w:proofErr w:type="spellEnd"/>
      <w:r w:rsidRPr="005A1CFD">
        <w:rPr>
          <w:rFonts w:hAnsi="Times New Roman" w:ascii="Times New Roman"/>
          <w:sz w:val="24"/>
          <w:szCs w:val="24"/>
        </w:rPr>
        <w:t xml:space="preserve">) utvrđenja </w:t>
      </w:r>
      <w:proofErr w:type="spellStart"/>
      <w:r w:rsidRPr="005A1CFD">
        <w:rPr>
          <w:rFonts w:hAnsi="Times New Roman" w:ascii="Times New Roman"/>
          <w:sz w:val="24"/>
          <w:szCs w:val="24"/>
        </w:rPr>
        <w:t>ništetnim</w:t>
      </w:r>
      <w:proofErr w:type="spellEnd"/>
      <w:r w:rsidRPr="005A1CFD">
        <w:rPr>
          <w:rFonts w:hAnsi="Times New Roman" w:ascii="Times New Roman"/>
          <w:sz w:val="24"/>
          <w:szCs w:val="24"/>
        </w:rPr>
        <w:t xml:space="preserve"> Sporazuma o osiguranju novčane tražbine prijenosom prava vlasništva nekretnine, zaključen između Zanatsko-štedno kreditne zadruge kao predlagatelja osiguranja i Nenada </w:t>
      </w:r>
      <w:proofErr w:type="spellStart"/>
      <w:r w:rsidRPr="005A1CFD">
        <w:rPr>
          <w:rFonts w:hAnsi="Times New Roman" w:ascii="Times New Roman"/>
          <w:sz w:val="24"/>
          <w:szCs w:val="24"/>
        </w:rPr>
        <w:t>Sente</w:t>
      </w:r>
      <w:proofErr w:type="spellEnd"/>
      <w:r w:rsidRPr="005A1CFD">
        <w:rPr>
          <w:rFonts w:hAnsi="Times New Roman" w:ascii="Times New Roman"/>
          <w:sz w:val="24"/>
          <w:szCs w:val="24"/>
        </w:rPr>
        <w:t xml:space="preserve"> kao protivnika osiguranja 2005. godine; (</w:t>
      </w:r>
      <w:proofErr w:type="spellStart"/>
      <w:r w:rsidRPr="005A1CFD">
        <w:rPr>
          <w:rFonts w:hAnsi="Times New Roman" w:ascii="Times New Roman"/>
          <w:sz w:val="24"/>
          <w:szCs w:val="24"/>
        </w:rPr>
        <w:t>iii</w:t>
      </w:r>
      <w:proofErr w:type="spellEnd"/>
      <w:r w:rsidRPr="005A1CFD">
        <w:rPr>
          <w:rFonts w:hAnsi="Times New Roman" w:ascii="Times New Roman"/>
          <w:sz w:val="24"/>
          <w:szCs w:val="24"/>
        </w:rPr>
        <w:t xml:space="preserve">) utvrđenja </w:t>
      </w:r>
      <w:proofErr w:type="spellStart"/>
      <w:r w:rsidRPr="005A1CFD">
        <w:rPr>
          <w:rFonts w:hAnsi="Times New Roman" w:ascii="Times New Roman"/>
          <w:sz w:val="24"/>
          <w:szCs w:val="24"/>
        </w:rPr>
        <w:t>ništetnim</w:t>
      </w:r>
      <w:proofErr w:type="spellEnd"/>
      <w:r w:rsidRPr="005A1CFD">
        <w:rPr>
          <w:rFonts w:hAnsi="Times New Roman" w:ascii="Times New Roman"/>
          <w:sz w:val="24"/>
          <w:szCs w:val="24"/>
        </w:rPr>
        <w:t xml:space="preserve"> ugovora o kupoprodaji nekretnina zaključenog između Nenada </w:t>
      </w:r>
      <w:proofErr w:type="spellStart"/>
      <w:r w:rsidRPr="005A1CFD">
        <w:rPr>
          <w:rFonts w:hAnsi="Times New Roman" w:ascii="Times New Roman"/>
          <w:sz w:val="24"/>
          <w:szCs w:val="24"/>
        </w:rPr>
        <w:t>Sente</w:t>
      </w:r>
      <w:proofErr w:type="spellEnd"/>
      <w:r w:rsidRPr="005A1CFD">
        <w:rPr>
          <w:rFonts w:hAnsi="Times New Roman" w:ascii="Times New Roman"/>
          <w:sz w:val="24"/>
          <w:szCs w:val="24"/>
        </w:rPr>
        <w:t xml:space="preserve"> kao prodavatelja i stečajnog dužnika kao kupca 2007. godine; (iv) naloga tuženicima da su dužni trpjeti upisa prava vlasništva na predmetnoj nekretnini u korist tužitelja. Stečajni dužnik je u ovome postupku podnio protutužbu kojom je zahtijevao da se naloži tužitelju iseljenje iz predmetne nekretnine. 2. 3. 2010. godine prvostupanjski je sud donio presudu kojom je odbio tužbene zahtjeve i protutužbu kao neosnovane i naložio tužitelju da stečajnom dužniku naknadi 4.612,50 kn parničnog troška. Protiv prvostupanjske presude tužitelj je podnio žalbu o kojoj je Županijski sud u Zagrebu 6. 9. 2011. godine donio presudu </w:t>
      </w:r>
      <w:proofErr w:type="spellStart"/>
      <w:r w:rsidRPr="005A1CFD">
        <w:rPr>
          <w:rFonts w:hAnsi="Times New Roman" w:ascii="Times New Roman"/>
          <w:sz w:val="24"/>
          <w:szCs w:val="24"/>
        </w:rPr>
        <w:t>posl</w:t>
      </w:r>
      <w:proofErr w:type="spellEnd"/>
      <w:r w:rsidRPr="005A1CFD">
        <w:rPr>
          <w:rFonts w:hAnsi="Times New Roman" w:ascii="Times New Roman"/>
          <w:sz w:val="24"/>
          <w:szCs w:val="24"/>
        </w:rPr>
        <w:t xml:space="preserve">. br. Gž-5229/10 kojom je odbio žalbu tužitelja kao neosnovanu i rješenje kojim je ukinuo prvostupanjsku presudu u dijelu u kojem je odbijen </w:t>
      </w:r>
      <w:proofErr w:type="spellStart"/>
      <w:r w:rsidRPr="005A1CFD">
        <w:rPr>
          <w:rFonts w:hAnsi="Times New Roman" w:ascii="Times New Roman"/>
          <w:sz w:val="24"/>
          <w:szCs w:val="24"/>
        </w:rPr>
        <w:t>protutužbeni</w:t>
      </w:r>
      <w:proofErr w:type="spellEnd"/>
      <w:r w:rsidRPr="005A1CFD">
        <w:rPr>
          <w:rFonts w:hAnsi="Times New Roman" w:ascii="Times New Roman"/>
          <w:sz w:val="24"/>
          <w:szCs w:val="24"/>
        </w:rPr>
        <w:t xml:space="preserve"> zahtjev stečajnog dužnika na iseljenje i predmet vratio prvostupanjskom sudu na ponovno suđenje. Postupak po protutužbi stečajnog dužnika je nastavljen te je stečajni dužnik 25. 4. 2016. godine podnio sudu prijedlog radi donošenja privremene mjere oduzimanja nekretnine tužitelju do pravomoćnog okončanja postupka. Radi odlučivanja o navedenom prijedlogu za osiguranje sud je razdvojio postupak te se postupak radi donošenja privremene mjere vodi pod </w:t>
      </w:r>
      <w:proofErr w:type="spellStart"/>
      <w:r w:rsidRPr="005A1CFD">
        <w:rPr>
          <w:rFonts w:hAnsi="Times New Roman" w:ascii="Times New Roman"/>
          <w:sz w:val="24"/>
          <w:szCs w:val="24"/>
        </w:rPr>
        <w:t>posl</w:t>
      </w:r>
      <w:proofErr w:type="spellEnd"/>
      <w:r w:rsidRPr="005A1CFD">
        <w:rPr>
          <w:rFonts w:hAnsi="Times New Roman" w:ascii="Times New Roman"/>
          <w:sz w:val="24"/>
          <w:szCs w:val="24"/>
        </w:rPr>
        <w:t xml:space="preserve">. br. Ovr-3491/16. Sud je rješenjem od 17. 4. 2018. godine prekinuo parnični postupak radi nastupa pravnih posljedica otvaranja stečajnog postupka nad stečajnim dužnikom. Stečajni upravitelj je dana 29. 4. 2019. podnio sudu podnesak koji je obavijestio sud o preuzimanju postupka. Očekuje se zakazivanje ročišta. Sud je 29. 3. 2018. godine rješenjem prekinuo postupak osiguranja radi nastupa pravnih posljedica otvaranja stečajnog postupka nad stečajnim dužnikom. </w:t>
      </w:r>
    </w:p>
    <w:p w:rsidRDefault="005A1CFD" w:rsidP="005A1CFD" w:rsidR="005A1CFD" w:rsidRPr="005A1CFD">
      <w:pPr>
        <w:jc w:val="both"/>
        <w:rPr>
          <w:rFonts w:hAnsi="Times New Roman" w:ascii="Times New Roman"/>
          <w:sz w:val="24"/>
          <w:szCs w:val="24"/>
        </w:rPr>
      </w:pPr>
      <w:r w:rsidRPr="005A1CFD">
        <w:rPr>
          <w:rFonts w:hAnsi="Times New Roman" w:ascii="Times New Roman"/>
          <w:sz w:val="24"/>
          <w:szCs w:val="24"/>
        </w:rPr>
        <w:t>Stečajni upravitelj je dana 29. 4. 2019.  podnio sudu podnesak koji je obavijestio sud o preuzimanju postupka.</w:t>
      </w:r>
    </w:p>
    <w:p w:rsidRDefault="005A1CFD" w:rsidR="005A1CFD">
      <w:pPr>
        <w:rPr>
          <w:rFonts w:hAnsi="Times New Roman" w:ascii="Times New Roman"/>
          <w:sz w:val="24"/>
          <w:szCs w:val="24"/>
        </w:rPr>
      </w:pPr>
    </w:p>
    <w:p w:rsidRDefault="005A1CFD" w:rsidR="005A1CFD">
      <w:pPr>
        <w:rPr>
          <w:rFonts w:hAnsi="Times New Roman" w:ascii="Times New Roman"/>
          <w:sz w:val="24"/>
          <w:szCs w:val="24"/>
        </w:rPr>
      </w:pPr>
    </w:p>
    <w:p w:rsidRDefault="005A1CFD" w:rsidR="005A1CFD">
      <w:pPr>
        <w:rPr>
          <w:rFonts w:hAnsi="Times New Roman" w:ascii="Times New Roman"/>
          <w:sz w:val="24"/>
          <w:szCs w:val="24"/>
        </w:rPr>
      </w:pPr>
    </w:p>
    <w:p w:rsidRDefault="005A1CFD" w:rsidR="005A1CFD">
      <w:pPr>
        <w:rPr>
          <w:rFonts w:hAnsi="Times New Roman" w:ascii="Times New Roman"/>
          <w:sz w:val="24"/>
          <w:szCs w:val="24"/>
        </w:rPr>
      </w:pPr>
    </w:p>
    <w:p w:rsidRDefault="005A1CFD" w:rsidP="005A1CFD" w:rsidR="005A1CFD" w:rsidRPr="00AE039C">
      <w:pPr>
        <w:pStyle w:val="Uvuenotijeloteksta"/>
        <w:numPr>
          <w:ilvl w:val="0"/>
          <w:numId w:val="4"/>
        </w:numPr>
        <w:ind w:right="-288"/>
        <w:jc w:val="both"/>
        <w:rPr>
          <w:rFonts w:cs="Times New Roman" w:hAnsi="Times New Roman" w:ascii="Times New Roman"/>
          <w:b/>
        </w:rPr>
      </w:pPr>
      <w:r>
        <w:rPr>
          <w:rFonts w:cs="Times New Roman" w:hAnsi="Times New Roman" w:ascii="Times New Roman"/>
          <w:b/>
        </w:rPr>
        <w:t>POTRAŽIVANJA</w:t>
      </w:r>
    </w:p>
    <w:p w:rsidRDefault="005A1CFD" w:rsidP="005A1CFD" w:rsidR="005A1CFD">
      <w:pPr>
        <w:ind w:left="360"/>
        <w:rPr>
          <w:rFonts w:hAnsi="Times New Roman" w:ascii="Times New Roman"/>
          <w:sz w:val="24"/>
          <w:szCs w:val="24"/>
        </w:rPr>
      </w:pPr>
    </w:p>
    <w:p w:rsidRDefault="005A1CFD" w:rsidP="005A1CFD" w:rsidR="005A1CFD">
      <w:pPr>
        <w:ind w:left="1080"/>
        <w:rPr>
          <w:rFonts w:hAnsi="Times New Roman" w:ascii="Times New Roman"/>
          <w:sz w:val="24"/>
          <w:szCs w:val="24"/>
        </w:rPr>
      </w:pPr>
      <w:r>
        <w:rPr>
          <w:rFonts w:hAnsi="Times New Roman" w:ascii="Times New Roman"/>
          <w:sz w:val="24"/>
          <w:szCs w:val="24"/>
        </w:rPr>
        <w:t>Prema stanju u Bilanci sa stanjem na dan otvaranja stečajnog postupka, postoji znatni iznos potraživanja koja su navedena i u Izvješću stečajnog upravitelja o gospodarskom položaju dužnika, a koje je izneseno na IZVJEŠTAJNOM ROČIŠTU 8. ožujka 2018. godine.</w:t>
      </w:r>
    </w:p>
    <w:p w:rsidRDefault="005A1CFD" w:rsidP="005A1CFD" w:rsidR="005A1CFD">
      <w:pPr>
        <w:ind w:left="1080"/>
        <w:rPr>
          <w:rFonts w:hAnsi="Times New Roman" w:ascii="Times New Roman"/>
          <w:sz w:val="24"/>
          <w:szCs w:val="24"/>
        </w:rPr>
      </w:pPr>
      <w:r>
        <w:rPr>
          <w:rFonts w:hAnsi="Times New Roman" w:ascii="Times New Roman"/>
          <w:sz w:val="24"/>
          <w:szCs w:val="24"/>
        </w:rPr>
        <w:t xml:space="preserve">Veći dio tražbina odnos se na potraživanja od člana društva Antuna </w:t>
      </w:r>
      <w:proofErr w:type="spellStart"/>
      <w:r>
        <w:rPr>
          <w:rFonts w:hAnsi="Times New Roman" w:ascii="Times New Roman"/>
          <w:sz w:val="24"/>
          <w:szCs w:val="24"/>
        </w:rPr>
        <w:t>Rodića</w:t>
      </w:r>
      <w:proofErr w:type="spellEnd"/>
      <w:r>
        <w:rPr>
          <w:rFonts w:hAnsi="Times New Roman" w:ascii="Times New Roman"/>
          <w:sz w:val="24"/>
          <w:szCs w:val="24"/>
        </w:rPr>
        <w:t xml:space="preserve"> i njegovih povezanih društava.</w:t>
      </w:r>
    </w:p>
    <w:p w:rsidRDefault="005A1CFD" w:rsidP="005A1CFD" w:rsidR="005A1CFD">
      <w:pPr>
        <w:ind w:left="1080"/>
        <w:rPr>
          <w:rFonts w:hAnsi="Times New Roman" w:ascii="Times New Roman"/>
          <w:sz w:val="24"/>
          <w:szCs w:val="24"/>
        </w:rPr>
      </w:pPr>
      <w:r>
        <w:rPr>
          <w:rFonts w:hAnsi="Times New Roman" w:ascii="Times New Roman"/>
          <w:sz w:val="24"/>
          <w:szCs w:val="24"/>
        </w:rPr>
        <w:t>Poduzete su radnje oko naplate navedenih potraživanja, međutim, sva ta potraživanja su nenaplativa ili vrlo teško naplativa, a sve uz tužbene zahtjeve što opet zahtjeva određeni polog financijskih sredstava kako bi se postupak naplate putem tužbi mogao pokrenuti.</w:t>
      </w:r>
    </w:p>
    <w:p w:rsidRDefault="005A1CFD" w:rsidP="005A1CFD" w:rsidR="005A1CFD">
      <w:pPr>
        <w:ind w:left="1080"/>
        <w:rPr>
          <w:rFonts w:hAnsi="Times New Roman" w:ascii="Times New Roman"/>
          <w:sz w:val="24"/>
          <w:szCs w:val="24"/>
        </w:rPr>
      </w:pPr>
    </w:p>
    <w:p w:rsidRDefault="005A1CFD" w:rsidP="005A1CFD" w:rsidR="005A1CFD">
      <w:pPr>
        <w:ind w:left="1080"/>
        <w:rPr>
          <w:rFonts w:hAnsi="Times New Roman" w:ascii="Times New Roman"/>
          <w:sz w:val="24"/>
          <w:szCs w:val="24"/>
        </w:rPr>
      </w:pPr>
      <w:r>
        <w:rPr>
          <w:rFonts w:hAnsi="Times New Roman" w:ascii="Times New Roman"/>
          <w:sz w:val="24"/>
          <w:szCs w:val="24"/>
        </w:rPr>
        <w:t xml:space="preserve">Ured za suzbijanje korupcije i organiziranog kriminaliteta je dana 21. ožujka 2018. godine je donio rješenje o provođenju istrage kojom su obuhvaćeni, pored ostalih, i raniji zakonski zastupnici stečajnog dužnika i to </w:t>
      </w:r>
      <w:proofErr w:type="spellStart"/>
      <w:r>
        <w:rPr>
          <w:rFonts w:hAnsi="Times New Roman" w:ascii="Times New Roman"/>
          <w:sz w:val="24"/>
          <w:szCs w:val="24"/>
        </w:rPr>
        <w:t>XIII</w:t>
      </w:r>
      <w:proofErr w:type="spellEnd"/>
      <w:r>
        <w:rPr>
          <w:rFonts w:hAnsi="Times New Roman" w:ascii="Times New Roman"/>
          <w:sz w:val="24"/>
          <w:szCs w:val="24"/>
        </w:rPr>
        <w:t xml:space="preserve"> </w:t>
      </w:r>
      <w:proofErr w:type="spellStart"/>
      <w:r>
        <w:rPr>
          <w:rFonts w:hAnsi="Times New Roman" w:ascii="Times New Roman"/>
          <w:sz w:val="24"/>
          <w:szCs w:val="24"/>
        </w:rPr>
        <w:t>okr</w:t>
      </w:r>
      <w:proofErr w:type="spellEnd"/>
      <w:r>
        <w:rPr>
          <w:rFonts w:hAnsi="Times New Roman" w:ascii="Times New Roman"/>
          <w:sz w:val="24"/>
          <w:szCs w:val="24"/>
        </w:rPr>
        <w:t xml:space="preserve">. Sandro </w:t>
      </w:r>
      <w:proofErr w:type="spellStart"/>
      <w:r>
        <w:rPr>
          <w:rFonts w:hAnsi="Times New Roman" w:ascii="Times New Roman"/>
          <w:sz w:val="24"/>
          <w:szCs w:val="24"/>
        </w:rPr>
        <w:t>Rodić</w:t>
      </w:r>
      <w:proofErr w:type="spellEnd"/>
      <w:r>
        <w:rPr>
          <w:rFonts w:hAnsi="Times New Roman" w:ascii="Times New Roman"/>
          <w:sz w:val="24"/>
          <w:szCs w:val="24"/>
        </w:rPr>
        <w:t xml:space="preserve"> i </w:t>
      </w:r>
      <w:proofErr w:type="spellStart"/>
      <w:r>
        <w:rPr>
          <w:rFonts w:hAnsi="Times New Roman" w:ascii="Times New Roman"/>
          <w:sz w:val="24"/>
          <w:szCs w:val="24"/>
        </w:rPr>
        <w:t>XIV</w:t>
      </w:r>
      <w:proofErr w:type="spellEnd"/>
      <w:r>
        <w:rPr>
          <w:rFonts w:hAnsi="Times New Roman" w:ascii="Times New Roman"/>
          <w:sz w:val="24"/>
          <w:szCs w:val="24"/>
        </w:rPr>
        <w:t xml:space="preserve"> </w:t>
      </w:r>
      <w:proofErr w:type="spellStart"/>
      <w:r>
        <w:rPr>
          <w:rFonts w:hAnsi="Times New Roman" w:ascii="Times New Roman"/>
          <w:sz w:val="24"/>
          <w:szCs w:val="24"/>
        </w:rPr>
        <w:t>okr</w:t>
      </w:r>
      <w:proofErr w:type="spellEnd"/>
      <w:r>
        <w:rPr>
          <w:rFonts w:hAnsi="Times New Roman" w:ascii="Times New Roman"/>
          <w:sz w:val="24"/>
          <w:szCs w:val="24"/>
        </w:rPr>
        <w:t xml:space="preserve">. Anton </w:t>
      </w:r>
      <w:proofErr w:type="spellStart"/>
      <w:r>
        <w:rPr>
          <w:rFonts w:hAnsi="Times New Roman" w:ascii="Times New Roman"/>
          <w:sz w:val="24"/>
          <w:szCs w:val="24"/>
        </w:rPr>
        <w:t>Rodić</w:t>
      </w:r>
      <w:proofErr w:type="spellEnd"/>
      <w:r>
        <w:rPr>
          <w:rFonts w:hAnsi="Times New Roman" w:ascii="Times New Roman"/>
          <w:sz w:val="24"/>
          <w:szCs w:val="24"/>
        </w:rPr>
        <w:t>.</w:t>
      </w:r>
    </w:p>
    <w:p w:rsidRDefault="005A1CFD" w:rsidP="005A1CFD" w:rsidR="005A1CFD">
      <w:pPr>
        <w:ind w:left="1080"/>
        <w:rPr>
          <w:rFonts w:hAnsi="Times New Roman" w:ascii="Times New Roman"/>
          <w:sz w:val="24"/>
          <w:szCs w:val="24"/>
        </w:rPr>
      </w:pPr>
    </w:p>
    <w:p w:rsidRDefault="005A1CFD" w:rsidP="005A1CFD" w:rsidR="005A1CFD">
      <w:pPr>
        <w:ind w:left="1080"/>
        <w:rPr>
          <w:rFonts w:hAnsi="Times New Roman" w:ascii="Times New Roman"/>
          <w:sz w:val="24"/>
          <w:szCs w:val="24"/>
        </w:rPr>
      </w:pPr>
    </w:p>
    <w:p w:rsidRDefault="005A1CFD" w:rsidP="005A1CFD" w:rsidR="005A1CFD">
      <w:pPr>
        <w:ind w:left="1080"/>
        <w:rPr>
          <w:rFonts w:hAnsi="Times New Roman" w:ascii="Times New Roman"/>
          <w:sz w:val="24"/>
          <w:szCs w:val="24"/>
        </w:rPr>
      </w:pPr>
      <w:r>
        <w:rPr>
          <w:rFonts w:hAnsi="Times New Roman" w:ascii="Times New Roman"/>
          <w:sz w:val="24"/>
          <w:szCs w:val="24"/>
        </w:rPr>
        <w:t>U Zagrebu, 29. travnja 2019. godine                        Stečajni upravitelj</w:t>
      </w:r>
      <w:r>
        <w:rPr>
          <w:rFonts w:hAnsi="Times New Roman" w:ascii="Times New Roman"/>
          <w:sz w:val="24"/>
          <w:szCs w:val="24"/>
        </w:rPr>
        <w:br/>
        <w:t xml:space="preserve">                                                                                   Nikola Krvavica</w:t>
      </w:r>
    </w:p>
    <w:p w:rsidRDefault="005A1CFD" w:rsidR="005A1CFD" w:rsidRPr="005A1CFD">
      <w:pPr>
        <w:rPr>
          <w:rFonts w:hAnsi="Times New Roman" w:ascii="Times New Roman"/>
          <w:sz w:val="24"/>
          <w:szCs w:val="24"/>
        </w:rPr>
      </w:pPr>
    </w:p>
    <w:sectPr w:rsidR="005A1CFD" w:rsidRPr="005A1CFD">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Calibri Light">
    <w:panose1 w:val="020F0302020204030204"/>
    <w:charset w:val="EE"/>
    <w:family w:val="swiss"/>
    <w:pitch w:val="variable"/>
    <w:sig w:csb1="00000000" w:csb0="0000019F" w:usb3="00000000" w:usb2="00000000" w:usb1="4000207B" w:usb0="A00002E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003D4"/>
    <w:multiLevelType w:val="hybridMultilevel"/>
    <w:tmpl w:val="139819F0"/>
    <w:lvl w:tplc="3812638A"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43957D50"/>
    <w:multiLevelType w:val="hybridMultilevel"/>
    <w:tmpl w:val="616037C0"/>
    <w:lvl w:tplc="041A0001" w:ilvl="0">
      <w:start w:val="1"/>
      <w:numFmt w:val="bullet"/>
      <w:lvlText w:val=""/>
      <w:lvlJc w:val="left"/>
      <w:pPr>
        <w:ind w:hanging="360" w:left="1428"/>
      </w:pPr>
      <w:rPr>
        <w:rFonts w:hAnsi="Symbol" w:ascii="Symbol" w:hint="default"/>
      </w:rPr>
    </w:lvl>
    <w:lvl w:tentative="true" w:tplc="041A0003" w:ilvl="1">
      <w:start w:val="1"/>
      <w:numFmt w:val="bullet"/>
      <w:lvlText w:val="o"/>
      <w:lvlJc w:val="left"/>
      <w:pPr>
        <w:ind w:hanging="360" w:left="2148"/>
      </w:pPr>
      <w:rPr>
        <w:rFonts w:cs="Courier New" w:hAnsi="Courier New" w:ascii="Courier New" w:hint="default"/>
      </w:rPr>
    </w:lvl>
    <w:lvl w:tentative="true" w:tplc="041A0005" w:ilvl="2">
      <w:start w:val="1"/>
      <w:numFmt w:val="bullet"/>
      <w:lvlText w:val=""/>
      <w:lvlJc w:val="left"/>
      <w:pPr>
        <w:ind w:hanging="360" w:left="2868"/>
      </w:pPr>
      <w:rPr>
        <w:rFonts w:hAnsi="Wingdings" w:ascii="Wingdings" w:hint="default"/>
      </w:rPr>
    </w:lvl>
    <w:lvl w:tentative="true" w:tplc="041A0001" w:ilvl="3">
      <w:start w:val="1"/>
      <w:numFmt w:val="bullet"/>
      <w:lvlText w:val=""/>
      <w:lvlJc w:val="left"/>
      <w:pPr>
        <w:ind w:hanging="360" w:left="3588"/>
      </w:pPr>
      <w:rPr>
        <w:rFonts w:hAnsi="Symbol" w:ascii="Symbol" w:hint="default"/>
      </w:rPr>
    </w:lvl>
    <w:lvl w:tentative="true" w:tplc="041A0003" w:ilvl="4">
      <w:start w:val="1"/>
      <w:numFmt w:val="bullet"/>
      <w:lvlText w:val="o"/>
      <w:lvlJc w:val="left"/>
      <w:pPr>
        <w:ind w:hanging="360" w:left="4308"/>
      </w:pPr>
      <w:rPr>
        <w:rFonts w:cs="Courier New" w:hAnsi="Courier New" w:ascii="Courier New" w:hint="default"/>
      </w:rPr>
    </w:lvl>
    <w:lvl w:tentative="true" w:tplc="041A0005" w:ilvl="5">
      <w:start w:val="1"/>
      <w:numFmt w:val="bullet"/>
      <w:lvlText w:val=""/>
      <w:lvlJc w:val="left"/>
      <w:pPr>
        <w:ind w:hanging="360" w:left="5028"/>
      </w:pPr>
      <w:rPr>
        <w:rFonts w:hAnsi="Wingdings" w:ascii="Wingdings" w:hint="default"/>
      </w:rPr>
    </w:lvl>
    <w:lvl w:tentative="true" w:tplc="041A0001" w:ilvl="6">
      <w:start w:val="1"/>
      <w:numFmt w:val="bullet"/>
      <w:lvlText w:val=""/>
      <w:lvlJc w:val="left"/>
      <w:pPr>
        <w:ind w:hanging="360" w:left="5748"/>
      </w:pPr>
      <w:rPr>
        <w:rFonts w:hAnsi="Symbol" w:ascii="Symbol" w:hint="default"/>
      </w:rPr>
    </w:lvl>
    <w:lvl w:tentative="true" w:tplc="041A0003" w:ilvl="7">
      <w:start w:val="1"/>
      <w:numFmt w:val="bullet"/>
      <w:lvlText w:val="o"/>
      <w:lvlJc w:val="left"/>
      <w:pPr>
        <w:ind w:hanging="360" w:left="6468"/>
      </w:pPr>
      <w:rPr>
        <w:rFonts w:cs="Courier New" w:hAnsi="Courier New" w:ascii="Courier New" w:hint="default"/>
      </w:rPr>
    </w:lvl>
    <w:lvl w:tentative="true" w:tplc="041A0005" w:ilvl="8">
      <w:start w:val="1"/>
      <w:numFmt w:val="bullet"/>
      <w:lvlText w:val=""/>
      <w:lvlJc w:val="left"/>
      <w:pPr>
        <w:ind w:hanging="360" w:left="7188"/>
      </w:pPr>
      <w:rPr>
        <w:rFonts w:hAnsi="Wingdings" w:ascii="Wingdings" w:hint="default"/>
      </w:rPr>
    </w:lvl>
  </w:abstractNum>
  <w:abstractNum w:abstractNumId="2">
    <w:nsid w:val="511F5B9B"/>
    <w:multiLevelType w:val="hybridMultilevel"/>
    <w:tmpl w:val="1F08E5F8"/>
    <w:lvl w:tplc="0A2A2CFC" w:ilvl="0">
      <w:start w:val="1"/>
      <w:numFmt w:val="upperRoman"/>
      <w:lvlText w:val="%1."/>
      <w:lvlJc w:val="left"/>
      <w:pPr>
        <w:ind w:hanging="720" w:left="2040"/>
      </w:pPr>
      <w:rPr>
        <w:rFonts w:hint="default"/>
      </w:rPr>
    </w:lvl>
    <w:lvl w:tentative="true" w:tplc="041A0019" w:ilvl="1">
      <w:start w:val="1"/>
      <w:numFmt w:val="lowerLetter"/>
      <w:lvlText w:val="%2."/>
      <w:lvlJc w:val="left"/>
      <w:pPr>
        <w:ind w:hanging="360" w:left="2400"/>
      </w:pPr>
    </w:lvl>
    <w:lvl w:tentative="true" w:tplc="041A001B" w:ilvl="2">
      <w:start w:val="1"/>
      <w:numFmt w:val="lowerRoman"/>
      <w:lvlText w:val="%3."/>
      <w:lvlJc w:val="right"/>
      <w:pPr>
        <w:ind w:hanging="180" w:left="3120"/>
      </w:pPr>
    </w:lvl>
    <w:lvl w:tentative="true" w:tplc="041A000F" w:ilvl="3">
      <w:start w:val="1"/>
      <w:numFmt w:val="decimal"/>
      <w:lvlText w:val="%4."/>
      <w:lvlJc w:val="left"/>
      <w:pPr>
        <w:ind w:hanging="360" w:left="3840"/>
      </w:pPr>
    </w:lvl>
    <w:lvl w:tentative="true" w:tplc="041A0019" w:ilvl="4">
      <w:start w:val="1"/>
      <w:numFmt w:val="lowerLetter"/>
      <w:lvlText w:val="%5."/>
      <w:lvlJc w:val="left"/>
      <w:pPr>
        <w:ind w:hanging="360" w:left="4560"/>
      </w:pPr>
    </w:lvl>
    <w:lvl w:tentative="true" w:tplc="041A001B" w:ilvl="5">
      <w:start w:val="1"/>
      <w:numFmt w:val="lowerRoman"/>
      <w:lvlText w:val="%6."/>
      <w:lvlJc w:val="right"/>
      <w:pPr>
        <w:ind w:hanging="180" w:left="5280"/>
      </w:pPr>
    </w:lvl>
    <w:lvl w:tentative="true" w:tplc="041A000F" w:ilvl="6">
      <w:start w:val="1"/>
      <w:numFmt w:val="decimal"/>
      <w:lvlText w:val="%7."/>
      <w:lvlJc w:val="left"/>
      <w:pPr>
        <w:ind w:hanging="360" w:left="6000"/>
      </w:pPr>
    </w:lvl>
    <w:lvl w:tentative="true" w:tplc="041A0019" w:ilvl="7">
      <w:start w:val="1"/>
      <w:numFmt w:val="lowerLetter"/>
      <w:lvlText w:val="%8."/>
      <w:lvlJc w:val="left"/>
      <w:pPr>
        <w:ind w:hanging="360" w:left="6720"/>
      </w:pPr>
    </w:lvl>
    <w:lvl w:tentative="true" w:tplc="041A001B" w:ilvl="8">
      <w:start w:val="1"/>
      <w:numFmt w:val="lowerRoman"/>
      <w:lvlText w:val="%9."/>
      <w:lvlJc w:val="right"/>
      <w:pPr>
        <w:ind w:hanging="180" w:left="7440"/>
      </w:pPr>
    </w:lvl>
  </w:abstractNum>
  <w:abstractNum w:abstractNumId="3">
    <w:nsid w:val="7EAC5F4D"/>
    <w:multiLevelType w:val="hybridMultilevel"/>
    <w:tmpl w:val="139819F0"/>
    <w:lvl w:tplc="3812638A"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3"/>
  </w:num>
  <w:num w:numId="2">
    <w:abstractNumId w:val="2"/>
  </w:num>
  <w:num w:numId="3">
    <w:abstractNumId w:val="1"/>
  </w:num>
  <w:num w:numId="4">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A1CFD"/>
    <w:rsid w:val="000E3BF6"/>
    <w:rsid w:val="005A1CFD"/>
    <w:rsid w:val="00BC433B"/>
    <w:rsid w:val="00DE016F"/>
    <w:rsid w:val="00F40A9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after="16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Inde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3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5A1CFD"/>
    <w:pPr>
      <w:spacing w:after="80"/>
    </w:pPr>
    <w:rPr>
      <w:rFonts w:cs="Times New Roman" w:eastAsia="Calibri" w:hAnsi="Calibri" w:ascii="Calibri"/>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Uvuenotijeloteksta" w:type="paragraph">
    <w:name w:val="Body Text Indent"/>
    <w:basedOn w:val="Normal"/>
    <w:link w:val="UvuenotijelotekstaChar"/>
    <w:rsid w:val="005A1CFD"/>
    <w:pPr>
      <w:spacing w:after="0"/>
      <w:ind w:firstLine="708"/>
    </w:pPr>
    <w:rPr>
      <w:rFonts w:cs="Arial" w:eastAsia="Times New Roman" w:hAnsi="Arial" w:ascii="Arial"/>
      <w:sz w:val="24"/>
      <w:szCs w:val="24"/>
      <w:lang w:eastAsia="hr-HR"/>
    </w:rPr>
  </w:style>
  <w:style w:customStyle="true" w:styleId="UvuenotijelotekstaChar" w:type="character">
    <w:name w:val="Uvučeno tijelo teksta Char"/>
    <w:basedOn w:val="Zadanifontodlomka"/>
    <w:link w:val="Uvuenotijeloteksta"/>
    <w:rsid w:val="005A1CFD"/>
    <w:rPr>
      <w:rFonts w:cs="Arial" w:eastAsia="Times New Roman" w:hAnsi="Arial" w:ascii="Arial"/>
      <w:sz w:val="24"/>
      <w:szCs w:val="24"/>
      <w:lang w:eastAsia="hr-HR"/>
    </w:rPr>
  </w:style>
  <w:style w:styleId="Odlomakpopisa" w:type="paragraph">
    <w:name w:val="List Paragraph"/>
    <w:basedOn w:val="Normal"/>
    <w:uiPriority w:val="34"/>
    <w:qFormat/>
    <w:rsid w:val="005A1CFD"/>
    <w:pPr>
      <w:ind w:left="720"/>
      <w:contextualSpacing/>
    </w:pPr>
  </w:style>
  <w:style w:styleId="Tekstrezerviranogmjesta" w:type="character">
    <w:name w:val="Placeholder Text"/>
    <w:basedOn w:val="Zadanifontodlomka"/>
    <w:uiPriority w:val="99"/>
    <w:semiHidden/>
    <w:rsid w:val="00F40A9F"/>
    <w:rPr>
      <w:color w:val="808080"/>
      <w:bdr w:space="0" w:sz="0" w:color="auto" w:val="none"/>
      <w:shd w:fill="auto" w:color="auto" w:val="clear"/>
    </w:rPr>
  </w:style>
  <w:style w:customStyle="true" w:styleId="eSPISCCParagraphDefaultFont" w:type="character">
    <w:name w:val="eSPIS_CC_Paragraph Default Font"/>
    <w:basedOn w:val="Zadanifontodlomka"/>
    <w:rsid w:val="00F40A9F"/>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F40A9F"/>
    <w:rPr>
      <w:rFonts w:hAnsi="Times New Roman" w:ascii="Times New Roman"/>
      <w:b/>
      <w:sz w:val="24"/>
      <w:bdr w:space="0" w:sz="0" w:color="auto" w:val="none"/>
      <w:shd w:fill="FFFFCC" w:color="auto" w:val="clear"/>
      <w:lang w:val="hr-HR"/>
    </w:rPr>
  </w:style>
  <w:style w:customStyle="true" w:styleId="PozadinaSvijetloCrvena" w:type="character">
    <w:name w:val="Pozadina_SvijetloCrvena"/>
    <w:basedOn w:val="eSPISCCParagraphDefaultFont"/>
    <w:rsid w:val="00F40A9F"/>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F40A9F"/>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160"/>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Inden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3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5A1CFD"/>
    <w:pPr>
      <w:spacing w:after="80"/>
    </w:pPr>
    <w:rPr>
      <w:rFonts w:ascii="Calibri" w:cs="Times New Roman" w:eastAsia="Calibri" w:hAnsi="Calibri"/>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Uvuenotijeloteksta" w:type="paragraph">
    <w:name w:val="Body Text Indent"/>
    <w:basedOn w:val="Normal"/>
    <w:link w:val="UvuenotijelotekstaChar"/>
    <w:rsid w:val="005A1CFD"/>
    <w:pPr>
      <w:spacing w:after="0"/>
      <w:ind w:firstLine="708"/>
    </w:pPr>
    <w:rPr>
      <w:rFonts w:ascii="Arial" w:cs="Arial" w:eastAsia="Times New Roman" w:hAnsi="Arial"/>
      <w:sz w:val="24"/>
      <w:szCs w:val="24"/>
      <w:lang w:eastAsia="hr-HR"/>
    </w:rPr>
  </w:style>
  <w:style w:customStyle="1" w:styleId="UvuenotijelotekstaChar" w:type="character">
    <w:name w:val="Uvučeno tijelo teksta Char"/>
    <w:basedOn w:val="Zadanifontodlomka"/>
    <w:link w:val="Uvuenotijeloteksta"/>
    <w:rsid w:val="005A1CFD"/>
    <w:rPr>
      <w:rFonts w:ascii="Arial" w:cs="Arial" w:eastAsia="Times New Roman" w:hAnsi="Arial"/>
      <w:sz w:val="24"/>
      <w:szCs w:val="24"/>
      <w:lang w:eastAsia="hr-HR"/>
    </w:rPr>
  </w:style>
  <w:style w:styleId="Odlomakpopisa" w:type="paragraph">
    <w:name w:val="List Paragraph"/>
    <w:basedOn w:val="Normal"/>
    <w:uiPriority w:val="34"/>
    <w:qFormat/>
    <w:rsid w:val="005A1CFD"/>
    <w:pPr>
      <w:ind w:left="720"/>
      <w:contextualSpacing/>
    </w:pPr>
  </w:style>
  <w:style w:styleId="Tekstrezerviranogmjesta" w:type="character">
    <w:name w:val="Placeholder Text"/>
    <w:basedOn w:val="Zadanifontodlomka"/>
    <w:uiPriority w:val="99"/>
    <w:semiHidden/>
    <w:rsid w:val="00F40A9F"/>
    <w:rPr>
      <w:color w:val="808080"/>
      <w:bdr w:color="auto" w:space="0" w:sz="0" w:val="none"/>
      <w:shd w:color="auto" w:fill="auto" w:val="clear"/>
    </w:rPr>
  </w:style>
  <w:style w:customStyle="1" w:styleId="eSPISCCParagraphDefaultFont" w:type="character">
    <w:name w:val="eSPIS_CC_Paragraph Default Font"/>
    <w:basedOn w:val="Zadanifontodlomka"/>
    <w:rsid w:val="00F40A9F"/>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F40A9F"/>
    <w:rPr>
      <w:rFonts w:ascii="Times New Roman" w:hAnsi="Times New Roman"/>
      <w:b/>
      <w:sz w:val="24"/>
      <w:bdr w:color="auto" w:space="0" w:sz="0" w:val="none"/>
      <w:shd w:color="auto" w:fill="FFFFCC" w:val="clear"/>
      <w:lang w:val="hr-HR"/>
    </w:rPr>
  </w:style>
  <w:style w:customStyle="1" w:styleId="PozadinaSvijetloCrvena" w:type="character">
    <w:name w:val="Pozadina_SvijetloCrvena"/>
    <w:basedOn w:val="eSPISCCParagraphDefaultFont"/>
    <w:rsid w:val="00F40A9F"/>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F40A9F"/>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panose="020F0302020204030204" typeface="Calibri Light"/>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panose="020F0502020204030204"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scaled="false" ang="5400000"/>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scaled="false" ang="5400000"/>
        </a:gradFill>
      </a:fillStyleLst>
      <a:lnStyleLst>
        <a:ln algn="ctr" cmpd="sng" cap="flat" w="6350">
          <a:solidFill>
            <a:schemeClr val="phClr"/>
          </a:solidFill>
          <a:prstDash val="solid"/>
          <a:miter lim="800000"/>
        </a:ln>
        <a:ln algn="ctr" cmpd="sng" cap="flat" w="12700">
          <a:solidFill>
            <a:schemeClr val="phClr"/>
          </a:solidFill>
          <a:prstDash val="solid"/>
          <a:miter lim="800000"/>
        </a:ln>
        <a:ln algn="ctr" cmpd="sng" cap="flat" w="19050">
          <a:solidFill>
            <a:schemeClr val="phClr"/>
          </a:solidFill>
          <a:prstDash val="solid"/>
          <a:miter lim="800000"/>
        </a:ln>
      </a:lnStyleLst>
      <a:effectStyleLst>
        <a:effectStyle>
          <a:effectLst/>
        </a:effectStyle>
        <a:effectStyle>
          <a:effectLst/>
        </a:effectStyle>
        <a:effectStyle>
          <a:effectLst>
            <a:outerShdw rotWithShape="false" algn="ctr" dir="5400000" dist="19050" blurRad="5715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scaled="false" ang="5400000"/>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Microsoft</properties:Company>
  <properties:Pages>3</properties:Pages>
  <properties:Words>854</properties:Words>
  <properties:Characters>4977</properties:Characters>
  <properties:Lines>113</properties:Lines>
  <properties:Paragraphs>31</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6043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2019-04-29T09:43:00Z</dcterms:created>
  <dc:creator>Korisnik</dc:creator>
  <cp:lastModifiedBy>Vinka Mihalinčić</cp:lastModifiedBy>
  <dcterms:modified xmlns:xsi="http://www.w3.org/2001/XMLSchema-instance" xsi:type="dcterms:W3CDTF">2019-05-06T12:13:00Z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St-5048/2016-51 / Podnesak - Izvješće stečajnog upravitelja (- IZVJEŠĆE tromjesečno 3.docx)</vt:lpwstr>
  </prop:property>
  <prop:property name="CC_coloring" pid="4" fmtid="{D5CDD505-2E9C-101B-9397-08002B2CF9AE}">
    <vt:bool>false</vt:bool>
  </prop:property>
  <prop:property name="BrojStranica" pid="5" fmtid="{D5CDD505-2E9C-101B-9397-08002B2CF9AE}">
    <vt:i4>3</vt:i4>
  </prop:property>
</prop:Properties>
</file>