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de6f" w14:paraId="9d1de6f" w:rsidRDefault="00D033C8" w:rsidP="00D033C8" w:rsidR="00D033C8">
      <w:pPr>
        <w:jc w:val="center"/>
        <w15:collapsed w:val="false"/>
        <w:rPr>
          <w:rFonts w:cs="Tahoma" w:hAnsi="Tahoma" w:ascii="Tahoma"/>
          <w:b/>
          <w:sz w:val="28"/>
        </w:rPr>
      </w:pPr>
      <w:r>
        <w:rPr>
          <w:rFonts w:cs="Tahoma" w:hAnsi="Tahoma" w:ascii="Tahoma"/>
          <w:b/>
          <w:sz w:val="28"/>
        </w:rPr>
        <w:t>Obrazac 20.</w:t>
      </w:r>
    </w:p>
    <w:p w:rsidRDefault="00D033C8" w:rsidP="00D033C8" w:rsidR="00D033C8">
      <w:pPr>
        <w:jc w:val="center"/>
      </w:pPr>
      <w:r>
        <w:rPr>
          <w:rFonts w:cs="Tahoma" w:hAnsi="Tahoma" w:ascii="Tahoma"/>
          <w:b/>
          <w:sz w:val="24"/>
        </w:rPr>
        <w:t xml:space="preserve">IZVJEŠĆE </w:t>
      </w:r>
      <w:r>
        <w:rPr>
          <w:rFonts w:cs="Tahoma" w:hAnsi="Tahoma" w:ascii="Tahoma"/>
          <w:b/>
          <w:sz w:val="24"/>
          <w:szCs w:val="24"/>
        </w:rPr>
        <w:t>STEČAJNOGA</w:t>
      </w:r>
      <w:r>
        <w:rPr>
          <w:rFonts w:cs="Tahoma" w:hAnsi="Tahoma" w:ascii="Tahoma"/>
          <w:b/>
          <w:sz w:val="24"/>
        </w:rPr>
        <w:t xml:space="preserve"> UPRAVITELJA O TIJEKU </w:t>
      </w:r>
      <w:r>
        <w:rPr>
          <w:rFonts w:cs="Tahoma" w:hAnsi="Tahoma" w:ascii="Tahoma"/>
          <w:b/>
          <w:sz w:val="24"/>
          <w:szCs w:val="24"/>
        </w:rPr>
        <w:t>STEČAJNOGA</w:t>
      </w:r>
      <w:r>
        <w:rPr>
          <w:rFonts w:cs="Tahoma" w:hAnsi="Tahoma" w:ascii="Tahoma"/>
          <w:b/>
          <w:sz w:val="24"/>
        </w:rPr>
        <w:t xml:space="preserve"> POSTUPKA I STANJU STEČAJNE MASE</w:t>
      </w:r>
    </w:p>
    <w:p w:rsidRDefault="00D033C8" w:rsidP="00D033C8" w:rsidR="00D033C8">
      <w:pPr>
        <w:jc w:val="center"/>
        <w:rPr>
          <w:rFonts w:cs="Tahoma" w:hAnsi="Tahoma" w:ascii="Tahoma"/>
          <w:sz w:val="24"/>
        </w:rPr>
      </w:pPr>
    </w:p>
    <w:p w:rsidRDefault="00D033C8" w:rsidP="00D033C8" w:rsidR="00D033C8">
      <w:pPr>
        <w:jc w:val="both"/>
      </w:pPr>
      <w:r>
        <w:rPr>
          <w:rFonts w:cs="Tahoma" w:hAnsi="Tahoma" w:ascii="Tahoma"/>
          <w:b/>
          <w:sz w:val="24"/>
          <w:szCs w:val="24"/>
          <w:lang w:val="pl-PL"/>
        </w:rPr>
        <w:t>Nadle</w:t>
      </w:r>
      <w:r>
        <w:rPr>
          <w:rFonts w:cs="Tahoma" w:hAnsi="Tahoma" w:ascii="Tahoma"/>
          <w:b/>
          <w:sz w:val="24"/>
        </w:rPr>
        <w:t>ž</w:t>
      </w:r>
      <w:r>
        <w:rPr>
          <w:rFonts w:cs="Tahoma" w:hAnsi="Tahoma" w:ascii="Tahoma"/>
          <w:b/>
          <w:sz w:val="24"/>
          <w:szCs w:val="24"/>
          <w:lang w:val="pl-PL"/>
        </w:rPr>
        <w:t>ni</w:t>
      </w:r>
      <w:r>
        <w:rPr>
          <w:rFonts w:cs="Tahoma" w:hAnsi="Tahoma" w:ascii="Tahoma"/>
          <w:b/>
          <w:sz w:val="24"/>
        </w:rPr>
        <w:t xml:space="preserve"> </w:t>
      </w:r>
      <w:r>
        <w:rPr>
          <w:rFonts w:cs="Tahoma" w:hAnsi="Tahoma" w:ascii="Tahoma"/>
          <w:b/>
          <w:sz w:val="24"/>
          <w:szCs w:val="24"/>
          <w:lang w:val="pl-PL"/>
        </w:rPr>
        <w:t>trgova</w:t>
      </w:r>
      <w:r>
        <w:rPr>
          <w:rFonts w:cs="Tahoma" w:hAnsi="Tahoma" w:ascii="Tahoma"/>
          <w:b/>
          <w:sz w:val="24"/>
        </w:rPr>
        <w:t>č</w:t>
      </w:r>
      <w:r>
        <w:rPr>
          <w:rFonts w:cs="Tahoma" w:hAnsi="Tahoma" w:ascii="Tahoma"/>
          <w:b/>
          <w:sz w:val="24"/>
          <w:szCs w:val="24"/>
          <w:lang w:val="pl-PL"/>
        </w:rPr>
        <w:t>ki</w:t>
      </w:r>
      <w:r>
        <w:rPr>
          <w:rFonts w:cs="Tahoma" w:hAnsi="Tahoma" w:ascii="Tahoma"/>
          <w:b/>
          <w:sz w:val="24"/>
        </w:rPr>
        <w:t xml:space="preserve"> </w:t>
      </w:r>
      <w:r>
        <w:rPr>
          <w:rFonts w:cs="Tahoma" w:hAnsi="Tahoma" w:ascii="Tahoma"/>
          <w:b/>
          <w:sz w:val="24"/>
          <w:szCs w:val="24"/>
          <w:lang w:val="pl-PL"/>
        </w:rPr>
        <w:t>sud</w:t>
      </w:r>
      <w:r>
        <w:rPr>
          <w:rFonts w:cs="Tahoma" w:hAnsi="Tahoma" w:ascii="Tahoma"/>
          <w:b/>
          <w:sz w:val="24"/>
        </w:rPr>
        <w:t xml:space="preserve"> : Trgovački sud u Bjelovaru</w:t>
      </w:r>
    </w:p>
    <w:p w:rsidRDefault="00D033C8" w:rsidP="00D033C8" w:rsidR="00D033C8">
      <w:pPr>
        <w:jc w:val="both"/>
      </w:pPr>
      <w:r>
        <w:rPr>
          <w:rFonts w:cs="Tahoma" w:hAnsi="Tahoma" w:ascii="Tahoma"/>
          <w:b/>
          <w:sz w:val="24"/>
          <w:szCs w:val="24"/>
          <w:lang w:val="pl-PL"/>
        </w:rPr>
        <w:t xml:space="preserve">Poslovni broj spisa : </w:t>
      </w:r>
      <w:r>
        <w:rPr>
          <w:b/>
          <w:sz w:val="24"/>
          <w:szCs w:val="24"/>
        </w:rPr>
        <w:t>5.</w:t>
      </w:r>
      <w:r>
        <w:rPr>
          <w:b/>
        </w:rPr>
        <w:t xml:space="preserve"> </w:t>
      </w:r>
      <w:r>
        <w:rPr>
          <w:b/>
          <w:sz w:val="24"/>
          <w:szCs w:val="24"/>
        </w:rPr>
        <w:t>St-476/2017-19</w:t>
      </w:r>
    </w:p>
    <w:p w:rsidRDefault="00D033C8" w:rsidP="00D033C8" w:rsidR="00D033C8">
      <w:pPr>
        <w:spacing w:after="0"/>
        <w:jc w:val="both"/>
      </w:pPr>
      <w:r>
        <w:rPr>
          <w:rFonts w:cs="Tahoma" w:hAnsi="Tahoma" w:ascii="Tahoma"/>
          <w:b/>
          <w:sz w:val="20"/>
          <w:szCs w:val="20"/>
          <w:lang w:val="pl-PL"/>
        </w:rPr>
        <w:t>Dužnik (ime i prezime / tvrtka ili naziv, OIB, adresa / sjedište</w:t>
      </w:r>
      <w:r>
        <w:rPr>
          <w:b/>
          <w:sz w:val="20"/>
          <w:szCs w:val="20"/>
        </w:rPr>
        <w:t xml:space="preserve"> : </w:t>
      </w:r>
    </w:p>
    <w:p w:rsidRDefault="00D033C8" w:rsidP="00D033C8" w:rsidR="00D033C8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Zlatni lipanj j.d.o.o., Zlatar-Bistrica, Kolodvorska 4a, OIB: 13296210307</w:t>
      </w:r>
    </w:p>
    <w:p w:rsidRDefault="00D033C8" w:rsidP="00D033C8" w:rsidR="00D033C8">
      <w:pPr>
        <w:spacing w:after="0"/>
        <w:jc w:val="both"/>
        <w:rPr>
          <w:b/>
          <w:sz w:val="28"/>
          <w:szCs w:val="28"/>
        </w:rPr>
      </w:pPr>
    </w:p>
    <w:p w:rsidRDefault="00D033C8" w:rsidP="00D033C8" w:rsidR="00D033C8">
      <w:r>
        <w:rPr>
          <w:rFonts w:cs="Tahoma" w:hAnsi="Tahoma" w:ascii="Tahoma"/>
          <w:sz w:val="24"/>
          <w:szCs w:val="24"/>
          <w:lang w:val="pl-PL"/>
        </w:rPr>
        <w:t xml:space="preserve"> </w:t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b/>
          <w:sz w:val="24"/>
          <w:szCs w:val="24"/>
          <w:lang w:val="pl-PL"/>
        </w:rPr>
        <w:t>Nadopunjeno izvješće stečajnog upravitelja  u svezi parničnih postupaka u kojima je stečajni dužnik stranka</w:t>
      </w:r>
    </w:p>
    <w:p w:rsidRDefault="00D033C8" w:rsidP="00D033C8" w:rsidR="00D033C8">
      <w:pPr>
        <w:ind w:left="360"/>
        <w:rPr>
          <w:rFonts w:cs="Tahoma" w:hAnsi="Tahoma" w:ascii="Tahoma"/>
          <w:sz w:val="24"/>
          <w:szCs w:val="24"/>
          <w:lang w:val="pl-PL"/>
        </w:rPr>
      </w:pPr>
    </w:p>
    <w:p w:rsidRDefault="00D033C8" w:rsidP="00D033C8" w:rsidR="00D033C8">
      <w:pPr>
        <w:ind w:left="360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Na oodržanom izvještajnom ročištu dana 21. veljače 2019. godine određeno je da stečajni upravitelj dopuni izvješće na način da navede potpune podatke o postupcima koji su u tijeku , te  da procjenu troškova koji su do sada u pojedinim postupku nastali odnosno koji se očekuju.</w:t>
      </w:r>
    </w:p>
    <w:p w:rsidRDefault="00D033C8" w:rsidP="00D033C8" w:rsidR="00D033C8">
      <w:pPr>
        <w:ind w:left="360"/>
        <w:rPr>
          <w:rFonts w:cs="Tahoma" w:hAnsi="Tahoma" w:ascii="Tahoma"/>
          <w:sz w:val="24"/>
          <w:szCs w:val="24"/>
          <w:lang w:val="pl-PL"/>
        </w:rPr>
      </w:pPr>
    </w:p>
    <w:tbl>
      <w:tblPr>
        <w:tblW w:type="dxa" w:w="13669"/>
        <w:tblInd w:type="dxa" w:w="36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417"/>
        <w:gridCol w:w="1790"/>
        <w:gridCol w:w="1722"/>
        <w:gridCol w:w="2644"/>
        <w:gridCol w:w="4395"/>
        <w:gridCol w:w="1701"/>
      </w:tblGrid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Poslovni broj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Nadležni sud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Ovrhovoditelj 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Vrijednost spora HRK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Status, 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u parničnim postupcima  odluka o prekidu postupka zbog otvaranja stečajnog postupka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Troškovi u slučaju gubitka spora bez troškova stečajnog dužnika  sa PDV okvirno HRK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Ovr-746/18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Općinski sud u Zadru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Željko Pletković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Prekinuta ovraha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5.000,00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Tuženik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P-2676/13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>GŽ-986/16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>Općinski sud u Zadru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Željko Pletković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 Radi smetanja posjeda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Odlučivanje o reviziji stečajnog dužnika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25.000,00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>P-1409/14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Općinski sud u Zadru 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Željko  Pletković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Radi predaje u posjed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Odlučivanje o reviziji stečajnog dužnika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20.000,00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P-113/16 protutužba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Općinski sud u Zadru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Tužitelj-Željko Pletković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Protutužba-Zlatni lipanj j.d.o.o.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1.345.000,00 Naknada štete zbog smetanja posjeda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Održana glavna rasprava 20. 03.2018., određeno  je rješenjem suda  da će se očevid obaviti 01.08.2018.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-izvest će se još jedan  očevid na predmetu spora uz sudjelovanje vještaka građevinske struke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Potrebno uplatiti  predujam od 4.000,00 kuna u roku , Ukoliko se ne uplati predujam u roku sud  će odustati od izvođenja dokaza vještaćenjem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Na ročište za glavnu raspravu  koje će se održati na predmetu spora pozvat će se vještak strojarske struke naloženo tuženicima -protutužitelju  uplatiti predujma od 3.000,00 kuna Ukoliko se ne uplati predujam sud će odustati od izvođenja dokaza vještaćenjem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Na isto ročište pozvat će se vještak financijske struke naloženo tuženicima -protutužitelju uplatiti 3.000,00 kuna predujma  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Ukoliko se ne uplati predujam sud će </w:t>
            </w: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 xml:space="preserve">odustati od izvođenja dokaza vještaćenjem 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Na to ročište pozvat će se svjedoci po tužitelju Davor Bučića i Srećka Cvitan,  po tuženiku Ante Letina, Joso Čakarun, Mladen Marković, Josip Kazija , Jurica Galešić, Josip Đaković, Ivan Kovačić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>80.000,00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>P-1657/15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Trgovački sud u Zagrebu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1.Hrvatska agencija za okoliš i prirodu, Zagreb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2. Matija Franković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60.000,00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Naknada štete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Pripremanje glavne rasprave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20.000,00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P-1244/15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Trgovački sud u Zagrebu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1.HEP-operater distribucijskog sustava d.o.o.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2. Željko Pletković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509.515,82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Naknada štete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Pripremanje glavne rasprave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30.000,00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P-1214/15 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Trgovački sud u Zagrebu/ Visoki trgovački sud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Klemm sigurnost d.o.o.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1.040.000,00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Odlučivanje o žalbi  stečajnog dužnika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50.000,00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P-2478/16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Trgovački sud u Zagrebu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Republika Hrvatska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975.000,00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Naknada štete zbog donošenja odluke o </w:t>
            </w: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 xml:space="preserve">određenom periodu sakupljanja bilja </w:t>
            </w:r>
          </w:p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 xml:space="preserve"> Pripremanje glavne rasprave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60.000,00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lastRenderedPageBreak/>
              <w:t>P-1883/15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Trgovački sud u Zagrebu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Republika Hrvatska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1.309.000,00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 xml:space="preserve">Zaključen prethodni postupak  , određen prekid postupka   do pravomoćnog okončanja postupka koji se vodi pred Upravnim sudom u Splitu pod brojem Usl.-83/15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70.000,00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P-661/16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Trgovački sud u Zagrebu/ Visoki trgovački sud u Zagrebu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Hrvatske šume d.o.o.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840.000,00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Odlučivanje o žalbi tužitelja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40.000,00</w:t>
            </w:r>
          </w:p>
        </w:tc>
      </w:tr>
      <w:tr w:rsidTr="00814BFB" w:rsidR="00D033C8">
        <w:tblPrEx>
          <w:tblCellMar>
            <w:top w:type="dxa" w:w="0"/>
            <w:bottom w:type="dxa" w:w="0"/>
          </w:tblCellMar>
        </w:tblPrEx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P-1216/15</w:t>
            </w:r>
          </w:p>
        </w:tc>
        <w:tc>
          <w:tcPr>
            <w:tcW w:type="dxa" w:w="1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Trgovački sud u Zagrebu/Visoki trgovački sud u Zagrebu</w:t>
            </w:r>
          </w:p>
        </w:tc>
        <w:tc>
          <w:tcPr>
            <w:tcW w:type="dxa" w:w="1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Hrvatske šume d.o.o.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1.350.000,00</w:t>
            </w:r>
          </w:p>
        </w:tc>
        <w:tc>
          <w:tcPr>
            <w:tcW w:type="dxa" w:w="43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Odlučivanje o žalbi tužitelja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033C8" w:rsidP="00814BFB" w:rsidR="00D033C8">
            <w:pPr>
              <w:rPr>
                <w:rFonts w:cs="Tahoma" w:hAnsi="Tahoma" w:ascii="Tahoma"/>
                <w:sz w:val="24"/>
                <w:szCs w:val="24"/>
                <w:lang w:eastAsia="zh-CN" w:val="pl-PL"/>
              </w:rPr>
            </w:pPr>
            <w:r>
              <w:rPr>
                <w:rFonts w:cs="Tahoma" w:hAnsi="Tahoma" w:ascii="Tahoma"/>
                <w:sz w:val="24"/>
                <w:szCs w:val="24"/>
                <w:lang w:eastAsia="zh-CN" w:val="pl-PL"/>
              </w:rPr>
              <w:t>70.000,00</w:t>
            </w:r>
          </w:p>
        </w:tc>
      </w:tr>
    </w:tbl>
    <w:p w:rsidRDefault="00D033C8" w:rsidP="00D033C8" w:rsidR="00D033C8">
      <w:pPr>
        <w:ind w:left="360"/>
        <w:rPr>
          <w:rFonts w:cs="Tahoma" w:hAnsi="Tahoma" w:ascii="Tahoma"/>
          <w:sz w:val="24"/>
          <w:szCs w:val="24"/>
          <w:lang w:val="pl-PL"/>
        </w:rPr>
      </w:pPr>
    </w:p>
    <w:p w:rsidRDefault="00D033C8" w:rsidP="00D033C8" w:rsidR="00D033C8">
      <w:pPr>
        <w:ind w:left="360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.</w:t>
      </w:r>
    </w:p>
    <w:p w:rsidRDefault="00D033C8" w:rsidP="00D033C8" w:rsidR="00D033C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D033C8" w:rsidP="00D033C8" w:rsidR="00D033C8">
      <w:r>
        <w:rPr>
          <w:rFonts w:hAnsi="Times New Roman" w:ascii="Times New Roman"/>
          <w:sz w:val="24"/>
          <w:szCs w:val="24"/>
          <w:lang w:val="pl-PL"/>
        </w:rPr>
        <w:t>Velika Gorica,03.04.2019.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Stjepan Rakarec</w:t>
      </w:r>
    </w:p>
    <w:p w:rsidRDefault="00D033C8" w:rsidP="00D033C8" w:rsidR="00D033C8"/>
    <w:p w:rsidRDefault="00D033C8" w:rsidR="00E529BF">
      <w:bookmarkStart w:name="_GoBack" w:id="0"/>
      <w:bookmarkEnd w:id="0"/>
    </w:p>
    <w:sectPr w:rsidR="00E529BF">
      <w:pgSz w:orient="landscape" w:h="11906" w:w="16838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3C8"/>
    <w:rsid w:val="00750F21"/>
    <w:rsid w:val="00D033C8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D033C8"/>
    <w:pPr>
      <w:suppressAutoHyphens/>
      <w:autoSpaceDN w:val="false"/>
      <w:spacing w:lineRule="auto" w:line="240" w:after="80"/>
      <w:textAlignment w:val="baseline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D033C8"/>
    <w:pPr>
      <w:suppressAutoHyphens/>
      <w:autoSpaceDN w:val="0"/>
      <w:spacing w:after="80" w:line="240" w:lineRule="auto"/>
      <w:textAlignment w:val="baseline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557</properties:Words>
  <properties:Characters>3179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2019-04-08T11:46:00Z</dcterms:created>
  <dc:creator>Željka Vitez</dc:creator>
  <cp:lastModifiedBy>Željka Vitez</cp:lastModifiedBy>
  <dcterms:modified xmlns:xsi="http://www.w3.org/2001/XMLSchema-instance" xsi:type="dcterms:W3CDTF">2019-04-08T11:46:00Z</dcterms:modified>
  <cp:revision>1</cp:revision>
</cp:coreProperties>
</file>