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7bf7e9" w14:paraId="27bf7e9" w:rsidRDefault="002143BE" w:rsidP="002143BE" w:rsidR="002143BE">
      <w:pPr>
        <w:ind w:firstLine="708"/>
        <w15:collapsed w:val="false"/>
      </w:pPr>
      <w:bookmarkStart w:name="_GoBack" w:id="0"/>
      <w:bookmarkEnd w:id="0"/>
      <w:r>
        <w:t xml:space="preserve">       </w:t>
      </w:r>
      <w:r>
        <w:rPr>
          <w:noProof/>
        </w:rPr>
        <w:drawing>
          <wp:inline distR="0" distL="0" distB="0" distT="0">
            <wp:extent cy="771525" cx="581025"/>
            <wp:effectExtent b="9525" r="9525" t="0" l="0"/>
            <wp:docPr name="Slika 2" id="2"/>
            <wp:cNvGraphicFramePr>
              <a:graphicFrameLocks noChangeAspect="true"/>
            </wp:cNvGraphicFramePr>
            <a:graphic>
              <a:graphicData uri="http://schemas.openxmlformats.org/drawingml/2006/picture">
                <pic:pic>
                  <pic:nvPicPr>
                    <pic:cNvPr name="Slika 13"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p>
    <w:p w:rsidRDefault="002143BE" w:rsidP="002143BE" w:rsidR="002143BE">
      <w:r>
        <w:rPr>
          <w:bCs/>
        </w:rPr>
        <w:t xml:space="preserve">   REPUBLIKA HRVATSKA                                               </w:t>
      </w:r>
      <w:r>
        <w:t>Poslovni broj: 14. St-1505/2016.</w:t>
      </w:r>
    </w:p>
    <w:p w:rsidRDefault="002143BE" w:rsidP="002143BE" w:rsidR="002143BE">
      <w:r>
        <w:rPr>
          <w:bCs/>
        </w:rPr>
        <w:t xml:space="preserve"> TRGOVAČKI SUD U SPLITU                                                </w:t>
      </w:r>
    </w:p>
    <w:p w:rsidRDefault="002143BE" w:rsidP="002143BE" w:rsidR="002143BE">
      <w:proofErr w:type="spellStart"/>
      <w:r>
        <w:t>Sukoišanska</w:t>
      </w:r>
      <w:proofErr w:type="spellEnd"/>
      <w:r>
        <w:t xml:space="preserve"> 6. – 21 000  S P L I T</w:t>
      </w:r>
    </w:p>
    <w:p w:rsidRDefault="002143BE" w:rsidP="002143BE" w:rsidR="002143BE">
      <w:pPr>
        <w:rPr>
          <w:b/>
        </w:rPr>
      </w:pPr>
    </w:p>
    <w:p w:rsidRDefault="002143BE" w:rsidP="002143BE" w:rsidR="002143BE">
      <w:pPr>
        <w:jc w:val="center"/>
      </w:pPr>
      <w:r>
        <w:rPr>
          <w:bCs/>
        </w:rPr>
        <w:t>R E P U B L I K A    H R V A T S K A</w:t>
      </w:r>
    </w:p>
    <w:p w:rsidRDefault="002143BE" w:rsidP="002143BE" w:rsidR="002143BE">
      <w:pPr>
        <w:jc w:val="center"/>
      </w:pPr>
    </w:p>
    <w:p w:rsidRDefault="002143BE" w:rsidP="002143BE" w:rsidR="002143BE">
      <w:pPr>
        <w:jc w:val="center"/>
        <w:rPr>
          <w:lang w:val="fr-FR"/>
        </w:rPr>
      </w:pPr>
      <w:r>
        <w:rPr>
          <w:lang w:val="fr-FR"/>
        </w:rPr>
        <w:t>R J E Š E NJ E</w:t>
      </w:r>
    </w:p>
    <w:p w:rsidRDefault="002143BE" w:rsidP="002143BE" w:rsidR="002143BE">
      <w:pPr>
        <w:keepNext/>
        <w:jc w:val="center"/>
        <w:outlineLvl w:val="1"/>
        <w:rPr>
          <w:rFonts w:eastAsia="Arial Unicode MS"/>
          <w:bCs/>
          <w:szCs w:val="20"/>
        </w:rPr>
      </w:pPr>
      <w:r>
        <w:rPr>
          <w:rFonts w:eastAsia="Arial Unicode MS"/>
          <w:bCs/>
          <w:szCs w:val="20"/>
        </w:rPr>
        <w:t xml:space="preserve">i </w:t>
      </w:r>
    </w:p>
    <w:p w:rsidRDefault="002143BE" w:rsidP="002143BE" w:rsidR="002143BE">
      <w:pPr>
        <w:keepNext/>
        <w:jc w:val="center"/>
        <w:outlineLvl w:val="1"/>
        <w:rPr>
          <w:rFonts w:eastAsia="Arial Unicode MS"/>
          <w:bCs/>
          <w:szCs w:val="20"/>
        </w:rPr>
      </w:pPr>
      <w:r>
        <w:rPr>
          <w:rFonts w:eastAsia="Arial Unicode MS"/>
          <w:bCs/>
          <w:szCs w:val="20"/>
        </w:rPr>
        <w:t>Z A K LJ U Č A K</w:t>
      </w:r>
    </w:p>
    <w:p w:rsidRDefault="002143BE" w:rsidP="002143BE" w:rsidR="002143BE">
      <w:pPr>
        <w:jc w:val="center"/>
        <w:rPr>
          <w:lang w:val="fr-FR"/>
        </w:rPr>
      </w:pPr>
    </w:p>
    <w:p w:rsidRDefault="002143BE" w:rsidP="002143BE" w:rsidR="002143BE"/>
    <w:p w:rsidRDefault="002143BE" w:rsidP="002143BE" w:rsidR="002143BE">
      <w:pPr>
        <w:jc w:val="both"/>
        <w:rPr>
          <w:lang w:val="en-AU"/>
        </w:rPr>
      </w:pPr>
      <w:r>
        <w:t xml:space="preserve">          Trgovački sud u Splitu, po sudcu Jozi Ćaleti, u stečajnom postupku nad stečajnim Dužnikom: ECKER CHARTER, d.o.o., Trogir (Grad Trogir), Put </w:t>
      </w:r>
      <w:proofErr w:type="spellStart"/>
      <w:r>
        <w:t>Čumbrijana</w:t>
      </w:r>
      <w:proofErr w:type="spellEnd"/>
      <w:r>
        <w:t xml:space="preserve"> </w:t>
      </w:r>
      <w:proofErr w:type="spellStart"/>
      <w:r>
        <w:t>bb</w:t>
      </w:r>
      <w:proofErr w:type="spellEnd"/>
      <w:r>
        <w:t>, OIB: 50444983883. (dalje: Dužnik, stečajni Dužnik),</w:t>
      </w:r>
      <w:r>
        <w:rPr>
          <w:lang w:val="fr-FR"/>
        </w:rPr>
        <w:t xml:space="preserve"> kojeg zastupa stečajni upravitelj </w:t>
      </w:r>
      <w:r>
        <w:rPr>
          <w:lang w:eastAsia="en-US"/>
        </w:rPr>
        <w:t xml:space="preserve">Draško </w:t>
      </w:r>
      <w:proofErr w:type="spellStart"/>
      <w:r>
        <w:rPr>
          <w:lang w:eastAsia="en-US"/>
        </w:rPr>
        <w:t>Lambaša</w:t>
      </w:r>
      <w:proofErr w:type="spellEnd"/>
      <w:r>
        <w:rPr>
          <w:lang w:eastAsia="en-US"/>
        </w:rPr>
        <w:t>, Šibenik, Drniških žrtava 10, OIB: 48593997552</w:t>
      </w:r>
      <w:r>
        <w:t xml:space="preserve">, </w:t>
      </w:r>
      <w:proofErr w:type="spellStart"/>
      <w:r>
        <w:rPr>
          <w:lang w:val="en-AU"/>
        </w:rPr>
        <w:t>odlučujući</w:t>
      </w:r>
      <w:proofErr w:type="spellEnd"/>
      <w:r>
        <w:rPr>
          <w:lang w:val="en-AU"/>
        </w:rPr>
        <w:t xml:space="preserve"> o </w:t>
      </w:r>
      <w:proofErr w:type="spellStart"/>
      <w:r>
        <w:rPr>
          <w:lang w:val="en-AU"/>
        </w:rPr>
        <w:t>ispravku</w:t>
      </w:r>
      <w:proofErr w:type="spellEnd"/>
      <w:r>
        <w:rPr>
          <w:lang w:val="en-AU"/>
        </w:rPr>
        <w:t xml:space="preserve"> </w:t>
      </w:r>
      <w:proofErr w:type="spellStart"/>
      <w:r>
        <w:rPr>
          <w:lang w:val="en-AU"/>
        </w:rPr>
        <w:t>tablice</w:t>
      </w:r>
      <w:proofErr w:type="spellEnd"/>
      <w:r>
        <w:rPr>
          <w:lang w:val="en-AU"/>
        </w:rPr>
        <w:t xml:space="preserve"> </w:t>
      </w:r>
      <w:proofErr w:type="spellStart"/>
      <w:r>
        <w:rPr>
          <w:lang w:val="en-AU"/>
        </w:rPr>
        <w:t>ispitanih</w:t>
      </w:r>
      <w:proofErr w:type="spellEnd"/>
      <w:r>
        <w:rPr>
          <w:lang w:val="en-AU"/>
        </w:rPr>
        <w:t xml:space="preserve"> </w:t>
      </w:r>
      <w:proofErr w:type="spellStart"/>
      <w:r>
        <w:rPr>
          <w:lang w:val="en-AU"/>
        </w:rPr>
        <w:t>tražbina</w:t>
      </w:r>
      <w:proofErr w:type="spellEnd"/>
      <w:r>
        <w:rPr>
          <w:lang w:val="en-AU"/>
        </w:rPr>
        <w:t xml:space="preserve">, </w:t>
      </w:r>
      <w:proofErr w:type="spellStart"/>
      <w:r>
        <w:rPr>
          <w:lang w:val="en-AU"/>
        </w:rPr>
        <w:t>davanju</w:t>
      </w:r>
      <w:proofErr w:type="spellEnd"/>
      <w:r>
        <w:rPr>
          <w:lang w:val="en-AU"/>
        </w:rPr>
        <w:t xml:space="preserve"> </w:t>
      </w:r>
      <w:proofErr w:type="spellStart"/>
      <w:r>
        <w:rPr>
          <w:lang w:val="en-AU"/>
        </w:rPr>
        <w:t>odobrenja</w:t>
      </w:r>
      <w:proofErr w:type="spellEnd"/>
      <w:r>
        <w:rPr>
          <w:lang w:val="en-AU"/>
        </w:rPr>
        <w:t xml:space="preserve"> </w:t>
      </w:r>
      <w:proofErr w:type="spellStart"/>
      <w:r>
        <w:rPr>
          <w:lang w:val="en-AU"/>
        </w:rPr>
        <w:t>za</w:t>
      </w:r>
      <w:proofErr w:type="spellEnd"/>
      <w:r>
        <w:rPr>
          <w:lang w:val="en-AU"/>
        </w:rPr>
        <w:t xml:space="preserve"> </w:t>
      </w:r>
      <w:proofErr w:type="spellStart"/>
      <w:r>
        <w:rPr>
          <w:lang w:val="en-AU"/>
        </w:rPr>
        <w:t>Završnu</w:t>
      </w:r>
      <w:proofErr w:type="spellEnd"/>
      <w:r>
        <w:rPr>
          <w:lang w:val="en-AU"/>
        </w:rPr>
        <w:t xml:space="preserve"> </w:t>
      </w:r>
      <w:proofErr w:type="spellStart"/>
      <w:r>
        <w:rPr>
          <w:lang w:val="en-AU"/>
        </w:rPr>
        <w:t>diobu</w:t>
      </w:r>
      <w:proofErr w:type="spellEnd"/>
      <w:r>
        <w:rPr>
          <w:lang w:val="en-AU"/>
        </w:rPr>
        <w:t xml:space="preserve"> </w:t>
      </w:r>
      <w:proofErr w:type="spellStart"/>
      <w:r>
        <w:rPr>
          <w:lang w:val="en-AU"/>
        </w:rPr>
        <w:t>itd</w:t>
      </w:r>
      <w:proofErr w:type="spellEnd"/>
      <w:r>
        <w:rPr>
          <w:lang w:val="en-AU"/>
        </w:rPr>
        <w:t xml:space="preserve">., 19. </w:t>
      </w:r>
      <w:proofErr w:type="spellStart"/>
      <w:r>
        <w:rPr>
          <w:lang w:val="en-AU"/>
        </w:rPr>
        <w:t>travnja</w:t>
      </w:r>
      <w:proofErr w:type="spellEnd"/>
      <w:r>
        <w:rPr>
          <w:lang w:val="en-AU"/>
        </w:rPr>
        <w:t xml:space="preserve"> 2019, </w:t>
      </w:r>
      <w:proofErr w:type="spellStart"/>
      <w:r>
        <w:rPr>
          <w:lang w:val="en-AU"/>
        </w:rPr>
        <w:t>izvanraspravno</w:t>
      </w:r>
      <w:proofErr w:type="spellEnd"/>
      <w:r>
        <w:rPr>
          <w:lang w:val="en-AU"/>
        </w:rPr>
        <w:t>,</w:t>
      </w:r>
    </w:p>
    <w:p w:rsidRDefault="002143BE" w:rsidP="002143BE" w:rsidR="002143BE">
      <w:pPr>
        <w:jc w:val="both"/>
        <w:rPr>
          <w:lang w:val="en-US"/>
        </w:rPr>
      </w:pPr>
    </w:p>
    <w:p w:rsidRDefault="002143BE" w:rsidP="002143BE" w:rsidR="002143BE">
      <w:pPr>
        <w:jc w:val="center"/>
        <w:rPr>
          <w:lang w:val="en-US"/>
        </w:rPr>
      </w:pPr>
      <w:r>
        <w:rPr>
          <w:lang w:val="en-US"/>
        </w:rPr>
        <w:t xml:space="preserve">r </w:t>
      </w:r>
      <w:proofErr w:type="spellStart"/>
      <w:r>
        <w:rPr>
          <w:lang w:val="en-US"/>
        </w:rPr>
        <w:t>i</w:t>
      </w:r>
      <w:proofErr w:type="spellEnd"/>
      <w:r>
        <w:rPr>
          <w:lang w:val="en-US"/>
        </w:rPr>
        <w:t xml:space="preserve"> j e š </w:t>
      </w:r>
      <w:proofErr w:type="spellStart"/>
      <w:r>
        <w:rPr>
          <w:lang w:val="en-US"/>
        </w:rPr>
        <w:t>i</w:t>
      </w:r>
      <w:proofErr w:type="spellEnd"/>
      <w:r>
        <w:rPr>
          <w:lang w:val="en-US"/>
        </w:rPr>
        <w:t xml:space="preserve"> o    j e</w:t>
      </w:r>
    </w:p>
    <w:p w:rsidRDefault="002143BE" w:rsidP="002143BE" w:rsidR="002143BE">
      <w:pPr>
        <w:jc w:val="both"/>
        <w:rPr>
          <w:b/>
          <w:bCs/>
          <w:lang w:val="en-US"/>
        </w:rPr>
      </w:pPr>
    </w:p>
    <w:p w:rsidRDefault="002143BE" w:rsidP="002143BE" w:rsidR="002143BE">
      <w:pPr>
        <w:jc w:val="center"/>
        <w:rPr>
          <w:lang w:val="en-US"/>
        </w:rPr>
      </w:pPr>
      <w:r>
        <w:rPr>
          <w:lang w:val="en-US"/>
        </w:rPr>
        <w:t>A/</w:t>
      </w:r>
    </w:p>
    <w:p w:rsidRDefault="002143BE" w:rsidP="002143BE" w:rsidR="002143BE">
      <w:pPr>
        <w:jc w:val="center"/>
        <w:rPr>
          <w:b/>
        </w:rPr>
      </w:pPr>
    </w:p>
    <w:p w:rsidRDefault="002143BE" w:rsidP="002143BE" w:rsidR="002143BE">
      <w:pPr>
        <w:jc w:val="both"/>
        <w:rPr>
          <w:lang w:eastAsia="en-US"/>
        </w:rPr>
      </w:pPr>
      <w:r>
        <w:rPr>
          <w:b/>
          <w:bCs/>
          <w:lang w:eastAsia="en-US"/>
        </w:rPr>
        <w:t xml:space="preserve">           </w:t>
      </w:r>
      <w:proofErr w:type="spellStart"/>
      <w:r>
        <w:rPr>
          <w:lang w:eastAsia="en-US" w:val="en-US"/>
        </w:rPr>
        <w:t>Ispravlja</w:t>
      </w:r>
      <w:proofErr w:type="spellEnd"/>
      <w:r>
        <w:rPr>
          <w:lang w:eastAsia="en-US" w:val="en-US"/>
        </w:rPr>
        <w:t xml:space="preserve"> se </w:t>
      </w:r>
      <w:proofErr w:type="spellStart"/>
      <w:r>
        <w:rPr>
          <w:lang w:eastAsia="en-US" w:val="en-US"/>
        </w:rPr>
        <w:t>Tablica</w:t>
      </w:r>
      <w:proofErr w:type="spellEnd"/>
      <w:r>
        <w:rPr>
          <w:lang w:eastAsia="en-US" w:val="en-US"/>
        </w:rPr>
        <w:t xml:space="preserve"> </w:t>
      </w:r>
      <w:proofErr w:type="spellStart"/>
      <w:r>
        <w:rPr>
          <w:lang w:eastAsia="en-US" w:val="en-US"/>
        </w:rPr>
        <w:t>ispitanih</w:t>
      </w:r>
      <w:proofErr w:type="spellEnd"/>
      <w:r>
        <w:rPr>
          <w:lang w:eastAsia="en-US" w:val="en-US"/>
        </w:rPr>
        <w:t xml:space="preserve"> </w:t>
      </w:r>
      <w:proofErr w:type="spellStart"/>
      <w:r>
        <w:rPr>
          <w:lang w:eastAsia="en-US" w:val="en-US"/>
        </w:rPr>
        <w:t>tražbina</w:t>
      </w:r>
      <w:proofErr w:type="spellEnd"/>
      <w:r>
        <w:rPr>
          <w:lang w:eastAsia="en-US" w:val="en-US"/>
        </w:rPr>
        <w:t xml:space="preserve"> od 30. </w:t>
      </w:r>
      <w:proofErr w:type="spellStart"/>
      <w:r>
        <w:rPr>
          <w:lang w:eastAsia="en-US" w:val="en-US"/>
        </w:rPr>
        <w:t>svibnja</w:t>
      </w:r>
      <w:proofErr w:type="spellEnd"/>
      <w:r>
        <w:rPr>
          <w:lang w:eastAsia="en-US" w:val="en-US"/>
        </w:rPr>
        <w:t xml:space="preserve"> 2018. </w:t>
      </w:r>
      <w:proofErr w:type="spellStart"/>
      <w:r>
        <w:rPr>
          <w:lang w:eastAsia="en-US" w:val="en-US"/>
        </w:rPr>
        <w:t>i</w:t>
      </w:r>
      <w:proofErr w:type="spellEnd"/>
      <w:r>
        <w:rPr>
          <w:lang w:eastAsia="en-US" w:val="en-US"/>
        </w:rPr>
        <w:t xml:space="preserve"> </w:t>
      </w:r>
      <w:proofErr w:type="spellStart"/>
      <w:r>
        <w:rPr>
          <w:lang w:eastAsia="en-US" w:val="en-US"/>
        </w:rPr>
        <w:t>temeljem</w:t>
      </w:r>
      <w:proofErr w:type="spellEnd"/>
      <w:r>
        <w:rPr>
          <w:lang w:eastAsia="en-US" w:val="en-US"/>
        </w:rPr>
        <w:t xml:space="preserve"> </w:t>
      </w:r>
      <w:proofErr w:type="spellStart"/>
      <w:r>
        <w:rPr>
          <w:lang w:eastAsia="en-US" w:val="en-US"/>
        </w:rPr>
        <w:t>koje</w:t>
      </w:r>
      <w:proofErr w:type="spellEnd"/>
      <w:r>
        <w:rPr>
          <w:lang w:eastAsia="en-US" w:val="en-US"/>
        </w:rPr>
        <w:t xml:space="preserve"> je </w:t>
      </w:r>
      <w:proofErr w:type="spellStart"/>
      <w:r>
        <w:rPr>
          <w:lang w:eastAsia="en-US" w:val="en-US"/>
        </w:rPr>
        <w:t>donijeto</w:t>
      </w:r>
      <w:proofErr w:type="spellEnd"/>
      <w:r>
        <w:rPr>
          <w:lang w:eastAsia="en-US" w:val="en-US"/>
        </w:rPr>
        <w:t xml:space="preserve"> </w:t>
      </w:r>
      <w:proofErr w:type="spellStart"/>
      <w:r>
        <w:rPr>
          <w:lang w:eastAsia="en-US" w:val="en-US"/>
        </w:rPr>
        <w:t>Rješenje</w:t>
      </w:r>
      <w:proofErr w:type="spellEnd"/>
      <w:r>
        <w:rPr>
          <w:lang w:eastAsia="en-US" w:val="en-US"/>
        </w:rPr>
        <w:t xml:space="preserve"> od 30. </w:t>
      </w:r>
      <w:proofErr w:type="spellStart"/>
      <w:r>
        <w:rPr>
          <w:lang w:eastAsia="en-US" w:val="en-US"/>
        </w:rPr>
        <w:t>svibnja</w:t>
      </w:r>
      <w:proofErr w:type="spellEnd"/>
      <w:r>
        <w:rPr>
          <w:lang w:eastAsia="en-US" w:val="en-US"/>
        </w:rPr>
        <w:t xml:space="preserve"> 2018. o </w:t>
      </w:r>
      <w:proofErr w:type="spellStart"/>
      <w:r>
        <w:rPr>
          <w:lang w:eastAsia="en-US" w:val="en-US"/>
        </w:rPr>
        <w:t>utvrđenim-priznatim</w:t>
      </w:r>
      <w:proofErr w:type="spellEnd"/>
      <w:r>
        <w:rPr>
          <w:lang w:eastAsia="en-US" w:val="en-US"/>
        </w:rPr>
        <w:t xml:space="preserve"> </w:t>
      </w:r>
      <w:proofErr w:type="spellStart"/>
      <w:r>
        <w:rPr>
          <w:lang w:eastAsia="en-US" w:val="en-US"/>
        </w:rPr>
        <w:t>tražbinama</w:t>
      </w:r>
      <w:proofErr w:type="spellEnd"/>
      <w:r>
        <w:rPr>
          <w:lang w:eastAsia="en-US" w:val="en-US"/>
        </w:rPr>
        <w:t xml:space="preserve"> </w:t>
      </w:r>
      <w:proofErr w:type="spellStart"/>
      <w:r>
        <w:rPr>
          <w:lang w:eastAsia="en-US" w:val="en-US"/>
        </w:rPr>
        <w:t>stečajnih</w:t>
      </w:r>
      <w:proofErr w:type="spellEnd"/>
      <w:r>
        <w:rPr>
          <w:lang w:eastAsia="en-US" w:val="en-US"/>
        </w:rPr>
        <w:t xml:space="preserve"> </w:t>
      </w:r>
      <w:proofErr w:type="spellStart"/>
      <w:r>
        <w:rPr>
          <w:lang w:eastAsia="en-US" w:val="en-US"/>
        </w:rPr>
        <w:t>vjerovnika</w:t>
      </w:r>
      <w:proofErr w:type="spellEnd"/>
      <w:r>
        <w:rPr>
          <w:lang w:eastAsia="en-US" w:val="en-US"/>
        </w:rPr>
        <w:t xml:space="preserve">, </w:t>
      </w:r>
      <w:proofErr w:type="spellStart"/>
      <w:r>
        <w:rPr>
          <w:lang w:eastAsia="en-US" w:val="en-US"/>
        </w:rPr>
        <w:t>sve</w:t>
      </w:r>
      <w:proofErr w:type="spellEnd"/>
      <w:r>
        <w:rPr>
          <w:lang w:eastAsia="en-US" w:val="en-US"/>
        </w:rPr>
        <w:t xml:space="preserve"> </w:t>
      </w:r>
      <w:proofErr w:type="spellStart"/>
      <w:r>
        <w:rPr>
          <w:lang w:eastAsia="en-US" w:val="en-US"/>
        </w:rPr>
        <w:t>broj</w:t>
      </w:r>
      <w:proofErr w:type="spellEnd"/>
      <w:r>
        <w:rPr>
          <w:lang w:eastAsia="en-US" w:val="en-US"/>
        </w:rPr>
        <w:t xml:space="preserve"> </w:t>
      </w:r>
      <w:proofErr w:type="spellStart"/>
      <w:r>
        <w:rPr>
          <w:lang w:eastAsia="en-US" w:val="en-US"/>
        </w:rPr>
        <w:t>gornji</w:t>
      </w:r>
      <w:proofErr w:type="spellEnd"/>
      <w:r>
        <w:rPr>
          <w:lang w:eastAsia="en-US" w:val="en-US"/>
        </w:rPr>
        <w:t xml:space="preserve">, </w:t>
      </w:r>
      <w:proofErr w:type="spellStart"/>
      <w:r>
        <w:rPr>
          <w:lang w:eastAsia="en-US" w:val="en-US"/>
        </w:rPr>
        <w:t>na</w:t>
      </w:r>
      <w:proofErr w:type="spellEnd"/>
      <w:r>
        <w:rPr>
          <w:lang w:eastAsia="en-US" w:val="en-US"/>
        </w:rPr>
        <w:t xml:space="preserve"> </w:t>
      </w:r>
      <w:proofErr w:type="spellStart"/>
      <w:r>
        <w:rPr>
          <w:lang w:eastAsia="en-US" w:val="en-US"/>
        </w:rPr>
        <w:t>način</w:t>
      </w:r>
      <w:proofErr w:type="spellEnd"/>
      <w:r>
        <w:rPr>
          <w:lang w:eastAsia="en-US" w:val="en-US"/>
        </w:rPr>
        <w:t xml:space="preserve"> </w:t>
      </w:r>
      <w:proofErr w:type="spellStart"/>
      <w:r>
        <w:rPr>
          <w:lang w:eastAsia="en-US" w:val="en-US"/>
        </w:rPr>
        <w:t>što</w:t>
      </w:r>
      <w:proofErr w:type="spellEnd"/>
      <w:r>
        <w:rPr>
          <w:lang w:eastAsia="en-US" w:val="en-US"/>
        </w:rPr>
        <w:t xml:space="preserve"> se u </w:t>
      </w:r>
      <w:proofErr w:type="spellStart"/>
      <w:r>
        <w:rPr>
          <w:lang w:eastAsia="en-US" w:val="en-US"/>
        </w:rPr>
        <w:t>prvome</w:t>
      </w:r>
      <w:proofErr w:type="spellEnd"/>
      <w:r>
        <w:rPr>
          <w:lang w:eastAsia="en-US" w:val="en-US"/>
        </w:rPr>
        <w:t xml:space="preserve"> </w:t>
      </w:r>
      <w:proofErr w:type="spellStart"/>
      <w:r>
        <w:rPr>
          <w:lang w:eastAsia="en-US" w:val="en-US"/>
        </w:rPr>
        <w:t>višome</w:t>
      </w:r>
      <w:proofErr w:type="spellEnd"/>
      <w:r>
        <w:rPr>
          <w:lang w:eastAsia="en-US" w:val="en-US"/>
        </w:rPr>
        <w:t xml:space="preserve"> </w:t>
      </w:r>
      <w:proofErr w:type="spellStart"/>
      <w:r>
        <w:rPr>
          <w:lang w:eastAsia="en-US" w:val="en-US"/>
        </w:rPr>
        <w:t>isplatnom</w:t>
      </w:r>
      <w:proofErr w:type="spellEnd"/>
      <w:r>
        <w:rPr>
          <w:lang w:eastAsia="en-US" w:val="en-US"/>
        </w:rPr>
        <w:t xml:space="preserve"> </w:t>
      </w:r>
      <w:proofErr w:type="spellStart"/>
      <w:r>
        <w:rPr>
          <w:lang w:eastAsia="en-US" w:val="en-US"/>
        </w:rPr>
        <w:t>redu</w:t>
      </w:r>
      <w:proofErr w:type="spellEnd"/>
      <w:r>
        <w:rPr>
          <w:lang w:eastAsia="en-US" w:val="en-US"/>
        </w:rPr>
        <w:t xml:space="preserve">, </w:t>
      </w:r>
      <w:proofErr w:type="spellStart"/>
      <w:r>
        <w:rPr>
          <w:lang w:eastAsia="en-US" w:val="en-US"/>
        </w:rPr>
        <w:t>utvrđuje</w:t>
      </w:r>
      <w:proofErr w:type="spellEnd"/>
      <w:r>
        <w:rPr>
          <w:lang w:eastAsia="en-US" w:val="en-US"/>
        </w:rPr>
        <w:t xml:space="preserve"> </w:t>
      </w:r>
      <w:proofErr w:type="spellStart"/>
      <w:r>
        <w:rPr>
          <w:lang w:eastAsia="en-US" w:val="en-US"/>
        </w:rPr>
        <w:t>utvrđenom</w:t>
      </w:r>
      <w:proofErr w:type="spellEnd"/>
      <w:r>
        <w:rPr>
          <w:lang w:eastAsia="en-US" w:val="en-US"/>
        </w:rPr>
        <w:t xml:space="preserve"> </w:t>
      </w:r>
      <w:proofErr w:type="spellStart"/>
      <w:r>
        <w:rPr>
          <w:lang w:eastAsia="en-US" w:val="en-US"/>
        </w:rPr>
        <w:t>i</w:t>
      </w:r>
      <w:proofErr w:type="spellEnd"/>
      <w:r>
        <w:rPr>
          <w:lang w:eastAsia="en-US" w:val="en-US"/>
        </w:rPr>
        <w:t xml:space="preserve"> </w:t>
      </w:r>
      <w:proofErr w:type="spellStart"/>
      <w:r>
        <w:rPr>
          <w:lang w:eastAsia="en-US" w:val="en-US"/>
        </w:rPr>
        <w:t>tražbina</w:t>
      </w:r>
      <w:proofErr w:type="spellEnd"/>
      <w:r>
        <w:rPr>
          <w:lang w:eastAsia="en-US" w:val="en-US"/>
        </w:rPr>
        <w:t xml:space="preserve"> </w:t>
      </w:r>
      <w:r>
        <w:rPr>
          <w:lang w:eastAsia="en-US"/>
        </w:rPr>
        <w:t>Agencije za osiguranje radničkih tražbina,</w:t>
      </w:r>
      <w:r>
        <w:t xml:space="preserve"> OIB: 04323472109,</w:t>
      </w:r>
      <w:r>
        <w:rPr>
          <w:lang w:eastAsia="en-US"/>
        </w:rPr>
        <w:t xml:space="preserve"> iz Zagreba, </w:t>
      </w:r>
      <w:proofErr w:type="spellStart"/>
      <w:r>
        <w:rPr>
          <w:lang w:eastAsia="en-US"/>
        </w:rPr>
        <w:t>Frankopanska</w:t>
      </w:r>
      <w:proofErr w:type="spellEnd"/>
      <w:r>
        <w:rPr>
          <w:lang w:eastAsia="en-US"/>
        </w:rPr>
        <w:t xml:space="preserve"> 11. (Agencija), u ukupnom iznosu od:  17.010,87 kuna a ujedno se za isti ovaj iznos od: 17.010,87 kuna umanjuje utvrđena tražbina bivšeg radnika stečajnog Dužnika: Aleja Kovačevića, iz Zadra, OIB: 82023634930. kojem je ovaj iznos isplaćen od Agencije pa sada utvrđena tražbina istoga bivšega radnika Dužnika Aleja Kovačevića iznosi: 219.049,87 kuna, sve to sukladno podnesku Agencije, KLASA: UP/I-110-02/18-01/1393, URBROJ: 0479-2/14-18/0006, od 22. kolovoza 2018. i sve to temeljem Zakona o osiguranju radničkih tražbina („Narodne novine“, br.: 70/2017, dalje: ZORT).</w:t>
      </w:r>
    </w:p>
    <w:p w:rsidRDefault="002143BE" w:rsidP="002143BE" w:rsidR="002143BE">
      <w:pPr>
        <w:jc w:val="both"/>
        <w:rPr>
          <w:lang w:eastAsia="en-US"/>
        </w:rPr>
      </w:pPr>
    </w:p>
    <w:p w:rsidRDefault="002143BE" w:rsidP="002143BE" w:rsidR="002143BE">
      <w:pPr>
        <w:jc w:val="center"/>
        <w:rPr>
          <w:lang w:val="en-US"/>
        </w:rPr>
      </w:pPr>
      <w:r>
        <w:rPr>
          <w:lang w:val="en-US"/>
        </w:rPr>
        <w:t>B/</w:t>
      </w:r>
    </w:p>
    <w:p w:rsidRDefault="002143BE" w:rsidP="002143BE" w:rsidR="002143BE">
      <w:pPr>
        <w:jc w:val="both"/>
        <w:rPr>
          <w:bCs/>
          <w:lang w:val="en-US"/>
        </w:rPr>
      </w:pPr>
    </w:p>
    <w:p w:rsidRDefault="002143BE" w:rsidP="002143BE" w:rsidR="002143BE">
      <w:pPr>
        <w:jc w:val="both"/>
      </w:pPr>
      <w:r>
        <w:rPr>
          <w:b/>
          <w:bCs/>
          <w:lang w:val="en-US"/>
        </w:rPr>
        <w:t xml:space="preserve">          </w:t>
      </w:r>
      <w:r>
        <w:rPr>
          <w:bCs/>
          <w:lang w:val="en-US"/>
        </w:rPr>
        <w:t>I.</w:t>
      </w:r>
      <w:r>
        <w:rPr>
          <w:lang w:val="en-US"/>
        </w:rPr>
        <w:t xml:space="preserve"> </w:t>
      </w:r>
      <w:r>
        <w:rPr>
          <w:lang w:eastAsia="en-US"/>
        </w:rPr>
        <w:t xml:space="preserve">Drašku </w:t>
      </w:r>
      <w:proofErr w:type="spellStart"/>
      <w:r>
        <w:rPr>
          <w:lang w:eastAsia="en-US"/>
        </w:rPr>
        <w:t>Lambaši</w:t>
      </w:r>
      <w:proofErr w:type="spellEnd"/>
      <w:r>
        <w:rPr>
          <w:lang w:eastAsia="en-US"/>
        </w:rPr>
        <w:t>, OIB: 48593997552</w:t>
      </w:r>
      <w:r>
        <w:t>,</w:t>
      </w:r>
      <w:r>
        <w:rPr>
          <w:lang w:eastAsia="en-US"/>
        </w:rPr>
        <w:t xml:space="preserve"> Šibenik, Drniških žrtava 10, </w:t>
      </w:r>
      <w:proofErr w:type="spellStart"/>
      <w:r>
        <w:rPr>
          <w:lang w:val="en-US"/>
        </w:rPr>
        <w:t>stečajnom</w:t>
      </w:r>
      <w:proofErr w:type="spellEnd"/>
      <w:r>
        <w:rPr>
          <w:lang w:val="en-US"/>
        </w:rPr>
        <w:t xml:space="preserve"> </w:t>
      </w:r>
      <w:proofErr w:type="spellStart"/>
      <w:r>
        <w:rPr>
          <w:lang w:val="en-US"/>
        </w:rPr>
        <w:t>upravitelju</w:t>
      </w:r>
      <w:proofErr w:type="spellEnd"/>
      <w:r>
        <w:rPr>
          <w:lang w:val="en-US"/>
        </w:rPr>
        <w:t xml:space="preserve"> </w:t>
      </w:r>
      <w:proofErr w:type="spellStart"/>
      <w:r>
        <w:rPr>
          <w:lang w:val="en-US"/>
        </w:rPr>
        <w:t>uvodno</w:t>
      </w:r>
      <w:proofErr w:type="spellEnd"/>
      <w:r>
        <w:rPr>
          <w:lang w:val="en-US"/>
        </w:rPr>
        <w:t xml:space="preserve"> </w:t>
      </w:r>
      <w:proofErr w:type="spellStart"/>
      <w:r>
        <w:rPr>
          <w:lang w:val="en-US"/>
        </w:rPr>
        <w:t>navedenoga</w:t>
      </w:r>
      <w:proofErr w:type="spellEnd"/>
      <w:r>
        <w:rPr>
          <w:lang w:val="en-US"/>
        </w:rPr>
        <w:t xml:space="preserve"> </w:t>
      </w:r>
      <w:proofErr w:type="spellStart"/>
      <w:r>
        <w:rPr>
          <w:lang w:val="en-US"/>
        </w:rPr>
        <w:t>stečajnog</w:t>
      </w:r>
      <w:proofErr w:type="spellEnd"/>
      <w:r>
        <w:rPr>
          <w:lang w:val="en-US"/>
        </w:rPr>
        <w:t xml:space="preserve"> </w:t>
      </w:r>
      <w:r>
        <w:t xml:space="preserve">Dužnika, daje se suglasnost za obavljanje prve i ujedno </w:t>
      </w:r>
      <w:r>
        <w:rPr>
          <w:b/>
        </w:rPr>
        <w:t>Završne diobe</w:t>
      </w:r>
      <w:r>
        <w:t xml:space="preserve"> unovčene stečajne mase vjerovnicima, kojom će se diobom namiriti utvrđene tražbine stečajnih vjerovnika prvoga višega isplatnog reda (članak 138, stavak 1, Stečajnog zakona,</w:t>
      </w:r>
      <w:r>
        <w:rPr>
          <w:i/>
        </w:rPr>
        <w:t xml:space="preserve"> </w:t>
      </w:r>
      <w:r>
        <w:t xml:space="preserve">„Narodne novine, broj: 71/15. i 104/17, dalje: SZ) u visini od </w:t>
      </w:r>
      <w:r>
        <w:rPr>
          <w:b/>
        </w:rPr>
        <w:t>100% (sto posto)</w:t>
      </w:r>
      <w:r>
        <w:t xml:space="preserve"> utvrđenih iznosa tražbina u ovome stečajnom postupku, koje su tražbine utvrđene Rješenjem ovog Suda od 30. svibnja 2018. i potom ispravljene točkom A. ovog Rješenja pa će se isplata izvršiti sukladno Diobnom popisu kako slijedi, tj., ovako:</w:t>
      </w:r>
    </w:p>
    <w:p w:rsidRDefault="002143BE" w:rsidP="002143BE" w:rsidR="002143BE">
      <w:pPr>
        <w:jc w:val="both"/>
      </w:pPr>
    </w:p>
    <w:p w:rsidRDefault="002143BE" w:rsidP="002143BE" w:rsidR="002143BE">
      <w:r>
        <w:lastRenderedPageBreak/>
        <w:t xml:space="preserve">                                                                  - 2 -                     Poslovni broj:</w:t>
      </w:r>
      <w:r>
        <w:rPr>
          <w:bCs/>
        </w:rPr>
        <w:t xml:space="preserve"> </w:t>
      </w:r>
      <w:r>
        <w:t>14. St-1505/2016.</w:t>
      </w:r>
    </w:p>
    <w:p w:rsidRDefault="002143BE" w:rsidP="002143BE" w:rsidR="002143BE">
      <w:pPr>
        <w:jc w:val="both"/>
      </w:pPr>
    </w:p>
    <w:p w:rsidRDefault="002143BE" w:rsidP="002143BE" w:rsidR="002143BE">
      <w:pPr>
        <w:jc w:val="both"/>
      </w:pPr>
    </w:p>
    <w:p w:rsidRDefault="002143BE" w:rsidP="002143BE" w:rsidR="002143BE">
      <w:pPr>
        <w:jc w:val="both"/>
        <w:rPr>
          <w:b/>
        </w:rPr>
      </w:pPr>
      <w:r>
        <w:t>1.</w:t>
      </w:r>
      <w:r>
        <w:rPr>
          <w:b/>
        </w:rPr>
        <w:t xml:space="preserve">  </w:t>
      </w:r>
      <w:proofErr w:type="spellStart"/>
      <w:r>
        <w:t>Alej</w:t>
      </w:r>
      <w:proofErr w:type="spellEnd"/>
      <w:r>
        <w:t xml:space="preserve"> Kovačević, Zadar, OIB: 82023634930, u iznosu od: </w:t>
      </w:r>
      <w:r>
        <w:rPr>
          <w:lang w:eastAsia="en-US"/>
        </w:rPr>
        <w:t>219.049,87 kuna</w:t>
      </w:r>
      <w:r>
        <w:t>,</w:t>
      </w:r>
    </w:p>
    <w:p w:rsidRDefault="002143BE" w:rsidP="002143BE" w:rsidR="002143BE">
      <w:pPr>
        <w:jc w:val="both"/>
      </w:pPr>
      <w:r>
        <w:t xml:space="preserve">2.  RH – Ministarstvo financija, OIB: 18683136487, u iznosu od: 141.246,58 kuna </w:t>
      </w:r>
    </w:p>
    <w:p w:rsidRDefault="002143BE" w:rsidP="002143BE" w:rsidR="002143BE">
      <w:pPr>
        <w:jc w:val="both"/>
        <w:rPr>
          <w:lang w:eastAsia="en-US"/>
        </w:rPr>
      </w:pPr>
      <w:r>
        <w:t xml:space="preserve">3.  </w:t>
      </w:r>
      <w:r>
        <w:rPr>
          <w:lang w:eastAsia="en-US"/>
        </w:rPr>
        <w:t>Agencija za osiguranje radničkih tražbina,</w:t>
      </w:r>
      <w:r>
        <w:t xml:space="preserve"> OIB: 04323472109,</w:t>
      </w:r>
      <w:r>
        <w:rPr>
          <w:lang w:eastAsia="en-US"/>
        </w:rPr>
        <w:t xml:space="preserve"> iz Zagreba, </w:t>
      </w:r>
    </w:p>
    <w:p w:rsidRDefault="002143BE" w:rsidP="002143BE" w:rsidR="002143BE">
      <w:pPr>
        <w:jc w:val="both"/>
      </w:pPr>
      <w:r>
        <w:rPr>
          <w:lang w:eastAsia="en-US"/>
        </w:rPr>
        <w:t xml:space="preserve">      </w:t>
      </w:r>
      <w:proofErr w:type="spellStart"/>
      <w:r>
        <w:rPr>
          <w:lang w:eastAsia="en-US"/>
        </w:rPr>
        <w:t>Frankopanska</w:t>
      </w:r>
      <w:proofErr w:type="spellEnd"/>
      <w:r>
        <w:rPr>
          <w:lang w:eastAsia="en-US"/>
        </w:rPr>
        <w:t xml:space="preserve"> 11</w:t>
      </w:r>
      <w:r>
        <w:t xml:space="preserve">, u iznosu od: </w:t>
      </w:r>
      <w:r>
        <w:rPr>
          <w:lang w:eastAsia="en-US"/>
        </w:rPr>
        <w:t>17.010,87 kuna.</w:t>
      </w:r>
      <w:r>
        <w:t xml:space="preserve"> </w:t>
      </w:r>
    </w:p>
    <w:p w:rsidRDefault="002143BE" w:rsidP="002143BE" w:rsidR="002143BE">
      <w:pPr>
        <w:jc w:val="both"/>
      </w:pPr>
    </w:p>
    <w:p w:rsidRDefault="002143BE" w:rsidP="002143BE" w:rsidR="002143BE">
      <w:pPr>
        <w:tabs>
          <w:tab w:pos="142" w:val="left"/>
        </w:tabs>
        <w:jc w:val="both"/>
      </w:pPr>
      <w:r>
        <w:rPr>
          <w:b/>
          <w:bCs/>
          <w:lang w:val="en-US"/>
        </w:rPr>
        <w:t xml:space="preserve">          </w:t>
      </w:r>
      <w:r>
        <w:rPr>
          <w:bCs/>
          <w:lang w:val="en-US"/>
        </w:rPr>
        <w:t>II.</w:t>
      </w:r>
      <w:r>
        <w:rPr>
          <w:lang w:val="en-US"/>
        </w:rPr>
        <w:t xml:space="preserve"> </w:t>
      </w:r>
      <w:r>
        <w:t>Isplata po ovom Rješenju, izvršit će se nakon njegove pravomoćnosti i nakon isteka rokova iz članka 280, SZ i sukladno istoj zakonskoj odredbi.</w:t>
      </w:r>
    </w:p>
    <w:p w:rsidRDefault="002143BE" w:rsidP="002143BE" w:rsidR="002143BE">
      <w:pPr>
        <w:tabs>
          <w:tab w:pos="142" w:val="left"/>
        </w:tabs>
        <w:jc w:val="both"/>
      </w:pPr>
      <w:r>
        <w:rPr>
          <w:b/>
          <w:bCs/>
          <w:lang w:val="en-US"/>
        </w:rPr>
        <w:t xml:space="preserve">          </w:t>
      </w:r>
      <w:r>
        <w:rPr>
          <w:bCs/>
          <w:lang w:val="en-US"/>
        </w:rPr>
        <w:t>III.</w:t>
      </w:r>
      <w:r>
        <w:rPr>
          <w:lang w:val="en-US"/>
        </w:rPr>
        <w:t xml:space="preserve"> </w:t>
      </w:r>
      <w:r>
        <w:t>Ovo će se Rješenje današnjim danom objaviti na mrežnoj stranici e-Oglasna ploča sudova.</w:t>
      </w:r>
    </w:p>
    <w:p w:rsidRDefault="002143BE" w:rsidP="002143BE" w:rsidR="002143BE">
      <w:pPr>
        <w:tabs>
          <w:tab w:pos="142" w:val="left"/>
        </w:tabs>
        <w:jc w:val="both"/>
      </w:pPr>
      <w:r>
        <w:rPr>
          <w:b/>
          <w:bCs/>
          <w:lang w:val="en-US"/>
        </w:rPr>
        <w:t xml:space="preserve">          </w:t>
      </w:r>
      <w:r>
        <w:rPr>
          <w:bCs/>
          <w:lang w:val="en-US"/>
        </w:rPr>
        <w:t>IV.</w:t>
      </w:r>
      <w:r>
        <w:rPr>
          <w:lang w:val="en-US"/>
        </w:rPr>
        <w:t xml:space="preserve"> </w:t>
      </w:r>
      <w:r>
        <w:t xml:space="preserve">Vjerovnici mogu podnijeti prigovor na Diobni popis iz točke I. i to najkasnije na Završnom ročištu vjerovnika (članak 283, stavak 1, točka 2, SZ). </w:t>
      </w:r>
    </w:p>
    <w:p w:rsidRDefault="002143BE" w:rsidP="002143BE" w:rsidR="002143BE">
      <w:pPr>
        <w:jc w:val="both"/>
      </w:pPr>
    </w:p>
    <w:p w:rsidRDefault="002143BE" w:rsidP="002143BE" w:rsidR="002143BE">
      <w:pPr>
        <w:jc w:val="center"/>
        <w:rPr>
          <w:szCs w:val="20"/>
        </w:rPr>
      </w:pPr>
      <w:r>
        <w:t xml:space="preserve">z a k </w:t>
      </w:r>
      <w:proofErr w:type="spellStart"/>
      <w:r>
        <w:t>lj</w:t>
      </w:r>
      <w:proofErr w:type="spellEnd"/>
      <w:r>
        <w:t xml:space="preserve"> u č i o    j e                                               </w:t>
      </w:r>
    </w:p>
    <w:p w:rsidRDefault="002143BE" w:rsidP="002143BE" w:rsidR="002143BE">
      <w:pPr>
        <w:jc w:val="both"/>
        <w:rPr>
          <w:b/>
        </w:rPr>
      </w:pPr>
    </w:p>
    <w:p w:rsidRDefault="002143BE" w:rsidP="002143BE" w:rsidR="002143BE">
      <w:pPr>
        <w:jc w:val="both"/>
      </w:pPr>
      <w:r>
        <w:t xml:space="preserve">I.  U stečajnom postupku nad stečajnim Dužnikom: ECKER CHARTER, d.o.o., Trogir (Grad Trogir), Put </w:t>
      </w:r>
      <w:proofErr w:type="spellStart"/>
      <w:r>
        <w:t>Čumbrijana</w:t>
      </w:r>
      <w:proofErr w:type="spellEnd"/>
      <w:r>
        <w:t xml:space="preserve"> </w:t>
      </w:r>
      <w:proofErr w:type="spellStart"/>
      <w:r>
        <w:t>bb</w:t>
      </w:r>
      <w:proofErr w:type="spellEnd"/>
      <w:r>
        <w:t xml:space="preserve">, OIB: 50444983883, određuje se Završno ročište vjerovnika i to za </w:t>
      </w:r>
      <w:r>
        <w:rPr>
          <w:u w:val="single"/>
        </w:rPr>
        <w:t xml:space="preserve">PONEDJELJAK – 13. svibnja 2019, početkom u 09:00 sati, u Trgovačkom sudu u Splitu, </w:t>
      </w:r>
      <w:proofErr w:type="spellStart"/>
      <w:r>
        <w:rPr>
          <w:u w:val="single"/>
        </w:rPr>
        <w:t>Sukoišanska</w:t>
      </w:r>
      <w:proofErr w:type="spellEnd"/>
      <w:r>
        <w:rPr>
          <w:u w:val="single"/>
        </w:rPr>
        <w:t xml:space="preserve"> broj: 6, Split, sudnica broj: 5, u sobi broj 121/I. kat,</w:t>
      </w:r>
      <w:r>
        <w:t xml:space="preserve"> sa sljedećim</w:t>
      </w:r>
    </w:p>
    <w:p w:rsidRDefault="002143BE" w:rsidP="002143BE" w:rsidR="002143BE">
      <w:pPr>
        <w:jc w:val="both"/>
        <w:rPr>
          <w:b/>
        </w:rPr>
      </w:pPr>
    </w:p>
    <w:p w:rsidRDefault="002143BE" w:rsidP="002143BE" w:rsidR="002143BE">
      <w:pPr>
        <w:jc w:val="both"/>
        <w:rPr>
          <w:b/>
        </w:rPr>
      </w:pPr>
    </w:p>
    <w:p w:rsidRDefault="002143BE" w:rsidP="002143BE" w:rsidR="002143BE">
      <w:pPr>
        <w:jc w:val="center"/>
      </w:pPr>
      <w:r>
        <w:t>Dnevnim redom</w:t>
      </w:r>
    </w:p>
    <w:p w:rsidRDefault="002143BE" w:rsidP="002143BE" w:rsidR="002143BE">
      <w:pPr>
        <w:jc w:val="both"/>
      </w:pPr>
    </w:p>
    <w:p w:rsidRDefault="002143BE" w:rsidP="002143BE" w:rsidR="002143BE">
      <w:pPr>
        <w:jc w:val="both"/>
      </w:pPr>
      <w:r>
        <w:t xml:space="preserve">          1. Završno Izvješće Stečajnog upravitelja o tijeku stečajnog postupka, unovčenoj stečajnoj masi, Završnoj diobi i Završnom računu i drugim pitanjima vezanim za ovaj stečajni postupak. Sve navedeno je objavljeno na mrežnoj stranici e-Oglasna ploča sudova;</w:t>
      </w:r>
    </w:p>
    <w:p w:rsidRDefault="002143BE" w:rsidP="002143BE" w:rsidR="002143BE">
      <w:pPr>
        <w:jc w:val="both"/>
      </w:pPr>
      <w:r>
        <w:t xml:space="preserve">          2. Raspravljanje o Završnom računu Stečajnog upravitelja;</w:t>
      </w:r>
    </w:p>
    <w:p w:rsidRDefault="002143BE" w:rsidP="002143BE" w:rsidR="002143BE">
      <w:pPr>
        <w:jc w:val="both"/>
        <w:rPr>
          <w:lang w:val="fr-FR"/>
        </w:rPr>
      </w:pPr>
      <w:r>
        <w:t xml:space="preserve">          </w:t>
      </w:r>
      <w:r>
        <w:rPr>
          <w:lang w:val="fr-FR"/>
        </w:rPr>
        <w:t>3.  Podnošenje prigovora na Završni diobeni popis i odlučivanje o tim prigovorima;</w:t>
      </w:r>
    </w:p>
    <w:p w:rsidRDefault="002143BE" w:rsidP="002143BE" w:rsidR="002143BE">
      <w:pPr>
        <w:jc w:val="both"/>
        <w:rPr>
          <w:lang w:val="fr-FR"/>
        </w:rPr>
      </w:pPr>
      <w:r>
        <w:rPr>
          <w:lang w:val="fr-FR"/>
        </w:rPr>
        <w:t xml:space="preserve">          4.  Odlučivanje o ostalim pitanjima ovoga stečajnog postupka.</w:t>
      </w:r>
    </w:p>
    <w:p w:rsidRDefault="002143BE" w:rsidP="002143BE" w:rsidR="002143BE">
      <w:pPr>
        <w:jc w:val="both"/>
        <w:rPr>
          <w:b/>
          <w:bCs/>
          <w:lang w:val="fr-FR"/>
        </w:rPr>
      </w:pPr>
    </w:p>
    <w:p w:rsidRDefault="002143BE" w:rsidP="002143BE" w:rsidR="002143BE">
      <w:pPr>
        <w:jc w:val="both"/>
        <w:rPr>
          <w:lang w:val="fr-FR"/>
        </w:rPr>
      </w:pPr>
      <w:r>
        <w:rPr>
          <w:bCs/>
          <w:lang w:val="fr-FR"/>
        </w:rPr>
        <w:t>II.</w:t>
      </w:r>
      <w:r>
        <w:rPr>
          <w:lang w:val="fr-FR"/>
        </w:rPr>
        <w:t xml:space="preserve">  Na Završno ročište vjerovnika pozivaju se svi vjerovnici stečajnog Dužnika. </w:t>
      </w:r>
    </w:p>
    <w:p w:rsidRDefault="002143BE" w:rsidP="002143BE" w:rsidR="002143BE">
      <w:pPr>
        <w:jc w:val="both"/>
        <w:rPr>
          <w:b/>
          <w:bCs/>
          <w:lang w:val="fr-FR"/>
        </w:rPr>
      </w:pPr>
    </w:p>
    <w:p w:rsidRDefault="002143BE" w:rsidP="002143BE" w:rsidR="002143BE">
      <w:pPr>
        <w:jc w:val="both"/>
        <w:rPr>
          <w:lang w:val="fr-FR"/>
        </w:rPr>
      </w:pPr>
      <w:r>
        <w:rPr>
          <w:bCs/>
          <w:lang w:val="fr-FR"/>
        </w:rPr>
        <w:t>III.</w:t>
      </w:r>
      <w:r>
        <w:rPr>
          <w:lang w:val="fr-FR"/>
        </w:rPr>
        <w:t xml:space="preserve"> Ovo će se određivanje Završnog ročišta vjerovnika objaviti </w:t>
      </w:r>
      <w:r>
        <w:t>na mrežnoj stranici e-Oglasna ploča sudova</w:t>
      </w:r>
      <w:r>
        <w:rPr>
          <w:lang w:val="fr-FR"/>
        </w:rPr>
        <w:t xml:space="preserve"> a što svim vjerovnicima služi kao poziv sukladno navedenom.</w:t>
      </w:r>
    </w:p>
    <w:p w:rsidRDefault="002143BE" w:rsidP="002143BE" w:rsidR="002143BE" w:rsidRPr="002143BE">
      <w:pPr>
        <w:pStyle w:val="Naslov1"/>
        <w:jc w:val="center"/>
        <w:rPr>
          <w:b w:val="false"/>
          <w:bCs w:val="false"/>
          <w:sz w:val="24"/>
          <w:szCs w:val="24"/>
        </w:rPr>
      </w:pPr>
      <w:r w:rsidRPr="002143BE">
        <w:rPr>
          <w:b w:val="false"/>
          <w:bCs w:val="false"/>
          <w:sz w:val="24"/>
          <w:szCs w:val="24"/>
        </w:rPr>
        <w:t>Obrazloženje</w:t>
      </w:r>
    </w:p>
    <w:p w:rsidRDefault="002143BE" w:rsidP="002143BE" w:rsidR="002143BE">
      <w:pPr>
        <w:jc w:val="both"/>
      </w:pPr>
    </w:p>
    <w:p w:rsidRDefault="002143BE" w:rsidP="002143BE" w:rsidR="002143BE">
      <w:pPr>
        <w:jc w:val="both"/>
      </w:pPr>
      <w:r>
        <w:t xml:space="preserve">          1.  Rješenjem ovog Suda od 23. veljače 2018, broj: 14. St-1505/2016, otvoren je stečajni postupak nad uvodno navedenim trgovačkim društvom kao stečajnim Dužnikom. </w:t>
      </w:r>
    </w:p>
    <w:p w:rsidRDefault="002143BE" w:rsidP="002143BE" w:rsidR="002143BE">
      <w:pPr>
        <w:jc w:val="both"/>
        <w:rPr>
          <w:szCs w:val="20"/>
          <w:lang w:val="en-AU"/>
        </w:rPr>
      </w:pPr>
      <w:r>
        <w:rPr>
          <w:szCs w:val="20"/>
          <w:lang w:val="en-AU"/>
        </w:rPr>
        <w:t xml:space="preserve">          2.  </w:t>
      </w:r>
      <w:proofErr w:type="spellStart"/>
      <w:r>
        <w:rPr>
          <w:szCs w:val="20"/>
          <w:lang w:val="en-AU"/>
        </w:rPr>
        <w:t>Tražbine</w:t>
      </w:r>
      <w:proofErr w:type="spellEnd"/>
      <w:r>
        <w:rPr>
          <w:szCs w:val="20"/>
          <w:lang w:val="en-AU"/>
        </w:rPr>
        <w:t xml:space="preserve"> </w:t>
      </w:r>
      <w:proofErr w:type="spellStart"/>
      <w:r>
        <w:rPr>
          <w:szCs w:val="20"/>
          <w:lang w:val="en-AU"/>
        </w:rPr>
        <w:t>koje</w:t>
      </w:r>
      <w:proofErr w:type="spellEnd"/>
      <w:r>
        <w:rPr>
          <w:szCs w:val="20"/>
          <w:lang w:val="en-AU"/>
        </w:rPr>
        <w:t xml:space="preserve"> </w:t>
      </w:r>
      <w:proofErr w:type="spellStart"/>
      <w:r>
        <w:rPr>
          <w:szCs w:val="20"/>
          <w:lang w:val="en-AU"/>
        </w:rPr>
        <w:t>su</w:t>
      </w:r>
      <w:proofErr w:type="spellEnd"/>
      <w:r>
        <w:rPr>
          <w:szCs w:val="20"/>
          <w:lang w:val="en-AU"/>
        </w:rPr>
        <w:t xml:space="preserve"> </w:t>
      </w:r>
      <w:proofErr w:type="spellStart"/>
      <w:r>
        <w:rPr>
          <w:szCs w:val="20"/>
          <w:lang w:val="en-AU"/>
        </w:rPr>
        <w:t>vjerovnici</w:t>
      </w:r>
      <w:proofErr w:type="spellEnd"/>
      <w:r>
        <w:rPr>
          <w:szCs w:val="20"/>
          <w:lang w:val="en-AU"/>
        </w:rPr>
        <w:t xml:space="preserve"> </w:t>
      </w:r>
      <w:proofErr w:type="spellStart"/>
      <w:r>
        <w:rPr>
          <w:szCs w:val="20"/>
          <w:lang w:val="en-AU"/>
        </w:rPr>
        <w:t>prijavili</w:t>
      </w:r>
      <w:proofErr w:type="spellEnd"/>
      <w:r>
        <w:rPr>
          <w:szCs w:val="20"/>
          <w:lang w:val="en-AU"/>
        </w:rPr>
        <w:t xml:space="preserve"> u </w:t>
      </w:r>
      <w:proofErr w:type="spellStart"/>
      <w:r>
        <w:rPr>
          <w:szCs w:val="20"/>
          <w:lang w:val="en-AU"/>
        </w:rPr>
        <w:t>stečajni</w:t>
      </w:r>
      <w:proofErr w:type="spellEnd"/>
      <w:r>
        <w:rPr>
          <w:szCs w:val="20"/>
          <w:lang w:val="en-AU"/>
        </w:rPr>
        <w:t xml:space="preserve"> </w:t>
      </w:r>
      <w:proofErr w:type="spellStart"/>
      <w:r>
        <w:rPr>
          <w:szCs w:val="20"/>
          <w:lang w:val="en-AU"/>
        </w:rPr>
        <w:t>postupak</w:t>
      </w:r>
      <w:proofErr w:type="spellEnd"/>
      <w:r>
        <w:rPr>
          <w:szCs w:val="20"/>
          <w:lang w:val="en-AU"/>
        </w:rPr>
        <w:t xml:space="preserve">, </w:t>
      </w:r>
      <w:proofErr w:type="spellStart"/>
      <w:r>
        <w:rPr>
          <w:szCs w:val="20"/>
          <w:lang w:val="en-AU"/>
        </w:rPr>
        <w:t>ispitane</w:t>
      </w:r>
      <w:proofErr w:type="spellEnd"/>
      <w:r>
        <w:rPr>
          <w:szCs w:val="20"/>
          <w:lang w:val="en-AU"/>
        </w:rPr>
        <w:t xml:space="preserve"> </w:t>
      </w:r>
      <w:proofErr w:type="spellStart"/>
      <w:r>
        <w:rPr>
          <w:szCs w:val="20"/>
          <w:lang w:val="en-AU"/>
        </w:rPr>
        <w:t>su</w:t>
      </w:r>
      <w:proofErr w:type="spellEnd"/>
      <w:r>
        <w:rPr>
          <w:szCs w:val="20"/>
          <w:lang w:val="en-AU"/>
        </w:rPr>
        <w:t xml:space="preserve"> </w:t>
      </w:r>
      <w:proofErr w:type="spellStart"/>
      <w:r>
        <w:rPr>
          <w:szCs w:val="20"/>
          <w:lang w:val="en-AU"/>
        </w:rPr>
        <w:t>na</w:t>
      </w:r>
      <w:proofErr w:type="spellEnd"/>
      <w:r>
        <w:rPr>
          <w:szCs w:val="20"/>
          <w:lang w:val="en-AU"/>
        </w:rPr>
        <w:t xml:space="preserve"> </w:t>
      </w:r>
      <w:proofErr w:type="spellStart"/>
      <w:r>
        <w:rPr>
          <w:szCs w:val="20"/>
          <w:lang w:val="en-AU"/>
        </w:rPr>
        <w:t>Ispitnom</w:t>
      </w:r>
      <w:proofErr w:type="spellEnd"/>
      <w:r>
        <w:rPr>
          <w:szCs w:val="20"/>
          <w:lang w:val="en-AU"/>
        </w:rPr>
        <w:t xml:space="preserve"> </w:t>
      </w:r>
      <w:proofErr w:type="spellStart"/>
      <w:r>
        <w:rPr>
          <w:szCs w:val="20"/>
          <w:lang w:val="en-AU"/>
        </w:rPr>
        <w:t>ročištu</w:t>
      </w:r>
      <w:proofErr w:type="spellEnd"/>
      <w:r>
        <w:rPr>
          <w:szCs w:val="20"/>
          <w:lang w:val="en-AU"/>
        </w:rPr>
        <w:t xml:space="preserve"> </w:t>
      </w:r>
      <w:proofErr w:type="spellStart"/>
      <w:r>
        <w:rPr>
          <w:szCs w:val="20"/>
          <w:lang w:val="en-AU"/>
        </w:rPr>
        <w:t>održanom</w:t>
      </w:r>
      <w:proofErr w:type="spellEnd"/>
      <w:r>
        <w:rPr>
          <w:szCs w:val="20"/>
          <w:lang w:val="en-AU"/>
        </w:rPr>
        <w:t xml:space="preserve"> 29. </w:t>
      </w:r>
      <w:proofErr w:type="spellStart"/>
      <w:r>
        <w:rPr>
          <w:szCs w:val="20"/>
          <w:lang w:val="en-AU"/>
        </w:rPr>
        <w:t>svibnja</w:t>
      </w:r>
      <w:proofErr w:type="spellEnd"/>
      <w:r>
        <w:rPr>
          <w:szCs w:val="20"/>
          <w:lang w:val="en-AU"/>
        </w:rPr>
        <w:t xml:space="preserve"> 2018, </w:t>
      </w:r>
      <w:proofErr w:type="spellStart"/>
      <w:r>
        <w:rPr>
          <w:szCs w:val="20"/>
          <w:lang w:val="en-AU"/>
        </w:rPr>
        <w:t>nakon</w:t>
      </w:r>
      <w:proofErr w:type="spellEnd"/>
      <w:r>
        <w:rPr>
          <w:szCs w:val="20"/>
          <w:lang w:val="en-AU"/>
        </w:rPr>
        <w:t xml:space="preserve"> </w:t>
      </w:r>
      <w:proofErr w:type="spellStart"/>
      <w:r>
        <w:rPr>
          <w:szCs w:val="20"/>
          <w:lang w:val="en-AU"/>
        </w:rPr>
        <w:t>čega</w:t>
      </w:r>
      <w:proofErr w:type="spellEnd"/>
      <w:r>
        <w:rPr>
          <w:szCs w:val="20"/>
          <w:lang w:val="en-AU"/>
        </w:rPr>
        <w:t xml:space="preserve"> je o </w:t>
      </w:r>
      <w:proofErr w:type="spellStart"/>
      <w:r>
        <w:rPr>
          <w:szCs w:val="20"/>
          <w:lang w:val="en-AU"/>
        </w:rPr>
        <w:t>tako</w:t>
      </w:r>
      <w:proofErr w:type="spellEnd"/>
      <w:r>
        <w:rPr>
          <w:szCs w:val="20"/>
          <w:lang w:val="en-AU"/>
        </w:rPr>
        <w:t xml:space="preserve"> </w:t>
      </w:r>
      <w:proofErr w:type="spellStart"/>
      <w:r>
        <w:rPr>
          <w:szCs w:val="20"/>
          <w:lang w:val="en-AU"/>
        </w:rPr>
        <w:t>ispitanim</w:t>
      </w:r>
      <w:proofErr w:type="spellEnd"/>
      <w:r>
        <w:rPr>
          <w:szCs w:val="20"/>
          <w:lang w:val="en-AU"/>
        </w:rPr>
        <w:t xml:space="preserve"> </w:t>
      </w:r>
      <w:proofErr w:type="spellStart"/>
      <w:r>
        <w:rPr>
          <w:szCs w:val="20"/>
          <w:lang w:val="en-AU"/>
        </w:rPr>
        <w:t>tražbinama</w:t>
      </w:r>
      <w:proofErr w:type="spellEnd"/>
      <w:r>
        <w:rPr>
          <w:szCs w:val="20"/>
          <w:lang w:val="en-AU"/>
        </w:rPr>
        <w:t xml:space="preserve"> </w:t>
      </w:r>
      <w:proofErr w:type="spellStart"/>
      <w:r>
        <w:rPr>
          <w:szCs w:val="20"/>
          <w:lang w:val="en-AU"/>
        </w:rPr>
        <w:t>Sud</w:t>
      </w:r>
      <w:proofErr w:type="spellEnd"/>
      <w:r>
        <w:rPr>
          <w:szCs w:val="20"/>
          <w:lang w:val="en-AU"/>
        </w:rPr>
        <w:t xml:space="preserve"> </w:t>
      </w:r>
      <w:proofErr w:type="spellStart"/>
      <w:r>
        <w:rPr>
          <w:szCs w:val="20"/>
          <w:lang w:val="en-AU"/>
        </w:rPr>
        <w:t>odlučio</w:t>
      </w:r>
      <w:proofErr w:type="spellEnd"/>
      <w:r>
        <w:rPr>
          <w:szCs w:val="20"/>
          <w:lang w:val="en-AU"/>
        </w:rPr>
        <w:t xml:space="preserve"> </w:t>
      </w:r>
      <w:proofErr w:type="spellStart"/>
      <w:r>
        <w:rPr>
          <w:szCs w:val="20"/>
          <w:lang w:val="en-AU"/>
        </w:rPr>
        <w:t>Rješenjem</w:t>
      </w:r>
      <w:proofErr w:type="spellEnd"/>
      <w:r>
        <w:rPr>
          <w:szCs w:val="20"/>
          <w:lang w:val="en-AU"/>
        </w:rPr>
        <w:t xml:space="preserve"> o </w:t>
      </w:r>
      <w:proofErr w:type="spellStart"/>
      <w:r>
        <w:rPr>
          <w:szCs w:val="20"/>
          <w:lang w:val="en-AU"/>
        </w:rPr>
        <w:t>utvrđenim</w:t>
      </w:r>
      <w:proofErr w:type="spellEnd"/>
      <w:r>
        <w:rPr>
          <w:szCs w:val="20"/>
          <w:lang w:val="en-AU"/>
        </w:rPr>
        <w:t xml:space="preserve"> </w:t>
      </w:r>
      <w:proofErr w:type="spellStart"/>
      <w:r>
        <w:rPr>
          <w:szCs w:val="20"/>
          <w:lang w:val="en-AU"/>
        </w:rPr>
        <w:t>tražbinama</w:t>
      </w:r>
      <w:proofErr w:type="spellEnd"/>
      <w:r>
        <w:rPr>
          <w:szCs w:val="20"/>
          <w:lang w:val="en-AU"/>
        </w:rPr>
        <w:t xml:space="preserve"> od 30. </w:t>
      </w:r>
      <w:proofErr w:type="spellStart"/>
      <w:r>
        <w:rPr>
          <w:szCs w:val="20"/>
          <w:lang w:val="en-AU"/>
        </w:rPr>
        <w:t>svibnja</w:t>
      </w:r>
      <w:proofErr w:type="spellEnd"/>
      <w:r>
        <w:rPr>
          <w:szCs w:val="20"/>
          <w:lang w:val="en-AU"/>
        </w:rPr>
        <w:t xml:space="preserve"> 2018. </w:t>
      </w:r>
      <w:proofErr w:type="spellStart"/>
      <w:r>
        <w:rPr>
          <w:szCs w:val="20"/>
          <w:lang w:val="en-AU"/>
        </w:rPr>
        <w:t>Temeljem</w:t>
      </w:r>
      <w:proofErr w:type="spellEnd"/>
      <w:r>
        <w:rPr>
          <w:szCs w:val="20"/>
          <w:lang w:val="en-AU"/>
        </w:rPr>
        <w:t xml:space="preserve"> </w:t>
      </w:r>
      <w:proofErr w:type="spellStart"/>
      <w:r>
        <w:rPr>
          <w:szCs w:val="20"/>
          <w:lang w:val="en-AU"/>
        </w:rPr>
        <w:t>ovog</w:t>
      </w:r>
      <w:proofErr w:type="spellEnd"/>
      <w:r>
        <w:rPr>
          <w:szCs w:val="20"/>
          <w:lang w:val="en-AU"/>
        </w:rPr>
        <w:t xml:space="preserve"> </w:t>
      </w:r>
      <w:proofErr w:type="spellStart"/>
      <w:r>
        <w:rPr>
          <w:szCs w:val="20"/>
          <w:lang w:val="en-AU"/>
        </w:rPr>
        <w:t>Rješenja</w:t>
      </w:r>
      <w:proofErr w:type="spellEnd"/>
      <w:r>
        <w:rPr>
          <w:szCs w:val="20"/>
          <w:lang w:val="en-AU"/>
        </w:rPr>
        <w:t xml:space="preserve"> o </w:t>
      </w:r>
      <w:proofErr w:type="spellStart"/>
      <w:r>
        <w:rPr>
          <w:szCs w:val="20"/>
          <w:lang w:val="en-AU"/>
        </w:rPr>
        <w:t>utvrđenim</w:t>
      </w:r>
      <w:proofErr w:type="spellEnd"/>
      <w:r>
        <w:rPr>
          <w:szCs w:val="20"/>
          <w:lang w:val="en-AU"/>
        </w:rPr>
        <w:t xml:space="preserve"> </w:t>
      </w:r>
      <w:proofErr w:type="spellStart"/>
      <w:r>
        <w:rPr>
          <w:szCs w:val="20"/>
          <w:lang w:val="en-AU"/>
        </w:rPr>
        <w:t>tražbinama</w:t>
      </w:r>
      <w:proofErr w:type="spellEnd"/>
      <w:r>
        <w:rPr>
          <w:szCs w:val="20"/>
          <w:lang w:val="en-AU"/>
        </w:rPr>
        <w:t xml:space="preserve">, </w:t>
      </w:r>
      <w:r>
        <w:rPr>
          <w:lang w:eastAsia="en-US"/>
        </w:rPr>
        <w:t>Agencije za osiguranje radničkih tražbina,</w:t>
      </w:r>
      <w:r>
        <w:t xml:space="preserve"> </w:t>
      </w:r>
      <w:r>
        <w:rPr>
          <w:lang w:eastAsia="en-US"/>
        </w:rPr>
        <w:t xml:space="preserve">iz Zagreba, </w:t>
      </w:r>
      <w:proofErr w:type="spellStart"/>
      <w:r>
        <w:rPr>
          <w:lang w:eastAsia="en-US"/>
        </w:rPr>
        <w:t>Frankopanska</w:t>
      </w:r>
      <w:proofErr w:type="spellEnd"/>
      <w:r>
        <w:rPr>
          <w:lang w:eastAsia="en-US"/>
        </w:rPr>
        <w:t xml:space="preserve"> 11</w:t>
      </w:r>
      <w:r>
        <w:t>,</w:t>
      </w:r>
      <w:r>
        <w:rPr>
          <w:lang w:eastAsia="en-US"/>
        </w:rPr>
        <w:t xml:space="preserve"> isplatila je vjerovniku </w:t>
      </w:r>
      <w:r>
        <w:t>Aleju Kovačeviću, iz Zadra, OIB: 82023634930, kao bivšemu radniku Dužnika,</w:t>
      </w:r>
    </w:p>
    <w:p w:rsidRDefault="002143BE" w:rsidP="002143BE" w:rsidR="002143BE">
      <w:pPr>
        <w:jc w:val="both"/>
        <w:rPr>
          <w:szCs w:val="20"/>
          <w:lang w:val="en-AU"/>
        </w:rPr>
      </w:pPr>
    </w:p>
    <w:p w:rsidRDefault="002143BE" w:rsidP="002143BE" w:rsidR="002143BE">
      <w:r>
        <w:t xml:space="preserve">                                                                  - 3 -                     Poslovni broj:</w:t>
      </w:r>
      <w:r>
        <w:rPr>
          <w:bCs/>
        </w:rPr>
        <w:t xml:space="preserve"> </w:t>
      </w:r>
      <w:r>
        <w:t>14. St-1505/2016.</w:t>
      </w:r>
    </w:p>
    <w:p w:rsidRDefault="002143BE" w:rsidP="002143BE" w:rsidR="002143BE">
      <w:pPr>
        <w:jc w:val="both"/>
        <w:rPr>
          <w:szCs w:val="20"/>
          <w:lang w:val="en-AU"/>
        </w:rPr>
      </w:pPr>
    </w:p>
    <w:p w:rsidRDefault="002143BE" w:rsidP="002143BE" w:rsidR="002143BE">
      <w:pPr>
        <w:jc w:val="both"/>
        <w:rPr>
          <w:szCs w:val="20"/>
          <w:lang w:val="en-AU"/>
        </w:rPr>
      </w:pPr>
    </w:p>
    <w:p w:rsidRDefault="002143BE" w:rsidP="002143BE" w:rsidR="002143BE">
      <w:pPr>
        <w:jc w:val="both"/>
      </w:pPr>
      <w:r>
        <w:t xml:space="preserve">iznos od: </w:t>
      </w:r>
      <w:r>
        <w:rPr>
          <w:lang w:eastAsia="en-US"/>
        </w:rPr>
        <w:t xml:space="preserve">17.010,87 kuna te je podneskom, KLASA: UP/I-110-02/18-01/1393, URBROJ: 0479-2/14-18/0006, od 22. kolovoza 2018. a to temeljem u točki A. izrijeke navedenog ZORT, </w:t>
      </w:r>
      <w:r>
        <w:t xml:space="preserve">predložila Sudu donijeti ispravak Tablice ispitanih tražbina u smislu da se u Tablicu ispitanih tražbina uvrsti Agencija za navedeni iznos od: 17.010,87 kuna, slijedom čega bi se za isti taj iznos, koji pripada Agenciju, umanjila utvrđena tražbina vjerovnika bivšeg radnika, Aleja Kovačevića, kojeg tražbina nakon ovog umanjenja treba iznositi: 219.049,87 kuna. </w:t>
      </w:r>
    </w:p>
    <w:p w:rsidRDefault="002143BE" w:rsidP="002143BE" w:rsidR="002143BE">
      <w:pPr>
        <w:jc w:val="both"/>
      </w:pPr>
      <w:r>
        <w:t xml:space="preserve">          3.  Nakon što je u </w:t>
      </w:r>
      <w:proofErr w:type="spellStart"/>
      <w:r>
        <w:t>najpretežnijem</w:t>
      </w:r>
      <w:proofErr w:type="spellEnd"/>
      <w:r>
        <w:t xml:space="preserve"> dijelu unovčena imovina Dužnika, Sud je 08. travnja 2019. fizički zaprimio Završni račun, Završnu bilancu i Završni izvještaj Stečajnog upravitelja, nadnevka: „Šibenik 2. travnja 2019.“ u kojem je Stečajni upravitelj predložio Sudu odobriti mu provesti Završnu diobu a sve je to Stečajni upravitelj naknadno ispravljeno dostavio, što je u Sudu fizički zaprimljeno 12. travnja 2019, inače, nadnevka: „Šibenik, 10. travnja 2019.“. Ispravljenom Završnom diobom je Stečajni upravitelj predložio u </w:t>
      </w:r>
      <w:r>
        <w:rPr>
          <w:b/>
        </w:rPr>
        <w:t>100% (sto posto)</w:t>
      </w:r>
      <w:r>
        <w:t xml:space="preserve"> iznosu namiriti utvrđene tražbine stečajnih vjerovnika prvoga višega isplatnog reda, s tim što je predložio u diobu uključiti i tražbinu </w:t>
      </w:r>
      <w:r>
        <w:rPr>
          <w:lang w:eastAsia="en-US"/>
        </w:rPr>
        <w:t xml:space="preserve">Agencije </w:t>
      </w:r>
      <w:r>
        <w:t xml:space="preserve">u iznosu od: </w:t>
      </w:r>
      <w:r>
        <w:rPr>
          <w:lang w:eastAsia="en-US"/>
        </w:rPr>
        <w:t xml:space="preserve">17.010,87 kuna a koji je iznos ista Agencija isplatila vjerovniku </w:t>
      </w:r>
      <w:r>
        <w:t>Aleju Kovačeviću, iz Zadra, OIB: 82023634930. kao bivšemu radniku Dužnika pa je za taj iznos koji pripada Agenciju umanjena utvrđena tražbina istog radnika Aleja Kovačevića, kojeg tražbina nakon ovog umanjenja iznosi: 219.049,87 kuna.</w:t>
      </w:r>
    </w:p>
    <w:p w:rsidRDefault="002143BE" w:rsidP="002143BE" w:rsidR="002143BE">
      <w:pPr>
        <w:jc w:val="both"/>
      </w:pPr>
      <w:r>
        <w:t xml:space="preserve">          4.  Prijedloge Agencije za ispravak Tablice ispitanih tražbina i Stečajnog upravitelja za odobrenje završne diobe, Sud je prihvatio i ovim Rješenjem riješio kao u izrijeci.</w:t>
      </w:r>
    </w:p>
    <w:p w:rsidRDefault="002143BE" w:rsidP="002143BE" w:rsidR="002143BE">
      <w:pPr>
        <w:jc w:val="both"/>
      </w:pPr>
      <w:r>
        <w:t xml:space="preserve">          5.  Člankom 32, ZORT-a, propisano je:</w:t>
      </w:r>
    </w:p>
    <w:p w:rsidRDefault="002143BE" w:rsidP="002143BE" w:rsidR="002143BE">
      <w:pPr>
        <w:pStyle w:val="Bezproreda"/>
        <w:jc w:val="both"/>
      </w:pPr>
      <w:r>
        <w:t>„(1) Tražbine koje na temelju ovoga Zakona isplati Agencija prelaze na Agenciju danom uplate iz odredbe članka 30. stavka 4. ovoga Zakona.</w:t>
      </w:r>
    </w:p>
    <w:p w:rsidRDefault="002143BE" w:rsidP="002143BE" w:rsidR="002143BE">
      <w:pPr>
        <w:pStyle w:val="Bezproreda"/>
        <w:jc w:val="both"/>
      </w:pPr>
      <w:r>
        <w:t>(2) Danom prijenosa tražbina Agencija preuzima sva procesna prava stečajnog vjerovnika u odnosu na preuzete tražbine.</w:t>
      </w:r>
    </w:p>
    <w:p w:rsidRDefault="002143BE" w:rsidP="002143BE" w:rsidR="002143BE">
      <w:pPr>
        <w:pStyle w:val="Bezproreda"/>
        <w:jc w:val="both"/>
      </w:pPr>
      <w:r>
        <w:t>(3) O prijenosu tražbina i preuzimanju procesnih prava stečajnog vjerovnika Agencija obavještava sud nadležan u stečajnom postupku, uz dokaz o ispunjenju dijela tražbina.</w:t>
      </w:r>
    </w:p>
    <w:p w:rsidRDefault="002143BE" w:rsidP="002143BE" w:rsidR="002143BE">
      <w:pPr>
        <w:pStyle w:val="Bezproreda"/>
        <w:jc w:val="both"/>
      </w:pPr>
      <w:r>
        <w:t>(4) Temeljem obavijesti iz stavka 3. ovoga članka sud nadležan u stečajnom postupku će ispraviti tablicu ispitanih tražbina i primjerak tako ispravljenog rješenja o utvrđivanju tražbina objaviti na mrežnoj stranici e-Oglasna ploča sudova.“</w:t>
      </w:r>
    </w:p>
    <w:p w:rsidRDefault="002143BE" w:rsidP="002143BE" w:rsidR="002143BE">
      <w:pPr>
        <w:jc w:val="both"/>
      </w:pPr>
      <w:r>
        <w:t xml:space="preserve">          Sukladno ovoj odredbi članka 32, ZORT-a, riješeno je kao u točki A. izrijeke Rješenja.</w:t>
      </w:r>
    </w:p>
    <w:p w:rsidRDefault="002143BE" w:rsidP="002143BE" w:rsidR="002143BE">
      <w:pPr>
        <w:pStyle w:val="Tijeloteksta"/>
      </w:pPr>
      <w:r>
        <w:t xml:space="preserve">          6.  Člankom 282, SZ, propisano je kako se završnoj diobi pristupa čim se okonča unovčenje stečajne mase te kako se ista dioba smije poduzeti samo uz suglasnost suda. Člankom 283, SZ, propisano je kako prigodom davanja suglasnosti za završnu diobu sud određuje i završno ročište vjerovnika na kojem se: raspravlja o završnom računu stečajnog upravitelja, podnose prigovori na završni popis i vjerovnici odlučuju o </w:t>
      </w:r>
      <w:proofErr w:type="spellStart"/>
      <w:r>
        <w:t>neunovčivim</w:t>
      </w:r>
      <w:proofErr w:type="spellEnd"/>
      <w:r>
        <w:t xml:space="preserve"> predmetima stečajne mase.</w:t>
      </w:r>
    </w:p>
    <w:p w:rsidRDefault="002143BE" w:rsidP="002143BE" w:rsidR="002143BE">
      <w:pPr>
        <w:pStyle w:val="Tijeloteksta"/>
      </w:pPr>
      <w:r>
        <w:t xml:space="preserve">           7.  Kako je unovčena imovina Dužnika u </w:t>
      </w:r>
      <w:proofErr w:type="spellStart"/>
      <w:r>
        <w:t>najpretežnijem</w:t>
      </w:r>
      <w:proofErr w:type="spellEnd"/>
      <w:r>
        <w:t xml:space="preserve"> dijelu (ostala je još neunovčena nautička oprema i materijal  kao i ona imovina za kojom se još traga), trebalo je prijedlogu Stečajnog upravitelja udovoljiti i odobriti Završnu diobu, radi čega je, temeljem članka 282, SZ, riješeno kao u izrijeci ovog Rješenja pod točkom B/I. Ujedno je trebalo istovremeno odrediti i Završno ročište vjerovnika, radi čega je, temeljem navedenog članka 283, SZ, odlučeno kao u Zaključku. </w:t>
      </w:r>
    </w:p>
    <w:p w:rsidRDefault="002143BE" w:rsidP="002143BE" w:rsidR="002143BE">
      <w:pPr>
        <w:pStyle w:val="Tijeloteksta"/>
      </w:pPr>
    </w:p>
    <w:p w:rsidRDefault="002143BE" w:rsidP="002143BE" w:rsidR="002143BE">
      <w:r>
        <w:t xml:space="preserve">                                                                  - 4 -                     Poslovni broj:</w:t>
      </w:r>
      <w:r>
        <w:rPr>
          <w:bCs/>
        </w:rPr>
        <w:t xml:space="preserve"> </w:t>
      </w:r>
      <w:r>
        <w:t>14. St-1505/2016.</w:t>
      </w:r>
    </w:p>
    <w:p w:rsidRDefault="002143BE" w:rsidP="002143BE" w:rsidR="002143BE">
      <w:pPr>
        <w:pStyle w:val="Tijeloteksta"/>
      </w:pPr>
    </w:p>
    <w:p w:rsidRDefault="002143BE" w:rsidP="002143BE" w:rsidR="002143BE">
      <w:pPr>
        <w:pStyle w:val="Tijeloteksta"/>
        <w:tabs>
          <w:tab w:pos="142" w:val="left"/>
        </w:tabs>
      </w:pPr>
      <w:r>
        <w:t xml:space="preserve">          8.  Člankom 274, SZ, propisano je kako stečajni upravitelj sastavlja popis tražbina koje se uzimaju u obzir pri diobi te kako se isti popis tražbina koje se pri diobi uzimaju u obzir objavljuje na mrežnoj stranici e-Oglasna ploča sudova. Po shvaćanju ovog Suda, to se odnosi i na </w:t>
      </w:r>
      <w:proofErr w:type="spellStart"/>
      <w:r>
        <w:t>dijelomične</w:t>
      </w:r>
      <w:proofErr w:type="spellEnd"/>
      <w:r>
        <w:t xml:space="preserve"> diobe i na završnu diobu. Člankom 283, stavkom 1, točkom 2. i stavkom 3, SZ, propisano je kako se na završnom ročištu vjerovnika podnose prigovori na završni popis te kako sud rješenjem odlučuje o prigovorima vjerovnika na završni diobni popis pa je sukladno istim zakonskim odredbama, riješeno kao pod točkom B/IV. izrijeke ovog Rješenja i točkom I/3, Zaključka. </w:t>
      </w:r>
    </w:p>
    <w:p w:rsidRDefault="002143BE" w:rsidP="002143BE" w:rsidR="002143BE">
      <w:pPr>
        <w:pStyle w:val="Tijeloteksta"/>
        <w:tabs>
          <w:tab w:pos="142" w:val="left"/>
        </w:tabs>
      </w:pPr>
      <w:r>
        <w:t xml:space="preserve">         9.  Člankom 283, stavkom 4, SZ, propisano je kako se na odluku suda o prigovorima vjerovnika na odgovarajući način primjenjuju odredbe članka 280, stavaka 2. – 4, SZ, kojima je propisano kako povodom eventualnog prigovora na Diobni popis, sud rješenjem može odrediti ispravak popisa, kako to proizlazi iz stavka 3, članka 280, SZ a stavkom 4, članka 280, SZ, propisano je kako se djelomičnoj diobi može pristupiti tek po pravomoćnosti rješenja iz stavka 3, članka 280, SZ. Radi toga je ovaj Sud ovim Rješenjem i odredio kako će se isplata određena ovim Rješenjem provesti nakon pravomoćnosti istog Rješenja i nakon održanoga Završnog ročišta vjerovnika, kako je to i navedeno pod točkom B/II. izrijeke ovog Rješenja.</w:t>
      </w:r>
    </w:p>
    <w:p w:rsidRDefault="002143BE" w:rsidP="002143BE" w:rsidR="002143BE">
      <w:pPr>
        <w:jc w:val="both"/>
      </w:pPr>
      <w:r>
        <w:t xml:space="preserve">         10.  Radi svega izloženog i temeljem navedenih odredaba pozitivnih propisa, riješeno je kao u izrijeci.</w:t>
      </w:r>
    </w:p>
    <w:p w:rsidRDefault="002143BE" w:rsidP="002143BE" w:rsidR="002143BE">
      <w:pPr>
        <w:tabs>
          <w:tab w:pos="-1843" w:val="left"/>
        </w:tabs>
      </w:pPr>
    </w:p>
    <w:p w:rsidRDefault="002143BE" w:rsidP="002143BE" w:rsidR="002143BE">
      <w:pPr>
        <w:tabs>
          <w:tab w:pos="-1843" w:val="left"/>
        </w:tabs>
      </w:pPr>
    </w:p>
    <w:p w:rsidRDefault="002143BE" w:rsidP="002143BE" w:rsidR="002143BE">
      <w:pPr>
        <w:tabs>
          <w:tab w:pos="-1843" w:val="left"/>
        </w:tabs>
        <w:jc w:val="center"/>
      </w:pPr>
      <w:r>
        <w:t>Split, 19. travnja 2019.</w:t>
      </w:r>
    </w:p>
    <w:p w:rsidRDefault="002143BE" w:rsidP="002143BE" w:rsidR="002143BE">
      <w:pPr>
        <w:jc w:val="both"/>
      </w:pPr>
      <w:r>
        <w:t xml:space="preserve">                        </w:t>
      </w:r>
    </w:p>
    <w:p w:rsidRDefault="002143BE" w:rsidP="002143BE" w:rsidR="002143BE">
      <w:pPr>
        <w:jc w:val="both"/>
      </w:pPr>
    </w:p>
    <w:p w:rsidRDefault="002143BE" w:rsidP="002143BE" w:rsidR="002143BE">
      <w:pPr>
        <w:ind w:left="4248"/>
        <w:jc w:val="center"/>
        <w:rPr>
          <w:lang w:eastAsia="en-US" w:val="en-US"/>
        </w:rPr>
      </w:pPr>
      <w:r>
        <w:rPr>
          <w:lang w:eastAsia="en-US" w:val="en-US"/>
        </w:rPr>
        <w:t>SUDAC</w:t>
      </w:r>
    </w:p>
    <w:p w:rsidRDefault="002143BE" w:rsidP="002143BE" w:rsidR="002143BE">
      <w:pPr>
        <w:ind w:left="4248"/>
        <w:jc w:val="center"/>
        <w:rPr>
          <w:lang w:eastAsia="en-US" w:val="en-US"/>
        </w:rPr>
      </w:pPr>
      <w:r>
        <w:rPr>
          <w:lang w:eastAsia="en-US" w:val="en-US"/>
        </w:rPr>
        <w:t xml:space="preserve">Jozo Ćaleta, </w:t>
      </w:r>
      <w:proofErr w:type="spellStart"/>
      <w:r>
        <w:rPr>
          <w:lang w:eastAsia="en-US" w:val="en-US"/>
        </w:rPr>
        <w:t>v.r</w:t>
      </w:r>
      <w:proofErr w:type="spellEnd"/>
      <w:r>
        <w:rPr>
          <w:lang w:eastAsia="en-US" w:val="en-US"/>
        </w:rPr>
        <w:t>.</w:t>
      </w:r>
    </w:p>
    <w:p w:rsidRDefault="002143BE" w:rsidP="002143BE" w:rsidR="002143BE">
      <w:pPr>
        <w:ind w:left="4248"/>
        <w:jc w:val="center"/>
        <w:rPr>
          <w:lang w:eastAsia="en-US" w:val="en-US"/>
        </w:rPr>
      </w:pPr>
    </w:p>
    <w:p w:rsidRDefault="002143BE" w:rsidP="002143BE" w:rsidR="002143BE">
      <w:pPr>
        <w:ind w:left="4248"/>
        <w:jc w:val="center"/>
        <w:rPr>
          <w:lang w:eastAsia="en-US" w:val="en-US"/>
        </w:rPr>
      </w:pPr>
      <w:proofErr w:type="spellStart"/>
      <w:r>
        <w:rPr>
          <w:lang w:eastAsia="en-US" w:val="en-US"/>
        </w:rPr>
        <w:t>za</w:t>
      </w:r>
      <w:proofErr w:type="spellEnd"/>
      <w:r>
        <w:rPr>
          <w:lang w:eastAsia="en-US" w:val="en-US"/>
        </w:rPr>
        <w:t xml:space="preserve"> </w:t>
      </w:r>
      <w:proofErr w:type="spellStart"/>
      <w:r>
        <w:rPr>
          <w:lang w:eastAsia="en-US" w:val="en-US"/>
        </w:rPr>
        <w:t>točnost</w:t>
      </w:r>
      <w:proofErr w:type="spellEnd"/>
      <w:r>
        <w:rPr>
          <w:lang w:eastAsia="en-US" w:val="en-US"/>
        </w:rPr>
        <w:t xml:space="preserve"> </w:t>
      </w:r>
      <w:proofErr w:type="spellStart"/>
      <w:r>
        <w:rPr>
          <w:lang w:eastAsia="en-US" w:val="en-US"/>
        </w:rPr>
        <w:t>otpravka-ovlašteni</w:t>
      </w:r>
      <w:proofErr w:type="spellEnd"/>
      <w:r>
        <w:rPr>
          <w:lang w:eastAsia="en-US" w:val="en-US"/>
        </w:rPr>
        <w:t xml:space="preserve"> </w:t>
      </w:r>
      <w:proofErr w:type="spellStart"/>
      <w:r>
        <w:rPr>
          <w:lang w:eastAsia="en-US" w:val="en-US"/>
        </w:rPr>
        <w:t>službenik</w:t>
      </w:r>
      <w:proofErr w:type="spellEnd"/>
    </w:p>
    <w:p w:rsidRDefault="002143BE" w:rsidP="002143BE" w:rsidR="002143BE">
      <w:pPr>
        <w:ind w:left="4248"/>
        <w:jc w:val="center"/>
        <w:rPr>
          <w:lang w:eastAsia="en-US" w:val="en-US"/>
        </w:rPr>
      </w:pPr>
      <w:r>
        <w:rPr>
          <w:lang w:eastAsia="en-US" w:val="en-US"/>
        </w:rPr>
        <w:t xml:space="preserve">Vesna </w:t>
      </w:r>
      <w:proofErr w:type="spellStart"/>
      <w:r>
        <w:rPr>
          <w:lang w:eastAsia="en-US" w:val="en-US"/>
        </w:rPr>
        <w:t>Čargo</w:t>
      </w:r>
      <w:proofErr w:type="spellEnd"/>
    </w:p>
    <w:p w:rsidRDefault="002143BE" w:rsidP="002143BE" w:rsidR="002143BE">
      <w:pPr>
        <w:jc w:val="both"/>
      </w:pPr>
    </w:p>
    <w:p w:rsidRDefault="002143BE" w:rsidP="002143BE" w:rsidR="002143BE">
      <w:pPr>
        <w:jc w:val="both"/>
      </w:pPr>
    </w:p>
    <w:p w:rsidRDefault="002143BE" w:rsidP="002143BE" w:rsidR="002143BE">
      <w:pPr>
        <w:jc w:val="both"/>
      </w:pPr>
    </w:p>
    <w:p w:rsidRDefault="002143BE" w:rsidP="002143BE" w:rsidR="002143BE">
      <w:pPr>
        <w:tabs>
          <w:tab w:pos="142" w:val="left"/>
        </w:tabs>
        <w:jc w:val="both"/>
      </w:pPr>
      <w:r>
        <w:t>Pravna pouka: Protiv Diobnog popisa iz točke B/I. ovog Rješenja može se izjaviti prigovor Sudu i to najkasnije na Završnom ročištu vjerovnika. Protiv Rješenja se može izjaviti žalba u roku od osam (8) dana i to ovom Sudu u tri primjerka a o žalbi u drugom stupnju odlučuje Visoki trgovački sud Republike Hrvatske u Zagrebu.</w:t>
      </w:r>
    </w:p>
    <w:p w:rsidRDefault="002143BE" w:rsidP="002143BE" w:rsidR="002143BE"/>
    <w:p w:rsidRDefault="002143BE" w:rsidP="002143BE" w:rsidR="002143BE"/>
    <w:p w:rsidRDefault="00AE649C" w:rsidP="004F27AE" w:rsidR="00AE649C" w:rsidRPr="00B76F3C">
      <w:pPr>
        <w:pStyle w:val="NormaleSPIS"/>
      </w:pPr>
    </w:p>
    <w:p w:rsidRDefault="00AE649C" w:rsidP="004F27AE" w:rsidR="00AE649C" w:rsidRPr="00B76F3C">
      <w:pPr>
        <w:pStyle w:val="NormaleSPIS"/>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3BE"/>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2143BE"/>
    <w:pPr>
      <w:spacing w:lineRule="auto" w:line="240" w:after="0"/>
    </w:pPr>
    <w:rPr>
      <w:rFonts w:cs="Times New Roman" w:eastAsia="Times New Roman" w:hAnsi="Times New Roman" w:ascii="Times New Roman"/>
      <w:sz w:val="24"/>
      <w:szCs w:val="24"/>
      <w:lang w:eastAsia="hr-HR" w:val="hr-HR"/>
    </w:rPr>
  </w:style>
  <w:style w:styleId="Naslov1" w:type="paragraph">
    <w:name w:val="heading 1"/>
    <w:basedOn w:val="Normal"/>
    <w:next w:val="Normal"/>
    <w:link w:val="Naslov1Char"/>
    <w:uiPriority w:val="9"/>
    <w:unhideWhenUsed/>
    <w:rsid w:val="004F27AE"/>
    <w:pPr>
      <w:keepNext/>
      <w:keepLines/>
      <w:spacing w:after="240" w:before="480"/>
      <w:outlineLvl w:val="0"/>
    </w:pPr>
    <w:rPr>
      <w:rFonts w:cstheme="majorBidi" w:eastAsiaTheme="majorEastAsia"/>
      <w:b/>
      <w:bCs/>
      <w:sz w:val="28"/>
      <w:szCs w:val="28"/>
      <w:lang w:eastAsia="en-US"/>
    </w:rPr>
  </w:style>
  <w:style w:styleId="Naslov2" w:type="paragraph">
    <w:name w:val="heading 2"/>
    <w:basedOn w:val="Normal"/>
    <w:next w:val="Normal"/>
    <w:link w:val="Naslov2Char"/>
    <w:uiPriority w:val="9"/>
    <w:unhideWhenUsed/>
    <w:rsid w:val="004F27AE"/>
    <w:pPr>
      <w:keepNext/>
      <w:spacing w:after="240"/>
      <w:outlineLvl w:val="1"/>
    </w:pPr>
    <w:rPr>
      <w:rFonts w:cstheme="minorBidi" w:eastAsiaTheme="minorHAnsi"/>
      <w:b/>
      <w:sz w:val="28"/>
      <w:szCs w:val="20"/>
      <w:lang w:eastAsia="en-US"/>
    </w:rPr>
  </w:style>
  <w:style w:styleId="Naslov3" w:type="paragraph">
    <w:name w:val="heading 3"/>
    <w:basedOn w:val="Normal"/>
    <w:next w:val="Normal"/>
    <w:link w:val="Naslov3Char"/>
    <w:uiPriority w:val="9"/>
    <w:unhideWhenUsed/>
    <w:rsid w:val="004F27AE"/>
    <w:pPr>
      <w:keepNext/>
      <w:keepLines/>
      <w:spacing w:after="240" w:before="200"/>
      <w:ind w:hanging="432" w:left="720"/>
      <w:outlineLvl w:val="2"/>
    </w:pPr>
    <w:rPr>
      <w:rFonts w:cstheme="majorBidi" w:eastAsiaTheme="majorEastAsia"/>
      <w:b/>
      <w:bCs/>
      <w:lang w:eastAsia="en-U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before="120"/>
      <w:ind w:hanging="432" w:left="1008"/>
      <w:outlineLvl w:val="4"/>
    </w:pPr>
    <w:rPr>
      <w:rFonts w:hAnsi="Arial" w:ascii="Arial"/>
      <w:noProof/>
      <w:kern w:val="22"/>
      <w:sz w:val="22"/>
    </w:rPr>
  </w:style>
  <w:style w:styleId="Naslov6" w:type="paragraph">
    <w:name w:val="heading 6"/>
    <w:basedOn w:val="Normal"/>
    <w:next w:val="Normal"/>
    <w:link w:val="Naslov6Char"/>
    <w:rsid w:val="00EB0D4C"/>
    <w:pPr>
      <w:spacing w:before="120"/>
      <w:ind w:hanging="432" w:left="1152"/>
      <w:outlineLvl w:val="5"/>
    </w:pPr>
    <w:rPr>
      <w:rFonts w:hAnsi="Arial" w:asci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hAnsi="Arial" w:ascii="Arial"/>
      <w:noProof/>
      <w:kern w:val="20"/>
      <w:sz w:val="22"/>
    </w:rPr>
  </w:style>
  <w:style w:styleId="Naslov8" w:type="paragraph">
    <w:name w:val="heading 8"/>
    <w:basedOn w:val="Normal"/>
    <w:next w:val="Normal"/>
    <w:link w:val="Naslov8Char"/>
    <w:rsid w:val="00EB0D4C"/>
    <w:pPr>
      <w:spacing w:before="120"/>
      <w:ind w:hanging="432" w:left="1440"/>
      <w:outlineLvl w:val="7"/>
    </w:pPr>
    <w:rPr>
      <w:rFonts w:hAnsi="Arial" w:asci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rFonts w:cstheme="minorBidi" w:eastAsiaTheme="minorHAnsi"/>
      <w:caps/>
      <w:spacing w:val="100"/>
      <w:lang w:eastAsia="en-US"/>
    </w:rPr>
  </w:style>
  <w:style w:customStyle="true" w:styleId="abcNaslov0" w:type="paragraph">
    <w:name w:val="abc_Naslov"/>
    <w:basedOn w:val="Normal"/>
    <w:next w:val="NormaleSPIS"/>
    <w:link w:val="abcNaslovChar0"/>
    <w:qFormat/>
    <w:rsid w:val="00EB0D4C"/>
    <w:pPr>
      <w:keepNext/>
      <w:spacing w:after="480" w:before="480"/>
      <w:jc w:val="center"/>
    </w:pPr>
    <w:rPr>
      <w:rFonts w:cstheme="minorBidi" w:eastAsiaTheme="minorHAnsi"/>
      <w:spacing w:val="100"/>
      <w:lang w:eastAsia="en-US"/>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rFonts w:cstheme="minorBidi" w:eastAsiaTheme="minorHAnsi"/>
      <w:noProof/>
      <w:lang w:eastAsia="en-US"/>
    </w:rPr>
  </w:style>
  <w:style w:styleId="Tijeloteksta3" w:type="paragraph">
    <w:name w:val="Body Text 3"/>
    <w:basedOn w:val="Normal"/>
    <w:link w:val="Tijeloteksta3Char"/>
    <w:uiPriority w:val="99"/>
    <w:rsid w:val="00551CB3"/>
    <w:pPr>
      <w:numPr>
        <w:numId w:val="4"/>
      </w:numPr>
      <w:spacing w:after="120"/>
    </w:pPr>
    <w:rPr>
      <w:rFonts w:cstheme="minorBidi" w:eastAsiaTheme="minorHAnsi"/>
      <w:sz w:val="16"/>
      <w:szCs w:val="16"/>
      <w:lang w:eastAsia="en-US"/>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rPr>
      <w:rFonts w:cstheme="minorBidi" w:eastAsiaTheme="minorHAnsi"/>
      <w:lang w:eastAsia="en-US"/>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contextualSpacing/>
    </w:pPr>
    <w:rPr>
      <w:rFonts w:cstheme="minorBidi" w:eastAsiaTheme="minorHAnsi"/>
      <w:noProof/>
      <w:sz w:val="20"/>
      <w:lang w:eastAsia="en-US"/>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spacing w:after="240"/>
      <w:ind w:left="2880"/>
    </w:pPr>
    <w:rPr>
      <w:rFonts w:cstheme="majorBidi" w:eastAsiaTheme="majorEastAsia" w:hAnsiTheme="majorHAnsi" w:asciiTheme="majorHAnsi"/>
      <w:lang w:eastAsia="en-US"/>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jc w:val="right"/>
    </w:pPr>
    <w:rPr>
      <w:rFonts w:cstheme="minorBidi" w:eastAsiaTheme="minorHAnsi"/>
      <w:noProof/>
      <w:lang w:eastAsia="en-US"/>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rFonts w:cstheme="minorBidi" w:eastAsiaTheme="minorHAnsi"/>
      <w:noProof/>
      <w:lang w:eastAsia="en-US"/>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rFonts w:cstheme="minorBidi" w:eastAsiaTheme="minorHAnsi"/>
      <w:b/>
      <w:caps/>
      <w:spacing w:val="100"/>
      <w:lang w:eastAsia="en-US"/>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spacing w:after="240"/>
      <w:ind w:left="720"/>
    </w:pPr>
    <w:rPr>
      <w:rFonts w:cstheme="minorBidi" w:eastAsiaTheme="minorHAnsi"/>
      <w:lang w:eastAsia="en-US"/>
    </w:r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before="400"/>
      <w:ind w:left="5387"/>
      <w:contextualSpacing/>
    </w:pPr>
    <w:rPr>
      <w:rFonts w:cstheme="minorBidi" w:eastAsiaTheme="minorHAnsi"/>
      <w:noProof/>
      <w:lang w:eastAsia="en-US"/>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rFonts w:cstheme="minorBidi" w:eastAsiaTheme="minorHAnsi"/>
      <w:noProof/>
      <w:lang w:eastAsia="en-US"/>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rPr>
      <w:rFonts w:cstheme="minorBidi" w:eastAsiaTheme="minorHAnsi"/>
      <w:lang w:eastAsia="en-US"/>
    </w:rPr>
  </w:style>
  <w:style w:customStyle="true" w:styleId="Zapisniar" w:type="paragraph">
    <w:name w:val="Zapisničar"/>
    <w:basedOn w:val="Normal"/>
    <w:next w:val="ZapisniarPotpis"/>
    <w:qFormat/>
    <w:rsid w:val="00EB0D4C"/>
    <w:pPr>
      <w:keepNext/>
      <w:spacing w:after="360" w:before="360"/>
      <w:ind w:left="5387"/>
    </w:pPr>
    <w:rPr>
      <w:rFonts w:cstheme="minorBidi" w:eastAsiaTheme="minorHAnsi"/>
      <w:noProof/>
      <w:lang w:eastAsia="en-US"/>
    </w:rPr>
  </w:style>
  <w:style w:customStyle="true" w:styleId="ZapisniarPotpis" w:type="paragraph">
    <w:name w:val="ZapisničarPotpis"/>
    <w:basedOn w:val="Normal"/>
    <w:next w:val="Normal"/>
    <w:qFormat/>
    <w:rsid w:val="00EB0D4C"/>
    <w:pPr>
      <w:spacing w:after="120" w:before="360"/>
      <w:ind w:left="5387"/>
    </w:pPr>
    <w:rPr>
      <w:rFonts w:cstheme="minorBidi" w:eastAsiaTheme="minorHAnsi"/>
      <w:noProof/>
      <w:lang w:eastAsia="en-US"/>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rPr>
      <w:rFonts w:cstheme="minorBidi" w:eastAsiaTheme="minorHAnsi"/>
      <w:lang w:eastAsia="en-US"/>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spacing w:after="240"/>
      <w:ind w:firstLine="567"/>
      <w:jc w:val="both"/>
    </w:pPr>
    <w:rPr>
      <w:rFonts w:cstheme="minorBidi"/>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before="360"/>
      <w:ind w:left="5387"/>
    </w:pPr>
    <w:rPr>
      <w:rFonts w:cstheme="minorBidi" w:eastAsiaTheme="minorHAnsi"/>
      <w:noProof/>
      <w:lang w:eastAsia="en-US"/>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lang w:eastAsia="en-US"/>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after="240"/>
    </w:pPr>
    <w:rPr>
      <w:rFonts w:cstheme="minorBidi" w:eastAsiaTheme="minorHAnsi"/>
      <w:lang w:eastAsia="en-US"/>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aliases w:val="uvlaka 3,uvlaka 2"/>
    <w:basedOn w:val="Normal"/>
    <w:link w:val="TijelotekstaChar"/>
    <w:unhideWhenUsed/>
    <w:rsid w:val="00551CB3"/>
    <w:pPr>
      <w:spacing w:after="120"/>
    </w:pPr>
    <w:rPr>
      <w:rFonts w:cstheme="minorBidi" w:eastAsiaTheme="minorHAnsi"/>
      <w:lang w:eastAsia="en-US"/>
    </w:rPr>
  </w:style>
  <w:style w:customStyle="true" w:styleId="TijelotekstaChar" w:type="character">
    <w:name w:val="Tijelo teksta Char"/>
    <w:aliases w:val="uvlaka 3 Char,uvlaka 2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rPr>
      <w:rFonts w:cstheme="minorBidi" w:eastAsiaTheme="minorHAnsi"/>
      <w:lang w:eastAsia="en-US"/>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rPr>
      <w:rFonts w:cstheme="minorBidi" w:eastAsiaTheme="minorHAnsi"/>
      <w:lang w:eastAsia="en-US"/>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rPr>
      <w:rFonts w:cstheme="minorBidi" w:eastAsiaTheme="minorHAnsi"/>
      <w:lang w:eastAsia="en-US"/>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rFonts w:cstheme="minorBidi" w:eastAsiaTheme="minorHAnsi"/>
      <w:sz w:val="16"/>
      <w:szCs w:val="16"/>
      <w:lang w:eastAsia="en-US"/>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after="240"/>
    </w:pPr>
    <w:rPr>
      <w:rFonts w:cstheme="minorBidi" w:eastAsiaTheme="minorHAnsi"/>
      <w:b/>
      <w:bCs/>
      <w:color w:themeColor="accent1" w:val="4F81BD"/>
      <w:sz w:val="18"/>
      <w:szCs w:val="18"/>
      <w:lang w:eastAsia="en-US"/>
    </w:rPr>
  </w:style>
  <w:style w:styleId="Zavretak" w:type="paragraph">
    <w:name w:val="Closing"/>
    <w:basedOn w:val="Normal"/>
    <w:link w:val="ZavretakChar"/>
    <w:uiPriority w:val="99"/>
    <w:semiHidden/>
    <w:unhideWhenUsed/>
    <w:rsid w:val="00551CB3"/>
    <w:pPr>
      <w:ind w:left="4252"/>
    </w:pPr>
    <w:rPr>
      <w:rFonts w:cstheme="minorBidi" w:eastAsiaTheme="minorHAnsi"/>
      <w:lang w:eastAsia="en-US"/>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after="240"/>
    </w:pPr>
    <w:rPr>
      <w:rFonts w:cstheme="minorBidi" w:eastAsiaTheme="minorHAnsi"/>
      <w:sz w:val="20"/>
      <w:szCs w:val="20"/>
      <w:lang w:eastAsia="en-US"/>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rFonts w:cstheme="minorBidi" w:eastAsiaTheme="minorHAnsi"/>
      <w:sz w:val="20"/>
      <w:szCs w:val="20"/>
      <w:lang w:eastAsia="en-US"/>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rPr>
      <w:rFonts w:cstheme="majorBidi" w:eastAsiaTheme="majorEastAsia" w:hAnsiTheme="majorHAnsi" w:asciiTheme="majorHAnsi"/>
      <w:sz w:val="20"/>
      <w:szCs w:val="20"/>
      <w:lang w:eastAsia="en-US"/>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rFonts w:cstheme="minorBidi" w:eastAsiaTheme="minorHAnsi"/>
      <w:sz w:val="20"/>
      <w:szCs w:val="20"/>
      <w:lang w:eastAsia="en-US"/>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rPr>
      <w:rFonts w:cstheme="minorBidi" w:eastAsiaTheme="minorHAnsi"/>
      <w:lang w:eastAsia="en-US"/>
    </w:rPr>
  </w:style>
  <w:style w:styleId="Indeks2" w:type="paragraph">
    <w:name w:val="index 2"/>
    <w:basedOn w:val="Normal"/>
    <w:next w:val="Normal"/>
    <w:autoRedefine/>
    <w:uiPriority w:val="99"/>
    <w:semiHidden/>
    <w:unhideWhenUsed/>
    <w:rsid w:val="00551CB3"/>
    <w:pPr>
      <w:ind w:hanging="240" w:left="480"/>
    </w:pPr>
    <w:rPr>
      <w:rFonts w:cstheme="minorBidi" w:eastAsiaTheme="minorHAnsi"/>
      <w:lang w:eastAsia="en-US"/>
    </w:rPr>
  </w:style>
  <w:style w:styleId="Indeks3" w:type="paragraph">
    <w:name w:val="index 3"/>
    <w:basedOn w:val="Normal"/>
    <w:next w:val="Normal"/>
    <w:autoRedefine/>
    <w:uiPriority w:val="99"/>
    <w:semiHidden/>
    <w:unhideWhenUsed/>
    <w:rsid w:val="00551CB3"/>
    <w:pPr>
      <w:ind w:hanging="240" w:left="720"/>
    </w:pPr>
    <w:rPr>
      <w:rFonts w:cstheme="minorBidi" w:eastAsiaTheme="minorHAnsi"/>
      <w:lang w:eastAsia="en-US"/>
    </w:rPr>
  </w:style>
  <w:style w:styleId="Indeks4" w:type="paragraph">
    <w:name w:val="index 4"/>
    <w:basedOn w:val="Normal"/>
    <w:next w:val="Normal"/>
    <w:autoRedefine/>
    <w:uiPriority w:val="99"/>
    <w:semiHidden/>
    <w:unhideWhenUsed/>
    <w:rsid w:val="00551CB3"/>
    <w:pPr>
      <w:ind w:hanging="240" w:left="960"/>
    </w:pPr>
    <w:rPr>
      <w:rFonts w:cstheme="minorBidi" w:eastAsiaTheme="minorHAnsi"/>
      <w:lang w:eastAsia="en-US"/>
    </w:rPr>
  </w:style>
  <w:style w:styleId="Indeks5" w:type="paragraph">
    <w:name w:val="index 5"/>
    <w:basedOn w:val="Normal"/>
    <w:next w:val="Normal"/>
    <w:autoRedefine/>
    <w:uiPriority w:val="99"/>
    <w:semiHidden/>
    <w:unhideWhenUsed/>
    <w:rsid w:val="00551CB3"/>
    <w:pPr>
      <w:ind w:hanging="240" w:left="1200"/>
    </w:pPr>
    <w:rPr>
      <w:rFonts w:cstheme="minorBidi" w:eastAsiaTheme="minorHAnsi"/>
      <w:lang w:eastAsia="en-US"/>
    </w:rPr>
  </w:style>
  <w:style w:styleId="Indeks6" w:type="paragraph">
    <w:name w:val="index 6"/>
    <w:basedOn w:val="Normal"/>
    <w:next w:val="Normal"/>
    <w:autoRedefine/>
    <w:uiPriority w:val="99"/>
    <w:semiHidden/>
    <w:unhideWhenUsed/>
    <w:rsid w:val="00551CB3"/>
    <w:pPr>
      <w:ind w:hanging="240" w:left="1440"/>
    </w:pPr>
    <w:rPr>
      <w:rFonts w:cstheme="minorBidi" w:eastAsiaTheme="minorHAnsi"/>
      <w:lang w:eastAsia="en-US"/>
    </w:rPr>
  </w:style>
  <w:style w:styleId="Indeks7" w:type="paragraph">
    <w:name w:val="index 7"/>
    <w:basedOn w:val="Normal"/>
    <w:next w:val="Normal"/>
    <w:autoRedefine/>
    <w:uiPriority w:val="99"/>
    <w:semiHidden/>
    <w:unhideWhenUsed/>
    <w:rsid w:val="00551CB3"/>
    <w:pPr>
      <w:ind w:hanging="240" w:left="1680"/>
    </w:pPr>
    <w:rPr>
      <w:rFonts w:cstheme="minorBidi" w:eastAsiaTheme="minorHAnsi"/>
      <w:lang w:eastAsia="en-US"/>
    </w:rPr>
  </w:style>
  <w:style w:styleId="Indeks8" w:type="paragraph">
    <w:name w:val="index 8"/>
    <w:basedOn w:val="Normal"/>
    <w:next w:val="Normal"/>
    <w:autoRedefine/>
    <w:uiPriority w:val="99"/>
    <w:semiHidden/>
    <w:unhideWhenUsed/>
    <w:rsid w:val="00551CB3"/>
    <w:pPr>
      <w:ind w:hanging="240" w:left="1920"/>
    </w:pPr>
    <w:rPr>
      <w:rFonts w:cstheme="minorBidi" w:eastAsiaTheme="minorHAnsi"/>
      <w:lang w:eastAsia="en-US"/>
    </w:rPr>
  </w:style>
  <w:style w:styleId="Indeks9" w:type="paragraph">
    <w:name w:val="index 9"/>
    <w:basedOn w:val="Normal"/>
    <w:next w:val="Normal"/>
    <w:autoRedefine/>
    <w:uiPriority w:val="99"/>
    <w:semiHidden/>
    <w:unhideWhenUsed/>
    <w:rsid w:val="00551CB3"/>
    <w:pPr>
      <w:ind w:hanging="240" w:left="2160"/>
    </w:pPr>
    <w:rPr>
      <w:rFonts w:cstheme="minorBidi" w:eastAsiaTheme="minorHAnsi"/>
      <w:lang w:eastAsia="en-US"/>
    </w:rPr>
  </w:style>
  <w:style w:styleId="Naslovindeksa" w:type="paragraph">
    <w:name w:val="index heading"/>
    <w:basedOn w:val="Normal"/>
    <w:next w:val="Indeks1"/>
    <w:uiPriority w:val="99"/>
    <w:semiHidden/>
    <w:unhideWhenUsed/>
    <w:rsid w:val="00551CB3"/>
    <w:pPr>
      <w:spacing w:after="240"/>
    </w:pPr>
    <w:rPr>
      <w:rFonts w:cstheme="majorBidi" w:eastAsiaTheme="majorEastAsia" w:hAnsiTheme="majorHAnsi" w:asciiTheme="majorHAnsi"/>
      <w:b/>
      <w:bCs/>
      <w:lang w:eastAsia="en-U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spacing w:after="240"/>
    </w:pPr>
    <w:rPr>
      <w:rFonts w:cstheme="minorBidi" w:eastAsiaTheme="minorHAnsi"/>
      <w:lang w:eastAsia="en-US"/>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ind w:left="4252"/>
    </w:pPr>
    <w:rPr>
      <w:rFonts w:cstheme="minorBidi" w:eastAsiaTheme="minorHAnsi"/>
      <w:lang w:eastAsia="en-US"/>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ind w:hanging="240" w:left="240"/>
    </w:pPr>
    <w:rPr>
      <w:rFonts w:cstheme="minorBidi" w:eastAsiaTheme="minorHAnsi"/>
      <w:lang w:eastAsia="en-US"/>
    </w:rPr>
  </w:style>
  <w:style w:styleId="Tablicaslika" w:type="paragraph">
    <w:name w:val="table of figures"/>
    <w:basedOn w:val="Normal"/>
    <w:next w:val="Normal"/>
    <w:uiPriority w:val="99"/>
    <w:semiHidden/>
    <w:unhideWhenUsed/>
    <w:rsid w:val="00551CB3"/>
    <w:rPr>
      <w:rFonts w:cstheme="minorBidi" w:eastAsiaTheme="minorHAnsi"/>
      <w:lang w:eastAsia="en-US"/>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after="240" w:before="120"/>
    </w:pPr>
    <w:rPr>
      <w:rFonts w:cstheme="majorBidi" w:eastAsiaTheme="majorEastAsia" w:hAnsiTheme="majorHAnsi" w:asciiTheme="majorHAnsi"/>
      <w:b/>
      <w:bCs/>
      <w:lang w:eastAsia="en-US"/>
    </w:rPr>
  </w:style>
  <w:style w:styleId="Sadraj1" w:type="paragraph">
    <w:name w:val="toc 1"/>
    <w:basedOn w:val="Normal"/>
    <w:next w:val="Normal"/>
    <w:autoRedefine/>
    <w:uiPriority w:val="99"/>
    <w:semiHidden/>
    <w:unhideWhenUsed/>
    <w:rsid w:val="00551CB3"/>
    <w:pPr>
      <w:spacing w:after="100"/>
    </w:pPr>
    <w:rPr>
      <w:rFonts w:cstheme="minorBidi" w:eastAsiaTheme="minorHAnsi"/>
      <w:lang w:eastAsia="en-US"/>
    </w:rPr>
  </w:style>
  <w:style w:styleId="Sadraj2" w:type="paragraph">
    <w:name w:val="toc 2"/>
    <w:basedOn w:val="Normal"/>
    <w:next w:val="Normal"/>
    <w:autoRedefine/>
    <w:uiPriority w:val="99"/>
    <w:semiHidden/>
    <w:unhideWhenUsed/>
    <w:rsid w:val="00551CB3"/>
    <w:pPr>
      <w:spacing w:after="100"/>
      <w:ind w:left="240"/>
    </w:pPr>
    <w:rPr>
      <w:rFonts w:cstheme="minorBidi" w:eastAsiaTheme="minorHAnsi"/>
      <w:lang w:eastAsia="en-US"/>
    </w:rPr>
  </w:style>
  <w:style w:styleId="Sadraj3" w:type="paragraph">
    <w:name w:val="toc 3"/>
    <w:basedOn w:val="Normal"/>
    <w:next w:val="Normal"/>
    <w:autoRedefine/>
    <w:uiPriority w:val="99"/>
    <w:semiHidden/>
    <w:unhideWhenUsed/>
    <w:rsid w:val="00551CB3"/>
    <w:pPr>
      <w:spacing w:after="100"/>
      <w:ind w:left="480"/>
    </w:pPr>
    <w:rPr>
      <w:rFonts w:cstheme="minorBidi" w:eastAsiaTheme="minorHAnsi"/>
      <w:lang w:eastAsia="en-US"/>
    </w:rPr>
  </w:style>
  <w:style w:styleId="Sadraj4" w:type="paragraph">
    <w:name w:val="toc 4"/>
    <w:basedOn w:val="Normal"/>
    <w:next w:val="Normal"/>
    <w:autoRedefine/>
    <w:uiPriority w:val="99"/>
    <w:semiHidden/>
    <w:unhideWhenUsed/>
    <w:rsid w:val="00551CB3"/>
    <w:pPr>
      <w:spacing w:after="100"/>
      <w:ind w:left="720"/>
    </w:pPr>
    <w:rPr>
      <w:rFonts w:cstheme="minorBidi" w:eastAsiaTheme="minorHAnsi"/>
      <w:lang w:eastAsia="en-US"/>
    </w:rPr>
  </w:style>
  <w:style w:styleId="Sadraj5" w:type="paragraph">
    <w:name w:val="toc 5"/>
    <w:basedOn w:val="Normal"/>
    <w:next w:val="Normal"/>
    <w:autoRedefine/>
    <w:uiPriority w:val="99"/>
    <w:semiHidden/>
    <w:unhideWhenUsed/>
    <w:rsid w:val="00551CB3"/>
    <w:pPr>
      <w:spacing w:after="100"/>
      <w:ind w:left="960"/>
    </w:pPr>
    <w:rPr>
      <w:rFonts w:cstheme="minorBidi" w:eastAsiaTheme="minorHAnsi"/>
      <w:lang w:eastAsia="en-US"/>
    </w:rPr>
  </w:style>
  <w:style w:styleId="Sadraj6" w:type="paragraph">
    <w:name w:val="toc 6"/>
    <w:basedOn w:val="Normal"/>
    <w:next w:val="Normal"/>
    <w:autoRedefine/>
    <w:uiPriority w:val="99"/>
    <w:semiHidden/>
    <w:unhideWhenUsed/>
    <w:rsid w:val="00551CB3"/>
    <w:pPr>
      <w:spacing w:after="100"/>
      <w:ind w:left="1200"/>
    </w:pPr>
    <w:rPr>
      <w:rFonts w:cstheme="minorBidi" w:eastAsiaTheme="minorHAnsi"/>
      <w:lang w:eastAsia="en-US"/>
    </w:rPr>
  </w:style>
  <w:style w:styleId="Sadraj7" w:type="paragraph">
    <w:name w:val="toc 7"/>
    <w:basedOn w:val="Normal"/>
    <w:next w:val="Normal"/>
    <w:autoRedefine/>
    <w:uiPriority w:val="99"/>
    <w:semiHidden/>
    <w:unhideWhenUsed/>
    <w:rsid w:val="00551CB3"/>
    <w:pPr>
      <w:spacing w:after="100"/>
      <w:ind w:left="1440"/>
    </w:pPr>
    <w:rPr>
      <w:rFonts w:cstheme="minorBidi" w:eastAsiaTheme="minorHAnsi"/>
      <w:lang w:eastAsia="en-US"/>
    </w:rPr>
  </w:style>
  <w:style w:styleId="Sadraj8" w:type="paragraph">
    <w:name w:val="toc 8"/>
    <w:basedOn w:val="Normal"/>
    <w:next w:val="Normal"/>
    <w:autoRedefine/>
    <w:uiPriority w:val="99"/>
    <w:semiHidden/>
    <w:unhideWhenUsed/>
    <w:rsid w:val="00551CB3"/>
    <w:pPr>
      <w:spacing w:after="100"/>
      <w:ind w:left="1680"/>
    </w:pPr>
    <w:rPr>
      <w:rFonts w:cstheme="minorBidi" w:eastAsiaTheme="minorHAnsi"/>
      <w:lang w:eastAsia="en-US"/>
    </w:rPr>
  </w:style>
  <w:style w:styleId="Sadraj9" w:type="paragraph">
    <w:name w:val="toc 9"/>
    <w:basedOn w:val="Normal"/>
    <w:next w:val="Normal"/>
    <w:autoRedefine/>
    <w:uiPriority w:val="99"/>
    <w:semiHidden/>
    <w:unhideWhenUsed/>
    <w:rsid w:val="00551CB3"/>
    <w:pPr>
      <w:spacing w:after="100"/>
      <w:ind w:left="1920"/>
    </w:pPr>
    <w:rPr>
      <w:rFonts w:cstheme="minorBidi" w:eastAsiaTheme="minorHAnsi"/>
      <w:lang w:eastAsia="en-US"/>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before="360"/>
    </w:pPr>
    <w:rPr>
      <w:rFonts w:cstheme="minorBidi" w:eastAsiaTheme="minorHAnsi"/>
      <w:sz w:val="20"/>
      <w:lang w:eastAsia="en-US"/>
    </w:rPr>
  </w:style>
  <w:style w:customStyle="true" w:styleId="IzvornikNacrt" w:type="paragraph">
    <w:name w:val="Izvornik_Nacrt"/>
    <w:basedOn w:val="Normal"/>
    <w:link w:val="IzvornikNacrtChar"/>
    <w:qFormat/>
    <w:rsid w:val="00EB0D4C"/>
    <w:pPr>
      <w:keepNext/>
    </w:pPr>
    <w:rPr>
      <w:rFonts w:eastAsia="Calibri"/>
      <w:noProof/>
      <w:color w:val="000000"/>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before="240"/>
    </w:pPr>
    <w:rPr>
      <w:rFonts w:eastAsia="Calibri"/>
      <w:noProof/>
      <w:color w:val="000000"/>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pPr>
    <w:rPr>
      <w:rFonts w:eastAsia="Calibri"/>
      <w:noProof/>
      <w:color w:val="000000"/>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before="360"/>
    </w:pPr>
    <w:rPr>
      <w:rFonts w:cstheme="minorBidi" w:eastAsiaTheme="minorHAnsi"/>
      <w:noProof/>
      <w:lang w:eastAsia="en-US"/>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pPr>
    <w:rPr>
      <w:rFonts w:eastAsia="Calibri"/>
      <w:color w:val="000000"/>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before="360"/>
    </w:pPr>
    <w:rPr>
      <w:rFonts w:eastAsia="Calibri"/>
      <w:noProof/>
      <w:color w:val="000000"/>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spacing w:after="240"/>
      <w:jc w:val="both"/>
    </w:pPr>
    <w:rPr>
      <w:rFonts w:cstheme="minorBidi" w:eastAsiaTheme="minorHAnsi"/>
      <w:lang w:eastAsia="en-US"/>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rPr>
      <w:rFonts w:cstheme="minorBidi" w:eastAsiaTheme="minorHAnsi"/>
      <w:lang w:eastAsia="en-US"/>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2143BE"/>
    <w:pPr>
      <w:spacing w:after="0" w:line="240" w:lineRule="auto"/>
    </w:pPr>
    <w:rPr>
      <w:rFonts w:ascii="Times New Roman" w:cs="Times New Roman" w:eastAsia="Times New Roman" w:hAnsi="Times New Roman"/>
      <w:sz w:val="24"/>
      <w:szCs w:val="24"/>
      <w:lang w:eastAsia="hr-HR" w:val="hr-HR"/>
    </w:rPr>
  </w:style>
  <w:style w:styleId="Naslov1" w:type="paragraph">
    <w:name w:val="heading 1"/>
    <w:basedOn w:val="Normal"/>
    <w:next w:val="Normal"/>
    <w:link w:val="Naslov1Char"/>
    <w:uiPriority w:val="9"/>
    <w:unhideWhenUsed/>
    <w:rsid w:val="004F27AE"/>
    <w:pPr>
      <w:keepNext/>
      <w:keepLines/>
      <w:spacing w:after="240" w:before="480"/>
      <w:outlineLvl w:val="0"/>
    </w:pPr>
    <w:rPr>
      <w:rFonts w:cstheme="majorBidi" w:eastAsiaTheme="majorEastAsia"/>
      <w:b/>
      <w:bCs/>
      <w:sz w:val="28"/>
      <w:szCs w:val="28"/>
      <w:lang w:eastAsia="en-US"/>
    </w:rPr>
  </w:style>
  <w:style w:styleId="Naslov2" w:type="paragraph">
    <w:name w:val="heading 2"/>
    <w:basedOn w:val="Normal"/>
    <w:next w:val="Normal"/>
    <w:link w:val="Naslov2Char"/>
    <w:uiPriority w:val="9"/>
    <w:unhideWhenUsed/>
    <w:rsid w:val="004F27AE"/>
    <w:pPr>
      <w:keepNext/>
      <w:spacing w:after="240"/>
      <w:outlineLvl w:val="1"/>
    </w:pPr>
    <w:rPr>
      <w:rFonts w:cstheme="minorBidi" w:eastAsiaTheme="minorHAnsi"/>
      <w:b/>
      <w:sz w:val="28"/>
      <w:szCs w:val="20"/>
      <w:lang w:eastAsia="en-US"/>
    </w:rPr>
  </w:style>
  <w:style w:styleId="Naslov3" w:type="paragraph">
    <w:name w:val="heading 3"/>
    <w:basedOn w:val="Normal"/>
    <w:next w:val="Normal"/>
    <w:link w:val="Naslov3Char"/>
    <w:uiPriority w:val="9"/>
    <w:unhideWhenUsed/>
    <w:rsid w:val="004F27AE"/>
    <w:pPr>
      <w:keepNext/>
      <w:keepLines/>
      <w:spacing w:after="240" w:before="200"/>
      <w:ind w:hanging="432" w:left="720"/>
      <w:outlineLvl w:val="2"/>
    </w:pPr>
    <w:rPr>
      <w:rFonts w:cstheme="majorBidi" w:eastAsiaTheme="majorEastAsia"/>
      <w:b/>
      <w:bCs/>
      <w:lang w:eastAsia="en-U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before="120"/>
      <w:ind w:hanging="432" w:left="1008"/>
      <w:outlineLvl w:val="4"/>
    </w:pPr>
    <w:rPr>
      <w:rFonts w:ascii="Arial" w:hAnsi="Arial"/>
      <w:noProof/>
      <w:kern w:val="22"/>
      <w:sz w:val="22"/>
    </w:rPr>
  </w:style>
  <w:style w:styleId="Naslov6" w:type="paragraph">
    <w:name w:val="heading 6"/>
    <w:basedOn w:val="Normal"/>
    <w:next w:val="Normal"/>
    <w:link w:val="Naslov6Char"/>
    <w:rsid w:val="00EB0D4C"/>
    <w:pPr>
      <w:spacing w:before="120"/>
      <w:ind w:hanging="432" w:left="1152"/>
      <w:outlineLvl w:val="5"/>
    </w:pPr>
    <w:rPr>
      <w:rFonts w:ascii="Arial" w:hAns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ascii="Arial" w:hAnsi="Arial"/>
      <w:noProof/>
      <w:kern w:val="20"/>
      <w:sz w:val="22"/>
    </w:rPr>
  </w:style>
  <w:style w:styleId="Naslov8" w:type="paragraph">
    <w:name w:val="heading 8"/>
    <w:basedOn w:val="Normal"/>
    <w:next w:val="Normal"/>
    <w:link w:val="Naslov8Char"/>
    <w:rsid w:val="00EB0D4C"/>
    <w:pPr>
      <w:spacing w:before="120"/>
      <w:ind w:hanging="432" w:left="1440"/>
      <w:outlineLvl w:val="7"/>
    </w:pPr>
    <w:rPr>
      <w:rFonts w:ascii="Arial" w:hAns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ascii="Arial"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rFonts w:cstheme="minorBidi" w:eastAsiaTheme="minorHAnsi"/>
      <w:caps/>
      <w:spacing w:val="100"/>
      <w:lang w:eastAsia="en-US"/>
    </w:rPr>
  </w:style>
  <w:style w:customStyle="1" w:styleId="abcNaslov0" w:type="paragraph">
    <w:name w:val="abc_Naslov"/>
    <w:basedOn w:val="Normal"/>
    <w:next w:val="NormaleSPIS"/>
    <w:link w:val="abcNaslovChar0"/>
    <w:qFormat/>
    <w:rsid w:val="00EB0D4C"/>
    <w:pPr>
      <w:keepNext/>
      <w:spacing w:after="480" w:before="480"/>
      <w:jc w:val="center"/>
    </w:pPr>
    <w:rPr>
      <w:rFonts w:cstheme="minorBidi" w:eastAsiaTheme="minorHAnsi"/>
      <w:spacing w:val="100"/>
      <w:lang w:eastAsia="en-US"/>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rFonts w:cstheme="minorBidi" w:eastAsiaTheme="minorHAnsi"/>
      <w:noProof/>
      <w:lang w:eastAsia="en-US"/>
    </w:rPr>
  </w:style>
  <w:style w:styleId="Tijeloteksta3" w:type="paragraph">
    <w:name w:val="Body Text 3"/>
    <w:basedOn w:val="Normal"/>
    <w:link w:val="Tijeloteksta3Char"/>
    <w:uiPriority w:val="99"/>
    <w:rsid w:val="00551CB3"/>
    <w:pPr>
      <w:numPr>
        <w:numId w:val="4"/>
      </w:numPr>
      <w:spacing w:after="120"/>
    </w:pPr>
    <w:rPr>
      <w:rFonts w:cstheme="minorBidi" w:eastAsiaTheme="minorHAnsi"/>
      <w:sz w:val="16"/>
      <w:szCs w:val="16"/>
      <w:lang w:eastAsia="en-US"/>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rPr>
      <w:rFonts w:cstheme="minorBidi" w:eastAsiaTheme="minorHAnsi"/>
      <w:lang w:eastAsia="en-US"/>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contextualSpacing/>
    </w:pPr>
    <w:rPr>
      <w:rFonts w:cstheme="minorBidi" w:eastAsiaTheme="minorHAnsi"/>
      <w:noProof/>
      <w:sz w:val="20"/>
      <w:lang w:eastAsia="en-US"/>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spacing w:after="240"/>
      <w:ind w:left="2880"/>
    </w:pPr>
    <w:rPr>
      <w:rFonts w:asciiTheme="majorHAnsi" w:cstheme="majorBidi" w:eastAsiaTheme="majorEastAsia" w:hAnsiTheme="majorHAnsi"/>
      <w:lang w:eastAsia="en-US"/>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jc w:val="right"/>
    </w:pPr>
    <w:rPr>
      <w:rFonts w:cstheme="minorBidi" w:eastAsiaTheme="minorHAnsi"/>
      <w:noProof/>
      <w:lang w:eastAsia="en-US"/>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rFonts w:cstheme="minorBidi" w:eastAsiaTheme="minorHAnsi"/>
      <w:noProof/>
      <w:lang w:eastAsia="en-US"/>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spacing w:after="480" w:before="480"/>
      <w:jc w:val="center"/>
    </w:pPr>
    <w:rPr>
      <w:rFonts w:cstheme="minorBidi" w:eastAsiaTheme="minorHAnsi"/>
      <w:b/>
      <w:caps/>
      <w:spacing w:val="100"/>
      <w:lang w:eastAsia="en-US"/>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spacing w:after="240"/>
      <w:ind w:left="720"/>
    </w:pPr>
    <w:rPr>
      <w:rFonts w:cstheme="minorBidi" w:eastAsiaTheme="minorHAnsi"/>
      <w:lang w:eastAsia="en-US"/>
    </w:r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before="400"/>
      <w:ind w:left="5387"/>
      <w:contextualSpacing/>
    </w:pPr>
    <w:rPr>
      <w:rFonts w:cstheme="minorBidi" w:eastAsiaTheme="minorHAnsi"/>
      <w:noProof/>
      <w:lang w:eastAsia="en-US"/>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rFonts w:cstheme="minorBidi" w:eastAsiaTheme="minorHAnsi"/>
      <w:noProof/>
      <w:lang w:eastAsia="en-US"/>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rPr>
      <w:rFonts w:cstheme="minorBidi" w:eastAsiaTheme="minorHAnsi"/>
      <w:lang w:eastAsia="en-US"/>
    </w:rPr>
  </w:style>
  <w:style w:customStyle="1" w:styleId="Zapisniar" w:type="paragraph">
    <w:name w:val="Zapisničar"/>
    <w:basedOn w:val="Normal"/>
    <w:next w:val="ZapisniarPotpis"/>
    <w:qFormat/>
    <w:rsid w:val="00EB0D4C"/>
    <w:pPr>
      <w:keepNext/>
      <w:spacing w:after="360" w:before="360"/>
      <w:ind w:left="5387"/>
    </w:pPr>
    <w:rPr>
      <w:rFonts w:cstheme="minorBidi" w:eastAsiaTheme="minorHAnsi"/>
      <w:noProof/>
      <w:lang w:eastAsia="en-US"/>
    </w:rPr>
  </w:style>
  <w:style w:customStyle="1" w:styleId="ZapisniarPotpis" w:type="paragraph">
    <w:name w:val="ZapisničarPotpis"/>
    <w:basedOn w:val="Normal"/>
    <w:next w:val="Normal"/>
    <w:qFormat/>
    <w:rsid w:val="00EB0D4C"/>
    <w:pPr>
      <w:spacing w:after="120" w:before="360"/>
      <w:ind w:left="5387"/>
    </w:pPr>
    <w:rPr>
      <w:rFonts w:cstheme="minorBidi" w:eastAsiaTheme="minorHAnsi"/>
      <w:noProof/>
      <w:lang w:eastAsia="en-US"/>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rPr>
      <w:rFonts w:cstheme="minorBidi" w:eastAsiaTheme="minorHAnsi"/>
      <w:lang w:eastAsia="en-US"/>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spacing w:after="240"/>
      <w:ind w:firstLine="567"/>
      <w:jc w:val="both"/>
    </w:pPr>
    <w:rPr>
      <w:rFonts w:cstheme="minorBidi"/>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before="360"/>
      <w:ind w:left="5387"/>
    </w:pPr>
    <w:rPr>
      <w:rFonts w:cstheme="minorBidi" w:eastAsiaTheme="minorHAnsi"/>
      <w:noProof/>
      <w:lang w:eastAsia="en-US"/>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lang w:eastAsia="en-US"/>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after="240"/>
    </w:pPr>
    <w:rPr>
      <w:rFonts w:cstheme="minorBidi" w:eastAsiaTheme="minorHAnsi"/>
      <w:lang w:eastAsia="en-US"/>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aliases w:val="uvlaka 3,uvlaka 2"/>
    <w:basedOn w:val="Normal"/>
    <w:link w:val="TijelotekstaChar"/>
    <w:unhideWhenUsed/>
    <w:rsid w:val="00551CB3"/>
    <w:pPr>
      <w:spacing w:after="120"/>
    </w:pPr>
    <w:rPr>
      <w:rFonts w:cstheme="minorBidi" w:eastAsiaTheme="minorHAnsi"/>
      <w:lang w:eastAsia="en-US"/>
    </w:rPr>
  </w:style>
  <w:style w:customStyle="1" w:styleId="TijelotekstaChar" w:type="character">
    <w:name w:val="Tijelo teksta Char"/>
    <w:aliases w:val="uvlaka 3 Char,uvlaka 2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rPr>
      <w:rFonts w:cstheme="minorBidi" w:eastAsiaTheme="minorHAnsi"/>
      <w:lang w:eastAsia="en-US"/>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rPr>
      <w:rFonts w:cstheme="minorBidi" w:eastAsiaTheme="minorHAnsi"/>
      <w:lang w:eastAsia="en-US"/>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rPr>
      <w:rFonts w:cstheme="minorBidi" w:eastAsiaTheme="minorHAnsi"/>
      <w:lang w:eastAsia="en-US"/>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rFonts w:cstheme="minorBidi" w:eastAsiaTheme="minorHAnsi"/>
      <w:sz w:val="16"/>
      <w:szCs w:val="16"/>
      <w:lang w:eastAsia="en-US"/>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after="240"/>
    </w:pPr>
    <w:rPr>
      <w:rFonts w:cstheme="minorBidi" w:eastAsiaTheme="minorHAnsi"/>
      <w:b/>
      <w:bCs/>
      <w:color w:themeColor="accent1" w:val="4F81BD"/>
      <w:sz w:val="18"/>
      <w:szCs w:val="18"/>
      <w:lang w:eastAsia="en-US"/>
    </w:rPr>
  </w:style>
  <w:style w:styleId="Zavretak" w:type="paragraph">
    <w:name w:val="Closing"/>
    <w:basedOn w:val="Normal"/>
    <w:link w:val="ZavretakChar"/>
    <w:uiPriority w:val="99"/>
    <w:semiHidden/>
    <w:unhideWhenUsed/>
    <w:rsid w:val="00551CB3"/>
    <w:pPr>
      <w:ind w:left="4252"/>
    </w:pPr>
    <w:rPr>
      <w:rFonts w:cstheme="minorBidi" w:eastAsiaTheme="minorHAnsi"/>
      <w:lang w:eastAsia="en-US"/>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after="240"/>
    </w:pPr>
    <w:rPr>
      <w:rFonts w:cstheme="minorBidi" w:eastAsiaTheme="minorHAnsi"/>
      <w:sz w:val="20"/>
      <w:szCs w:val="20"/>
      <w:lang w:eastAsia="en-US"/>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rFonts w:cstheme="minorBidi" w:eastAsiaTheme="minorHAnsi"/>
      <w:sz w:val="20"/>
      <w:szCs w:val="20"/>
      <w:lang w:eastAsia="en-US"/>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rPr>
      <w:rFonts w:asciiTheme="majorHAnsi" w:cstheme="majorBidi" w:eastAsiaTheme="majorEastAsia" w:hAnsiTheme="majorHAnsi"/>
      <w:sz w:val="20"/>
      <w:szCs w:val="20"/>
      <w:lang w:eastAsia="en-US"/>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rFonts w:cstheme="minorBidi" w:eastAsiaTheme="minorHAnsi"/>
      <w:sz w:val="20"/>
      <w:szCs w:val="20"/>
      <w:lang w:eastAsia="en-US"/>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rPr>
      <w:rFonts w:cstheme="minorBidi" w:eastAsiaTheme="minorHAnsi"/>
      <w:lang w:eastAsia="en-US"/>
    </w:rPr>
  </w:style>
  <w:style w:styleId="Indeks2" w:type="paragraph">
    <w:name w:val="index 2"/>
    <w:basedOn w:val="Normal"/>
    <w:next w:val="Normal"/>
    <w:autoRedefine/>
    <w:uiPriority w:val="99"/>
    <w:semiHidden/>
    <w:unhideWhenUsed/>
    <w:rsid w:val="00551CB3"/>
    <w:pPr>
      <w:ind w:hanging="240" w:left="480"/>
    </w:pPr>
    <w:rPr>
      <w:rFonts w:cstheme="minorBidi" w:eastAsiaTheme="minorHAnsi"/>
      <w:lang w:eastAsia="en-US"/>
    </w:rPr>
  </w:style>
  <w:style w:styleId="Indeks3" w:type="paragraph">
    <w:name w:val="index 3"/>
    <w:basedOn w:val="Normal"/>
    <w:next w:val="Normal"/>
    <w:autoRedefine/>
    <w:uiPriority w:val="99"/>
    <w:semiHidden/>
    <w:unhideWhenUsed/>
    <w:rsid w:val="00551CB3"/>
    <w:pPr>
      <w:ind w:hanging="240" w:left="720"/>
    </w:pPr>
    <w:rPr>
      <w:rFonts w:cstheme="minorBidi" w:eastAsiaTheme="minorHAnsi"/>
      <w:lang w:eastAsia="en-US"/>
    </w:rPr>
  </w:style>
  <w:style w:styleId="Indeks4" w:type="paragraph">
    <w:name w:val="index 4"/>
    <w:basedOn w:val="Normal"/>
    <w:next w:val="Normal"/>
    <w:autoRedefine/>
    <w:uiPriority w:val="99"/>
    <w:semiHidden/>
    <w:unhideWhenUsed/>
    <w:rsid w:val="00551CB3"/>
    <w:pPr>
      <w:ind w:hanging="240" w:left="960"/>
    </w:pPr>
    <w:rPr>
      <w:rFonts w:cstheme="minorBidi" w:eastAsiaTheme="minorHAnsi"/>
      <w:lang w:eastAsia="en-US"/>
    </w:rPr>
  </w:style>
  <w:style w:styleId="Indeks5" w:type="paragraph">
    <w:name w:val="index 5"/>
    <w:basedOn w:val="Normal"/>
    <w:next w:val="Normal"/>
    <w:autoRedefine/>
    <w:uiPriority w:val="99"/>
    <w:semiHidden/>
    <w:unhideWhenUsed/>
    <w:rsid w:val="00551CB3"/>
    <w:pPr>
      <w:ind w:hanging="240" w:left="1200"/>
    </w:pPr>
    <w:rPr>
      <w:rFonts w:cstheme="minorBidi" w:eastAsiaTheme="minorHAnsi"/>
      <w:lang w:eastAsia="en-US"/>
    </w:rPr>
  </w:style>
  <w:style w:styleId="Indeks6" w:type="paragraph">
    <w:name w:val="index 6"/>
    <w:basedOn w:val="Normal"/>
    <w:next w:val="Normal"/>
    <w:autoRedefine/>
    <w:uiPriority w:val="99"/>
    <w:semiHidden/>
    <w:unhideWhenUsed/>
    <w:rsid w:val="00551CB3"/>
    <w:pPr>
      <w:ind w:hanging="240" w:left="1440"/>
    </w:pPr>
    <w:rPr>
      <w:rFonts w:cstheme="minorBidi" w:eastAsiaTheme="minorHAnsi"/>
      <w:lang w:eastAsia="en-US"/>
    </w:rPr>
  </w:style>
  <w:style w:styleId="Indeks7" w:type="paragraph">
    <w:name w:val="index 7"/>
    <w:basedOn w:val="Normal"/>
    <w:next w:val="Normal"/>
    <w:autoRedefine/>
    <w:uiPriority w:val="99"/>
    <w:semiHidden/>
    <w:unhideWhenUsed/>
    <w:rsid w:val="00551CB3"/>
    <w:pPr>
      <w:ind w:hanging="240" w:left="1680"/>
    </w:pPr>
    <w:rPr>
      <w:rFonts w:cstheme="minorBidi" w:eastAsiaTheme="minorHAnsi"/>
      <w:lang w:eastAsia="en-US"/>
    </w:rPr>
  </w:style>
  <w:style w:styleId="Indeks8" w:type="paragraph">
    <w:name w:val="index 8"/>
    <w:basedOn w:val="Normal"/>
    <w:next w:val="Normal"/>
    <w:autoRedefine/>
    <w:uiPriority w:val="99"/>
    <w:semiHidden/>
    <w:unhideWhenUsed/>
    <w:rsid w:val="00551CB3"/>
    <w:pPr>
      <w:ind w:hanging="240" w:left="1920"/>
    </w:pPr>
    <w:rPr>
      <w:rFonts w:cstheme="minorBidi" w:eastAsiaTheme="minorHAnsi"/>
      <w:lang w:eastAsia="en-US"/>
    </w:rPr>
  </w:style>
  <w:style w:styleId="Indeks9" w:type="paragraph">
    <w:name w:val="index 9"/>
    <w:basedOn w:val="Normal"/>
    <w:next w:val="Normal"/>
    <w:autoRedefine/>
    <w:uiPriority w:val="99"/>
    <w:semiHidden/>
    <w:unhideWhenUsed/>
    <w:rsid w:val="00551CB3"/>
    <w:pPr>
      <w:ind w:hanging="240" w:left="2160"/>
    </w:pPr>
    <w:rPr>
      <w:rFonts w:cstheme="minorBidi" w:eastAsiaTheme="minorHAnsi"/>
      <w:lang w:eastAsia="en-US"/>
    </w:rPr>
  </w:style>
  <w:style w:styleId="Naslovindeksa" w:type="paragraph">
    <w:name w:val="index heading"/>
    <w:basedOn w:val="Normal"/>
    <w:next w:val="Indeks1"/>
    <w:uiPriority w:val="99"/>
    <w:semiHidden/>
    <w:unhideWhenUsed/>
    <w:rsid w:val="00551CB3"/>
    <w:pPr>
      <w:spacing w:after="240"/>
    </w:pPr>
    <w:rPr>
      <w:rFonts w:asciiTheme="majorHAnsi" w:cstheme="majorBidi" w:eastAsiaTheme="majorEastAsia" w:hAnsiTheme="majorHAnsi"/>
      <w:b/>
      <w:bCs/>
      <w:lang w:eastAsia="en-U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spacing w:after="240"/>
    </w:pPr>
    <w:rPr>
      <w:rFonts w:cstheme="minorBidi" w:eastAsiaTheme="minorHAnsi"/>
      <w:lang w:eastAsia="en-US"/>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ind w:left="4252"/>
    </w:pPr>
    <w:rPr>
      <w:rFonts w:cstheme="minorBidi" w:eastAsiaTheme="minorHAnsi"/>
      <w:lang w:eastAsia="en-US"/>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ind w:hanging="240" w:left="240"/>
    </w:pPr>
    <w:rPr>
      <w:rFonts w:cstheme="minorBidi" w:eastAsiaTheme="minorHAnsi"/>
      <w:lang w:eastAsia="en-US"/>
    </w:rPr>
  </w:style>
  <w:style w:styleId="Tablicaslika" w:type="paragraph">
    <w:name w:val="table of figures"/>
    <w:basedOn w:val="Normal"/>
    <w:next w:val="Normal"/>
    <w:uiPriority w:val="99"/>
    <w:semiHidden/>
    <w:unhideWhenUsed/>
    <w:rsid w:val="00551CB3"/>
    <w:rPr>
      <w:rFonts w:cstheme="minorBidi" w:eastAsiaTheme="minorHAnsi"/>
      <w:lang w:eastAsia="en-US"/>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after="240" w:before="120"/>
    </w:pPr>
    <w:rPr>
      <w:rFonts w:asciiTheme="majorHAnsi" w:cstheme="majorBidi" w:eastAsiaTheme="majorEastAsia" w:hAnsiTheme="majorHAnsi"/>
      <w:b/>
      <w:bCs/>
      <w:lang w:eastAsia="en-US"/>
    </w:rPr>
  </w:style>
  <w:style w:styleId="Sadraj1" w:type="paragraph">
    <w:name w:val="toc 1"/>
    <w:basedOn w:val="Normal"/>
    <w:next w:val="Normal"/>
    <w:autoRedefine/>
    <w:uiPriority w:val="99"/>
    <w:semiHidden/>
    <w:unhideWhenUsed/>
    <w:rsid w:val="00551CB3"/>
    <w:pPr>
      <w:spacing w:after="100"/>
    </w:pPr>
    <w:rPr>
      <w:rFonts w:cstheme="minorBidi" w:eastAsiaTheme="minorHAnsi"/>
      <w:lang w:eastAsia="en-US"/>
    </w:rPr>
  </w:style>
  <w:style w:styleId="Sadraj2" w:type="paragraph">
    <w:name w:val="toc 2"/>
    <w:basedOn w:val="Normal"/>
    <w:next w:val="Normal"/>
    <w:autoRedefine/>
    <w:uiPriority w:val="99"/>
    <w:semiHidden/>
    <w:unhideWhenUsed/>
    <w:rsid w:val="00551CB3"/>
    <w:pPr>
      <w:spacing w:after="100"/>
      <w:ind w:left="240"/>
    </w:pPr>
    <w:rPr>
      <w:rFonts w:cstheme="minorBidi" w:eastAsiaTheme="minorHAnsi"/>
      <w:lang w:eastAsia="en-US"/>
    </w:rPr>
  </w:style>
  <w:style w:styleId="Sadraj3" w:type="paragraph">
    <w:name w:val="toc 3"/>
    <w:basedOn w:val="Normal"/>
    <w:next w:val="Normal"/>
    <w:autoRedefine/>
    <w:uiPriority w:val="99"/>
    <w:semiHidden/>
    <w:unhideWhenUsed/>
    <w:rsid w:val="00551CB3"/>
    <w:pPr>
      <w:spacing w:after="100"/>
      <w:ind w:left="480"/>
    </w:pPr>
    <w:rPr>
      <w:rFonts w:cstheme="minorBidi" w:eastAsiaTheme="minorHAnsi"/>
      <w:lang w:eastAsia="en-US"/>
    </w:rPr>
  </w:style>
  <w:style w:styleId="Sadraj4" w:type="paragraph">
    <w:name w:val="toc 4"/>
    <w:basedOn w:val="Normal"/>
    <w:next w:val="Normal"/>
    <w:autoRedefine/>
    <w:uiPriority w:val="99"/>
    <w:semiHidden/>
    <w:unhideWhenUsed/>
    <w:rsid w:val="00551CB3"/>
    <w:pPr>
      <w:spacing w:after="100"/>
      <w:ind w:left="720"/>
    </w:pPr>
    <w:rPr>
      <w:rFonts w:cstheme="minorBidi" w:eastAsiaTheme="minorHAnsi"/>
      <w:lang w:eastAsia="en-US"/>
    </w:rPr>
  </w:style>
  <w:style w:styleId="Sadraj5" w:type="paragraph">
    <w:name w:val="toc 5"/>
    <w:basedOn w:val="Normal"/>
    <w:next w:val="Normal"/>
    <w:autoRedefine/>
    <w:uiPriority w:val="99"/>
    <w:semiHidden/>
    <w:unhideWhenUsed/>
    <w:rsid w:val="00551CB3"/>
    <w:pPr>
      <w:spacing w:after="100"/>
      <w:ind w:left="960"/>
    </w:pPr>
    <w:rPr>
      <w:rFonts w:cstheme="minorBidi" w:eastAsiaTheme="minorHAnsi"/>
      <w:lang w:eastAsia="en-US"/>
    </w:rPr>
  </w:style>
  <w:style w:styleId="Sadraj6" w:type="paragraph">
    <w:name w:val="toc 6"/>
    <w:basedOn w:val="Normal"/>
    <w:next w:val="Normal"/>
    <w:autoRedefine/>
    <w:uiPriority w:val="99"/>
    <w:semiHidden/>
    <w:unhideWhenUsed/>
    <w:rsid w:val="00551CB3"/>
    <w:pPr>
      <w:spacing w:after="100"/>
      <w:ind w:left="1200"/>
    </w:pPr>
    <w:rPr>
      <w:rFonts w:cstheme="minorBidi" w:eastAsiaTheme="minorHAnsi"/>
      <w:lang w:eastAsia="en-US"/>
    </w:rPr>
  </w:style>
  <w:style w:styleId="Sadraj7" w:type="paragraph">
    <w:name w:val="toc 7"/>
    <w:basedOn w:val="Normal"/>
    <w:next w:val="Normal"/>
    <w:autoRedefine/>
    <w:uiPriority w:val="99"/>
    <w:semiHidden/>
    <w:unhideWhenUsed/>
    <w:rsid w:val="00551CB3"/>
    <w:pPr>
      <w:spacing w:after="100"/>
      <w:ind w:left="1440"/>
    </w:pPr>
    <w:rPr>
      <w:rFonts w:cstheme="minorBidi" w:eastAsiaTheme="minorHAnsi"/>
      <w:lang w:eastAsia="en-US"/>
    </w:rPr>
  </w:style>
  <w:style w:styleId="Sadraj8" w:type="paragraph">
    <w:name w:val="toc 8"/>
    <w:basedOn w:val="Normal"/>
    <w:next w:val="Normal"/>
    <w:autoRedefine/>
    <w:uiPriority w:val="99"/>
    <w:semiHidden/>
    <w:unhideWhenUsed/>
    <w:rsid w:val="00551CB3"/>
    <w:pPr>
      <w:spacing w:after="100"/>
      <w:ind w:left="1680"/>
    </w:pPr>
    <w:rPr>
      <w:rFonts w:cstheme="minorBidi" w:eastAsiaTheme="minorHAnsi"/>
      <w:lang w:eastAsia="en-US"/>
    </w:rPr>
  </w:style>
  <w:style w:styleId="Sadraj9" w:type="paragraph">
    <w:name w:val="toc 9"/>
    <w:basedOn w:val="Normal"/>
    <w:next w:val="Normal"/>
    <w:autoRedefine/>
    <w:uiPriority w:val="99"/>
    <w:semiHidden/>
    <w:unhideWhenUsed/>
    <w:rsid w:val="00551CB3"/>
    <w:pPr>
      <w:spacing w:after="100"/>
      <w:ind w:left="1920"/>
    </w:pPr>
    <w:rPr>
      <w:rFonts w:cstheme="minorBidi" w:eastAsiaTheme="minorHAnsi"/>
      <w:lang w:eastAsia="en-US"/>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before="360"/>
    </w:pPr>
    <w:rPr>
      <w:rFonts w:cstheme="minorBidi" w:eastAsiaTheme="minorHAnsi"/>
      <w:sz w:val="20"/>
      <w:lang w:eastAsia="en-US"/>
    </w:rPr>
  </w:style>
  <w:style w:customStyle="1" w:styleId="IzvornikNacrt" w:type="paragraph">
    <w:name w:val="Izvornik_Nacrt"/>
    <w:basedOn w:val="Normal"/>
    <w:link w:val="IzvornikNacrtChar"/>
    <w:qFormat/>
    <w:rsid w:val="00EB0D4C"/>
    <w:pPr>
      <w:keepNext/>
    </w:pPr>
    <w:rPr>
      <w:rFonts w:eastAsia="Calibri"/>
      <w:noProof/>
      <w:color w:val="000000"/>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before="240"/>
    </w:pPr>
    <w:rPr>
      <w:rFonts w:eastAsia="Calibri"/>
      <w:noProof/>
      <w:color w:val="000000"/>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pPr>
    <w:rPr>
      <w:rFonts w:eastAsia="Calibri"/>
      <w:noProof/>
      <w:color w:val="000000"/>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before="360"/>
    </w:pPr>
    <w:rPr>
      <w:rFonts w:cstheme="minorBidi" w:eastAsiaTheme="minorHAnsi"/>
      <w:noProof/>
      <w:lang w:eastAsia="en-US"/>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pPr>
    <w:rPr>
      <w:rFonts w:eastAsia="Calibri"/>
      <w:color w:val="000000"/>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before="360"/>
    </w:pPr>
    <w:rPr>
      <w:rFonts w:eastAsia="Calibri"/>
      <w:noProof/>
      <w:color w:val="000000"/>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spacing w:after="240"/>
      <w:jc w:val="both"/>
    </w:pPr>
    <w:rPr>
      <w:rFonts w:cstheme="minorBidi" w:eastAsiaTheme="minorHAnsi"/>
      <w:lang w:eastAsia="en-US"/>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rPr>
      <w:rFonts w:cstheme="minorBidi" w:eastAsiaTheme="minorHAnsi"/>
      <w:lang w:eastAsia="en-US"/>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18996">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travnja 2019.</izvorni_sadrzaj>
    <derivirana_varijabla naziv="DomainObject.DatumDonosenjaOdluke_1">19.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ISPRAVKA TABLICE ISPITANIH TRAŽBINA</izvorni_sadrzaj>
    <derivirana_varijabla naziv="DomainObject.Primjedba_1">ISPRAVKA TABLICE ISPITANIH TRAŽBINA</derivirana_varijabla>
  </DomainObject.Primjedba>
  <DomainObject.Oznaka>
    <izvorni_sadrzaj>St-1505/2016-69</izvorni_sadrzaj>
    <derivirana_varijabla naziv="DomainObject.Oznaka_1">St-1505/2016-69</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1505</izvorni_sadrzaj>
    <derivirana_varijabla naziv="DomainObject.Predmet.Broj_1">1505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lipnja 2016.</izvorni_sadrzaj>
    <derivirana_varijabla naziv="DomainObject.Predmet.DatumOsnivanja_1">27.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St-1505/2016</izvorni_sadrzaj>
    <derivirana_varijabla naziv="DomainObject.Predmet.OznakaBroj_1">St-1505/2016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ECKER CHARTER d.o.o. turistička agencija i usluge u nautičkom turizmu u stečaju</izvorni_sadrzaj>
    <derivirana_varijabla naziv="DomainObject.Predmet.ProtustrankaFormated_1">  ECKER CHARTER d.o.o. turistička agencija i usluge u nautičkom turizmu u stečaju</derivirana_varijabla>
  </DomainObject.Predmet.ProtustrankaFormated>
  <DomainObject.Predmet.ProtustrankaFormatedOIB>
    <izvorni_sadrzaj>  ECKER CHARTER d.o.o. turistička agencija i usluge u nautičkom turizmu u stečaju, OIB 50444983883</izvorni_sadrzaj>
    <derivirana_varijabla naziv="DomainObject.Predmet.ProtustrankaFormatedOIB_1">  ECKER CHARTER d.o.o. turistička agencija i usluge u nautičkom turizmu u stečaju, OIB 50444983883</derivirana_varijabla>
  </DomainObject.Predmet.ProtustrankaFormatedOIB>
  <DomainObject.Predmet.ProtustrankaFormatedWithAdress>
    <izvorni_sadrzaj> ECKER CHARTER d.o.o. turistička agencija i usluge u nautičkom turizmu u stečaju, Put Čumbrijana/bb, 21220 Trogir</izvorni_sadrzaj>
    <derivirana_varijabla naziv="DomainObject.Predmet.ProtustrankaFormatedWithAdress_1"> ECKER CHARTER d.o.o. turistička agencija i usluge u nautičkom turizmu u stečaju, Put Čumbrijana/bb, 21220 Trogir</derivirana_varijabla>
  </DomainObject.Predmet.ProtustrankaFormatedWithAdress>
  <DomainObject.Predmet.ProtustrankaFormatedWithAdressOIB>
    <izvorni_sadrzaj> ECKER CHARTER d.o.o. turistička agencija i usluge u nautičkom turizmu u stečaju, OIB 50444983883, Put Čumbrijana/bb, 21220 Trogir</izvorni_sadrzaj>
    <derivirana_varijabla naziv="DomainObject.Predmet.ProtustrankaFormatedWithAdressOIB_1"> ECKER CHARTER d.o.o. turistička agencija i usluge u nautičkom turizmu u stečaju, OIB 50444983883, Put Čumbrijana/bb, 21220 Trogir</derivirana_varijabla>
  </DomainObject.Predmet.ProtustrankaFormatedWithAdressOIB>
  <DomainObject.Predmet.ProtustrankaWithAdress>
    <izvorni_sadrzaj>ECKER CHARTER d.o.o. turistička agencija i usluge u nautičkom turizmu u stečaju Put Čumbrijana/bb, 21220 Trogir</izvorni_sadrzaj>
    <derivirana_varijabla naziv="DomainObject.Predmet.ProtustrankaWithAdress_1">ECKER CHARTER d.o.o. turistička agencija i usluge u nautičkom turizmu u stečaju Put Čumbrijana/bb, 21220 Trogir</derivirana_varijabla>
  </DomainObject.Predmet.ProtustrankaWithAdress>
  <DomainObject.Predmet.ProtustrankaWithAdressOIB>
    <izvorni_sadrzaj>ECKER CHARTER d.o.o. turistička agencija i usluge u nautičkom turizmu u stečaju, OIB 50444983883, Put Čumbrijana/bb, 21220 Trogir</izvorni_sadrzaj>
    <derivirana_varijabla naziv="DomainObject.Predmet.ProtustrankaWithAdressOIB_1">ECKER CHARTER d.o.o. turistička agencija i usluge u nautičkom turizmu u stečaju, OIB 50444983883, Put Čumbrijana/bb, 21220 Trogir</derivirana_varijabla>
  </DomainObject.Predmet.ProtustrankaWithAdressOIB>
  <DomainObject.Predmet.ProtustrankaNazivFormated>
    <izvorni_sadrzaj>ECKER CHARTER d.o.o. turistička agencija i usluge u nautičkom turizmu u stečaju</izvorni_sadrzaj>
    <derivirana_varijabla naziv="DomainObject.Predmet.ProtustrankaNazivFormated_1">ECKER CHARTER d.o.o. turistička agencija i usluge u nautičkom turizmu u stečaju</derivirana_varijabla>
  </DomainObject.Predmet.ProtustrankaNazivFormated>
  <DomainObject.Predmet.ProtustrankaNazivFormatedOIB>
    <izvorni_sadrzaj>ECKER CHARTER d.o.o. turistička agencija i usluge u nautičkom turizmu u stečaju, OIB 50444983883</izvorni_sadrzaj>
    <derivirana_varijabla naziv="DomainObject.Predmet.ProtustrankaNazivFormatedOIB_1">ECKER CHARTER d.o.o. turistička agencija i usluge u nautičkom turizmu u stečaju, OIB 50444983883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10,11</izvorni_sadrzaj>
    <derivirana_varijabla naziv="DomainObject.Predmet.Referada.Prostorija.Oznaka_1">10,11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1658838.93</izvorni_sadrzaj>
    <derivirana_varijabla naziv="DomainObject.Predmet.TrenutnaVrijednost_1">1658838.93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ECKER CHARTER d.o.o. turistička agencija i usluge u nautičkom turizmu u stečaju</item>
    </izvorni_sadrzaj>
    <derivirana_varijabla naziv="DomainObject.Predmet.ProtuStrankaListFormated_1">
      <item>ECKER CHARTER d.o.o. turistička agencija i usluge u nautičkom turizmu u stečaju</item>
    </derivirana_varijabla>
  </DomainObject.Predmet.ProtuStrankaListFormated>
  <DomainObject.Predmet.ProtuStrankaListFormatedOIB>
    <izvorni_sadrzaj>
      <item>ECKER CHARTER d.o.o. turistička agencija i usluge u nautičkom turizmu u stečaju, OIB 50444983883</item>
    </izvorni_sadrzaj>
    <derivirana_varijabla naziv="DomainObject.Predmet.ProtuStrankaListFormatedOIB_1">
      <item>ECKER CHARTER d.o.o. turistička agencija i usluge u nautičkom turizmu u stečaju, OIB 50444983883</item>
    </derivirana_varijabla>
  </DomainObject.Predmet.ProtuStrankaListFormatedOIB>
  <DomainObject.Predmet.ProtuStrankaListFormatedWithAdress>
    <izvorni_sadrzaj>
      <item>ECKER CHARTER d.o.o. turistička agencija i usluge u nautičkom turizmu u stečaju, Put Čumbrijana/bb, 21220 Trogir</item>
    </izvorni_sadrzaj>
    <derivirana_varijabla naziv="DomainObject.Predmet.ProtuStrankaListFormatedWithAdress_1">
      <item>ECKER CHARTER d.o.o. turistička agencija i usluge u nautičkom turizmu u stečaju, Put Čumbrijana/bb, 21220 Trogir</item>
    </derivirana_varijabla>
  </DomainObject.Predmet.ProtuStrankaListFormatedWithAdress>
  <DomainObject.Predmet.ProtuStrankaListFormatedWithAdressOIB>
    <izvorni_sadrzaj>
      <item>ECKER CHARTER d.o.o. turistička agencija i usluge u nautičkom turizmu u stečaju, OIB 50444983883, Put Čumbrijana/bb, 21220 Trogir</item>
    </izvorni_sadrzaj>
    <derivirana_varijabla naziv="DomainObject.Predmet.ProtuStrankaListFormatedWithAdressOIB_1">
      <item>ECKER CHARTER d.o.o. turistička agencija i usluge u nautičkom turizmu u stečaju, OIB 50444983883, Put Čumbrijana/bb, 21220 Trogir</item>
    </derivirana_varijabla>
  </DomainObject.Predmet.ProtuStrankaListFormatedWithAdressOIB>
  <DomainObject.Predmet.ProtuStrankaListNazivFormated>
    <izvorni_sadrzaj>
      <item>ECKER CHARTER d.o.o. turistička agencija i usluge u nautičkom turizmu u stečaju</item>
    </izvorni_sadrzaj>
    <derivirana_varijabla naziv="DomainObject.Predmet.ProtuStrankaListNazivFormated_1">
      <item>ECKER CHARTER d.o.o. turistička agencija i usluge u nautičkom turizmu u stečaju</item>
    </derivirana_varijabla>
  </DomainObject.Predmet.ProtuStrankaListNazivFormated>
  <DomainObject.Predmet.ProtuStrankaListNazivFormatedOIB>
    <izvorni_sadrzaj>
      <item>ECKER CHARTER d.o.o. turistička agencija i usluge u nautičkom turizmu u stečaju, OIB 50444983883</item>
    </izvorni_sadrzaj>
    <derivirana_varijabla naziv="DomainObject.Predmet.ProtuStrankaListNazivFormatedOIB_1">
      <item>ECKER CHARTER d.o.o. turistička agencija i usluge u nautičkom turizmu u stečaju, OIB 50444983883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travnja 2019.</izvorni_sadrzaj>
    <derivirana_varijabla naziv="DomainObject.Datum_1">19. travnja 2019.</derivirana_varijabla>
  </DomainObject.Datum>
  <DomainObject.PoslovniBrojDokumenta>
    <izvorni_sadrzaj>St-1505/2016-69</izvorni_sadrzaj>
    <derivirana_varijabla naziv="DomainObject.PoslovniBrojDokumenta_1">St-1505/2016-69</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ECKER CHARTER d.o.o. turistička agencija i usluge u nautičkom turizmu u stečaju</izvorni_sadrzaj>
    <derivirana_varijabla naziv="DomainObject.Predmet.ProtustrankaIDrugi_1">ECKER CHARTER d.o.o. turistička agencija i usluge u nautičkom turizmu u stečaju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ECKER CHARTER d.o.o. turistička agencija i usluge u nautičkom turizmu u stečaju, OIB 50444983883, Put Čumbrijana/bb, 21220 Trogir</izvorni_sadrzaj>
    <derivirana_varijabla naziv="DomainObject.Predmet.ProtustrankaIDrugiAdressOIB_1">ECKER CHARTER d.o.o. turistička agencija i usluge u nautičkom turizmu u stečaju, OIB 50444983883, Put Čumbrijana/bb, 21220 Trogir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ECKER CHARTER d.o.o. turistička agencija i usluge u nautičkom turizmu u stečaju</item>
      <item>FINANCIJSKA AGENCIJA, RC SPLIT</item>
    </izvorni_sadrzaj>
    <derivirana_varijabla naziv="DomainObject.Predmet.SudioniciListNaziv_1">
      <item>ECKER CHARTER d.o.o. turistička agencija i usluge u nautičkom turizmu u stečaju</item>
      <item>FINANCIJSKA AGENCIJA, RC SPLIT</item>
    </derivirana_varijabla>
  </DomainObject.Predmet.SudioniciListNaziv>
  <DomainObject.Predmet.SudioniciListAdressOIB>
    <izvorni_sadrzaj>
      <item>ECKER CHARTER d.o.o. turistička agencija i usluge u nautičkom turizmu u stečaju, OIB 50444983883, Put Čumbrijana/bb,21220 Trogir</item>
      <item>FINANCIJSKA AGENCIJA, RC SPLIT, OIB 85821130368, Mažuranićevo šetalište 24 b,21000 Split</item>
    </izvorni_sadrzaj>
    <derivirana_varijabla naziv="DomainObject.Predmet.SudioniciListAdressOIB_1">
      <item>ECKER CHARTER d.o.o. turistička agencija i usluge u nautičkom turizmu u stečaju, OIB 50444983883, Put Čumbrijana/bb,21220 Trogir</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2F0D6A8-A1FB-467F-A61B-29E3CC3A943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1525</properties:Words>
  <properties:Characters>8515</properties:Characters>
  <properties:Lines>179</properties:Lines>
  <properties:Paragraphs>55</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10678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2019-04-19T07:57:00Z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St-1505/2016-69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