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73426" w14:paraId="4973426" w:rsidRDefault="00BA0430" w:rsidP="00BA0430" w:rsidR="00BA0430" w:rsidRPr="00DF0E2B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 w:rsidRPr="00DF0E2B">
        <w:rPr>
          <w:b/>
          <w:noProof/>
          <w:szCs w:val="24"/>
        </w:rPr>
        <w:drawing>
          <wp:inline distR="0" distL="0" distB="0" distT="0">
            <wp:extent cy="666750" cx="596900"/>
            <wp:effectExtent b="0" r="0" t="0" l="0"/>
            <wp:docPr name="Slika 317" id="317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A0430" w:rsidP="00BA0430" w:rsidR="00BA0430" w:rsidRPr="00DF0E2B">
      <w:pPr>
        <w:ind w:firstLine="708"/>
        <w:rPr>
          <w:b/>
          <w:szCs w:val="24"/>
        </w:rPr>
      </w:pP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 xml:space="preserve">REPUBLIKA HRVATSKA </w:t>
      </w: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 xml:space="preserve">TRGOVAČKI SUD U PAZINU </w:t>
      </w:r>
    </w:p>
    <w:p w:rsidRDefault="00BA0430" w:rsidP="00BA0430" w:rsidR="00DF0E2B" w:rsidRPr="00DF0E2B">
      <w:pPr>
        <w:rPr>
          <w:b/>
          <w:szCs w:val="24"/>
        </w:rPr>
      </w:pP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</w:p>
    <w:p w:rsidRDefault="00DF0E2B" w:rsidP="00DF0E2B" w:rsidR="00DF0E2B" w:rsidRPr="00DF0E2B">
      <w:pPr>
        <w:rPr>
          <w:b/>
          <w:szCs w:val="24"/>
        </w:rPr>
      </w:pPr>
      <w:r w:rsidRPr="00DF0E2B">
        <w:rPr>
          <w:b/>
          <w:szCs w:val="24"/>
        </w:rPr>
        <w:t>URED PREDSJEDNIKA SUDA</w:t>
      </w:r>
    </w:p>
    <w:p w:rsidRDefault="00DF0E2B" w:rsidP="00DF0E2B" w:rsidR="00DF0E2B" w:rsidRPr="00DF0E2B">
      <w:pPr>
        <w:tabs>
          <w:tab w:pos="426" w:val="left"/>
        </w:tabs>
        <w:rPr>
          <w:szCs w:val="24"/>
        </w:rPr>
      </w:pPr>
      <w:r w:rsidRPr="00DF0E2B">
        <w:rPr>
          <w:szCs w:val="24"/>
        </w:rPr>
        <w:t>Broj:  31 Su-10/16</w:t>
      </w:r>
      <w:r w:rsidR="00413EAA">
        <w:rPr>
          <w:szCs w:val="24"/>
        </w:rPr>
        <w:t>-4</w:t>
      </w:r>
    </w:p>
    <w:p w:rsidRDefault="00DF0E2B" w:rsidP="00DF0E2B" w:rsidR="00DF0E2B" w:rsidRPr="00DF0E2B">
      <w:pPr>
        <w:rPr>
          <w:szCs w:val="24"/>
        </w:rPr>
      </w:pPr>
      <w:r w:rsidRPr="00DF0E2B">
        <w:rPr>
          <w:szCs w:val="24"/>
        </w:rPr>
        <w:t xml:space="preserve">Pazin,  19. travnja 2016. </w:t>
      </w: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</w:p>
    <w:p w:rsidRDefault="00BA0430" w:rsidP="00BA0430" w:rsidR="00BA0430" w:rsidRPr="00DF0E2B">
      <w:pPr>
        <w:rPr>
          <w:b/>
          <w:szCs w:val="24"/>
        </w:rPr>
      </w:pPr>
    </w:p>
    <w:p w:rsidRDefault="00BA0430" w:rsidP="00BA0430" w:rsidR="00BA0430" w:rsidRPr="00DF0E2B">
      <w:pPr>
        <w:rPr>
          <w:b/>
          <w:szCs w:val="24"/>
        </w:rPr>
      </w:pPr>
    </w:p>
    <w:p w:rsidRDefault="00BA0430" w:rsidP="00BA0430" w:rsidR="00DF0E2B">
      <w:pPr>
        <w:jc w:val="center"/>
        <w:rPr>
          <w:b/>
          <w:szCs w:val="24"/>
        </w:rPr>
      </w:pPr>
      <w:r w:rsidRPr="00DF0E2B">
        <w:rPr>
          <w:b/>
          <w:szCs w:val="24"/>
        </w:rPr>
        <w:t xml:space="preserve">O </w:t>
      </w:r>
      <w:r w:rsidR="00DF0E2B" w:rsidRPr="00DF0E2B">
        <w:rPr>
          <w:b/>
          <w:szCs w:val="24"/>
        </w:rPr>
        <w:t xml:space="preserve">G L A S </w:t>
      </w:r>
    </w:p>
    <w:p w:rsidRDefault="00DF0E2B" w:rsidP="00BA0430" w:rsidR="00DF0E2B">
      <w:pPr>
        <w:jc w:val="center"/>
        <w:rPr>
          <w:b/>
          <w:szCs w:val="24"/>
        </w:rPr>
      </w:pPr>
    </w:p>
    <w:p w:rsidRDefault="00BA0430" w:rsidP="00BA0430" w:rsidR="00BA0430" w:rsidRPr="00DF0E2B">
      <w:pPr>
        <w:jc w:val="center"/>
        <w:rPr>
          <w:b/>
          <w:szCs w:val="24"/>
        </w:rPr>
      </w:pPr>
      <w:r w:rsidRPr="00DF0E2B">
        <w:rPr>
          <w:b/>
          <w:szCs w:val="24"/>
        </w:rPr>
        <w:t xml:space="preserve"> </w:t>
      </w:r>
    </w:p>
    <w:p w:rsidRDefault="00BA0430" w:rsidP="00BA0430" w:rsidR="00BA0430" w:rsidRPr="00DF0E2B">
      <w:pPr>
        <w:jc w:val="center"/>
        <w:rPr>
          <w:b/>
          <w:szCs w:val="24"/>
        </w:rPr>
      </w:pP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  <w:r w:rsidRPr="00DF0E2B">
        <w:rPr>
          <w:szCs w:val="24"/>
        </w:rPr>
        <w:tab/>
        <w:t>Obavještavaju se stranke i vjerovnici da je temeljem članka 11. stavka 2. Zakona o sudovima (Narodne novine" broj 28/13, 33/15 i 82/15), rješenjem predsjednika Visokog trgovačkog suda u Zagrebu posl.br. 31 Su-412/16-2 od 7. travnja 2016. kao drugi stvarno nadležan  sud za rješavanje ovog predmeta određen TRGOVAČKI SUD U ZADRU.</w:t>
      </w: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  <w:r w:rsidRPr="00DF0E2B">
        <w:rPr>
          <w:szCs w:val="24"/>
        </w:rPr>
        <w:tab/>
        <w:t>Slijedom navedenog, upozoravaju se stranke i vjerovnici da će</w:t>
      </w:r>
      <w:r w:rsidR="00DF0E2B">
        <w:rPr>
          <w:szCs w:val="24"/>
        </w:rPr>
        <w:t xml:space="preserve"> se</w:t>
      </w:r>
      <w:r w:rsidRPr="00DF0E2B">
        <w:rPr>
          <w:szCs w:val="24"/>
        </w:rPr>
        <w:t xml:space="preserve"> daljnje radnje i dostava u ovom predmetu obavljati putem </w:t>
      </w:r>
      <w:r w:rsidR="00DF0E2B">
        <w:rPr>
          <w:szCs w:val="24"/>
        </w:rPr>
        <w:t xml:space="preserve">stečajne </w:t>
      </w:r>
      <w:r w:rsidRPr="00DF0E2B">
        <w:rPr>
          <w:szCs w:val="24"/>
        </w:rPr>
        <w:t>e-Oglasne ploče Trgovačkog suda u Zadru.</w:t>
      </w: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</w:p>
    <w:p w:rsidRDefault="00BA0430" w:rsidP="00BA0430" w:rsidR="00BA0430" w:rsidRPr="00DF0E2B">
      <w:pPr>
        <w:jc w:val="center"/>
        <w:rPr>
          <w:szCs w:val="24"/>
        </w:rPr>
      </w:pPr>
    </w:p>
    <w:p w:rsidRDefault="00DF0E2B" w:rsidP="00DF0E2B" w:rsidR="00BA0430" w:rsidRPr="00DF0E2B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Predsjednica suda </w:t>
      </w:r>
    </w:p>
    <w:p w:rsidRDefault="00BA0430" w:rsidP="00BA0430" w:rsidR="00BA0430" w:rsidRPr="00DF0E2B">
      <w:pPr>
        <w:jc w:val="center"/>
        <w:rPr>
          <w:b/>
          <w:szCs w:val="24"/>
        </w:rPr>
      </w:pPr>
    </w:p>
    <w:p w:rsidRDefault="00DF0E2B" w:rsidP="00DF0E2B" w:rsidR="00BA0430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>Adrijana Labinjan Skok</w:t>
      </w:r>
      <w:r w:rsidR="00413EAA">
        <w:rPr>
          <w:b/>
          <w:szCs w:val="24"/>
        </w:rPr>
        <w:t>, v.r.</w:t>
      </w:r>
    </w:p>
    <w:p w:rsidRDefault="00DF0E2B" w:rsidP="00413EAA" w:rsidR="00DF0E2B">
      <w:pPr>
        <w:jc w:val="center"/>
        <w:rPr>
          <w:b/>
          <w:szCs w:val="24"/>
        </w:rPr>
      </w:pPr>
    </w:p>
    <w:p w:rsidRDefault="00413EAA" w:rsidP="00413EAA" w:rsidR="00DF0E2B">
      <w:pPr>
        <w:jc w:val="center"/>
        <w:rPr>
          <w:b/>
          <w:szCs w:val="24"/>
        </w:rPr>
      </w:pPr>
      <w:r>
        <w:rPr>
          <w:b/>
          <w:szCs w:val="24"/>
        </w:rPr>
        <w:tab/>
      </w:r>
    </w:p>
    <w:p w:rsidRDefault="00DF0E2B" w:rsidP="00DF0E2B" w:rsidR="00DF0E2B" w:rsidRPr="00DF0E2B">
      <w:pPr>
        <w:jc w:val="both"/>
        <w:rPr>
          <w:szCs w:val="24"/>
        </w:rPr>
      </w:pPr>
      <w:r w:rsidRPr="00DF0E2B">
        <w:rPr>
          <w:szCs w:val="24"/>
        </w:rPr>
        <w:t>Dna:</w:t>
      </w:r>
    </w:p>
    <w:p w:rsidRDefault="00DF0E2B" w:rsidP="00DF0E2B" w:rsidR="00DF0E2B">
      <w:pPr>
        <w:pStyle w:val="Odlomakpopisa"/>
        <w:numPr>
          <w:ilvl w:val="0"/>
          <w:numId w:val="2"/>
        </w:numPr>
        <w:ind w:hanging="142" w:left="142"/>
        <w:jc w:val="both"/>
        <w:rPr>
          <w:szCs w:val="24"/>
        </w:rPr>
      </w:pPr>
      <w:r w:rsidRPr="00DF0E2B">
        <w:rPr>
          <w:szCs w:val="24"/>
        </w:rPr>
        <w:t>stečajni predmeti prema popisnoj listi (103 predmeta</w:t>
      </w:r>
      <w:r>
        <w:rPr>
          <w:szCs w:val="24"/>
        </w:rPr>
        <w:t>)</w:t>
      </w:r>
    </w:p>
    <w:p w:rsidRDefault="00DF0E2B" w:rsidP="00413EAA" w:rsidR="00DF0E2B">
      <w:pPr>
        <w:ind w:left="4956"/>
        <w:rPr>
          <w:szCs w:val="24"/>
        </w:rPr>
      </w:pPr>
      <w:r>
        <w:rPr>
          <w:szCs w:val="24"/>
        </w:rPr>
        <w:br w:type="page"/>
      </w:r>
    </w:p>
    <w:tbl>
      <w:tblPr>
        <w:tblW w:type="dxa" w:w="8661"/>
        <w:tblInd w:type="dxa" w:w="93"/>
        <w:tblLook w:val="04A0" w:noVBand="1" w:noHBand="0" w:lastColumn="0" w:firstColumn="1" w:lastRow="0" w:firstRow="1"/>
      </w:tblPr>
      <w:tblGrid>
        <w:gridCol w:w="846"/>
        <w:gridCol w:w="1827"/>
        <w:gridCol w:w="222"/>
        <w:gridCol w:w="846"/>
        <w:gridCol w:w="1592"/>
        <w:gridCol w:w="222"/>
        <w:gridCol w:w="891"/>
        <w:gridCol w:w="2215"/>
      </w:tblGrid>
      <w:tr w:rsidTr="00DF0E2B" w:rsidR="00DF0E2B" w:rsidRPr="00DF0E2B">
        <w:trPr>
          <w:trHeight w:val="284"/>
        </w:trPr>
        <w:tc>
          <w:tcPr>
            <w:tcW w:type="dxa" w:w="8661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color w:val="000000"/>
                <w:sz w:val="20"/>
              </w:rPr>
              <w:lastRenderedPageBreak/>
              <w:t>ST PREDMETI ZA USTUP DRUGOM SUDU (čl.11.st.2. ZS-a)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19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18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22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St-318/2016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St-542/2016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St-543/2016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St-544/2016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St-579/2016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St-580/2016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94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St-582/2016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95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St-583/2016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96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St-584/2016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St-585/2016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St-586/2016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St-587/2016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St-420/2016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St-588/2016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St-589/2016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St-590/2016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St-591/2016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St-465/2016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</w:tbl>
    <w:p w:rsidRDefault="00DF0E2B" w:rsidP="00DF0E2B" w:rsidR="00DF0E2B" w:rsidRPr="00DF0E2B">
      <w:pPr>
        <w:pStyle w:val="Odlomakpopisa"/>
        <w:ind w:left="142"/>
        <w:jc w:val="both"/>
        <w:rPr>
          <w:szCs w:val="24"/>
        </w:rPr>
      </w:pPr>
    </w:p>
    <w:sectPr w:rsidR="00DF0E2B" w:rsidRPr="00DF0E2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1C244C"/>
    <w:multiLevelType w:val="hybridMultilevel"/>
    <w:tmpl w:val="FEB4D29E"/>
    <w:lvl w:tplc="BDD8B08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CD306FB"/>
    <w:multiLevelType w:val="hybridMultilevel"/>
    <w:tmpl w:val="6CF2EA74"/>
    <w:lvl w:tplc="83EA51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430"/>
    <w:rsid w:val="003B120F"/>
    <w:rsid w:val="00413EAA"/>
    <w:rsid w:val="006C6102"/>
    <w:rsid w:val="00BA0430"/>
    <w:rsid w:val="00DF0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A0430"/>
    <w:rPr>
      <w:rFonts w:eastAsia="Times New Roman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A04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043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F0E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C61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6102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6102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6102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6102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A0430"/>
    <w:rPr>
      <w:rFonts w:eastAsia="Times New Roman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A04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043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F0E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C61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6102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6102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6102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6102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41812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544</izvorni_sadrzaj>
    <derivirana_varijabla naziv="DomainObject.Predmet.Broj_1">544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St-544/2016</izvorni_sadrzaj>
    <derivirana_varijabla naziv="DomainObject.Predmet.OznakaBroj_1">St-544/2016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 pretincu za delegaciju</izvorni_sadrzaj>
    <derivirana_varijabla naziv="DomainObject.Predmet.PrimjedbaSuca_1">u pretincu za delegaciju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VILLA FENIKS d.o.o. PULA</izvorni_sadrzaj>
    <derivirana_varijabla naziv="DomainObject.Predmet.ProtustrankaFormated_1">  VILLA FENIKS d.o.o. PULA</derivirana_varijabla>
  </DomainObject.Predmet.ProtustrankaFormated>
  <DomainObject.Predmet.ProtustrankaFormatedOIB>
    <izvorni_sadrzaj>  VILLA FENIKS d.o.o. PULA, OIB 73784596482</izvorni_sadrzaj>
    <derivirana_varijabla naziv="DomainObject.Predmet.ProtustrankaFormatedOIB_1">  VILLA FENIKS d.o.o. PULA, OIB 73784596482</derivirana_varijabla>
  </DomainObject.Predmet.ProtustrankaFormatedOIB>
  <DomainObject.Predmet.ProtustrankaFormatedWithAdress>
    <izvorni_sadrzaj> VILLA FENIKS d.o.o. PULA, Istarska 16, 52100 Pula</izvorni_sadrzaj>
    <derivirana_varijabla naziv="DomainObject.Predmet.ProtustrankaFormatedWithAdress_1"> VILLA FENIKS d.o.o. PULA, Istarska 16, 52100 Pula</derivirana_varijabla>
  </DomainObject.Predmet.ProtustrankaFormatedWithAdress>
  <DomainObject.Predmet.ProtustrankaFormatedWithAdressOIB>
    <izvorni_sadrzaj> VILLA FENIKS d.o.o. PULA, OIB 73784596482, Istarska 16, 52100 Pula</izvorni_sadrzaj>
    <derivirana_varijabla naziv="DomainObject.Predmet.ProtustrankaFormatedWithAdressOIB_1"> VILLA FENIKS d.o.o. PULA, OIB 73784596482, Istarska 16, 52100 Pula</derivirana_varijabla>
  </DomainObject.Predmet.ProtustrankaFormatedWithAdressOIB>
  <DomainObject.Predmet.ProtustrankaWithAdress>
    <izvorni_sadrzaj>VILLA FENIKS d.o.o. PULA Istarska 16, 52100 Pula</izvorni_sadrzaj>
    <derivirana_varijabla naziv="DomainObject.Predmet.ProtustrankaWithAdress_1">VILLA FENIKS d.o.o. PULA Istarska 16, 52100 Pula</derivirana_varijabla>
  </DomainObject.Predmet.ProtustrankaWithAdress>
  <DomainObject.Predmet.ProtustrankaWithAdressOIB>
    <izvorni_sadrzaj>VILLA FENIKS d.o.o. PULA, OIB 73784596482, Istarska 16, 52100 Pula</izvorni_sadrzaj>
    <derivirana_varijabla naziv="DomainObject.Predmet.ProtustrankaWithAdressOIB_1">VILLA FENIKS d.o.o. PULA, OIB 73784596482, Istarska 16, 52100 Pula</derivirana_varijabla>
  </DomainObject.Predmet.ProtustrankaWithAdressOIB>
  <DomainObject.Predmet.ProtustrankaNazivFormated>
    <izvorni_sadrzaj>VILLA FENIKS d.o.o. PULA</izvorni_sadrzaj>
    <derivirana_varijabla naziv="DomainObject.Predmet.ProtustrankaNazivFormated_1">VILLA FENIKS d.o.o. PULA</derivirana_varijabla>
  </DomainObject.Predmet.ProtustrankaNazivFormated>
  <DomainObject.Predmet.ProtustrankaNazivFormatedOIB>
    <izvorni_sadrzaj>VILLA FENIKS d.o.o. PULA, OIB 73784596482</izvorni_sadrzaj>
    <derivirana_varijabla naziv="DomainObject.Predmet.ProtustrankaNazivFormatedOIB_1">VILLA FENIKS d.o.o. PULA, OIB 73784596482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32499.26</izvorni_sadrzaj>
    <derivirana_varijabla naziv="DomainObject.Predmet.TrenutnaVrijednost_1">32499.26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VILLA FENIKS d.o.o. PULA</item>
    </izvorni_sadrzaj>
    <derivirana_varijabla naziv="DomainObject.Predmet.ProtuStrankaListFormated_1">
      <item>VILLA FENIKS d.o.o. PULA</item>
    </derivirana_varijabla>
  </DomainObject.Predmet.ProtuStrankaListFormated>
  <DomainObject.Predmet.ProtuStrankaListFormatedOIB>
    <izvorni_sadrzaj>
      <item>VILLA FENIKS d.o.o. PULA, OIB 73784596482</item>
    </izvorni_sadrzaj>
    <derivirana_varijabla naziv="DomainObject.Predmet.ProtuStrankaListFormatedOIB_1">
      <item>VILLA FENIKS d.o.o. PULA, OIB 73784596482</item>
    </derivirana_varijabla>
  </DomainObject.Predmet.ProtuStrankaListFormatedOIB>
  <DomainObject.Predmet.ProtuStrankaListFormatedWithAdress>
    <izvorni_sadrzaj>
      <item>VILLA FENIKS d.o.o. PULA, Istarska 16, 52100 Pula</item>
    </izvorni_sadrzaj>
    <derivirana_varijabla naziv="DomainObject.Predmet.ProtuStrankaListFormatedWithAdress_1">
      <item>VILLA FENIKS d.o.o. PULA, Istarska 16, 52100 Pula</item>
    </derivirana_varijabla>
  </DomainObject.Predmet.ProtuStrankaListFormatedWithAdress>
  <DomainObject.Predmet.ProtuStrankaListFormatedWithAdressOIB>
    <izvorni_sadrzaj>
      <item>VILLA FENIKS d.o.o. PULA, OIB 73784596482, Istarska 16, 52100 Pula</item>
    </izvorni_sadrzaj>
    <derivirana_varijabla naziv="DomainObject.Predmet.ProtuStrankaListFormatedWithAdressOIB_1">
      <item>VILLA FENIKS d.o.o. PULA, OIB 73784596482, Istarska 16, 52100 Pula</item>
    </derivirana_varijabla>
  </DomainObject.Predmet.ProtuStrankaListFormatedWithAdressOIB>
  <DomainObject.Predmet.ProtuStrankaListNazivFormated>
    <izvorni_sadrzaj>
      <item>VILLA FENIKS d.o.o. PULA</item>
    </izvorni_sadrzaj>
    <derivirana_varijabla naziv="DomainObject.Predmet.ProtuStrankaListNazivFormated_1">
      <item>VILLA FENIKS d.o.o. PULA</item>
    </derivirana_varijabla>
  </DomainObject.Predmet.ProtuStrankaListNazivFormated>
  <DomainObject.Predmet.ProtuStrankaListNazivFormatedOIB>
    <izvorni_sadrzaj>
      <item>VILLA FENIKS d.o.o. PULA, OIB 73784596482</item>
    </izvorni_sadrzaj>
    <derivirana_varijabla naziv="DomainObject.Predmet.ProtuStrankaListNazivFormatedOIB_1">
      <item>VILLA FENIKS d.o.o. PULA, OIB 73784596482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VILLA FENIKS d.o.o. PULA</izvorni_sadrzaj>
    <derivirana_varijabla naziv="DomainObject.Predmet.ProtustrankaIDrugi_1">VILLA FENIKS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VILLA FENIKS d.o.o. PULA, OIB 73784596482, Istarska 16, 52100 Pula</izvorni_sadrzaj>
    <derivirana_varijabla naziv="DomainObject.Predmet.ProtustrankaIDrugiAdressOIB_1">VILLA FENIKS d.o.o. PULA, OIB 73784596482, Istarska 16,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VILLA FENIKS d.o.o. PULA</item>
    </izvorni_sadrzaj>
    <derivirana_varijabla naziv="DomainObject.Predmet.SudioniciListNaziv_1">
      <item>FINANCIJSKA AGENCIJA, RC RIJEKA, PODRUŽNICA PULA, PULA</item>
      <item>VILLA FENIKS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VILLA FENIKS d.o.o. PULA, OIB 73784596482, Istarska 16,52100 Pula</item>
    </izvorni_sadrzaj>
    <derivirana_varijabla naziv="DomainObject.Predmet.SudioniciListAdressOIB_1">
      <item>FINANCIJSKA AGENCIJA, RC RIJEKA, PODRUŽNICA PULA, PULA, OIB 85821130368, Giardini 5,52100 Pula</item>
      <item>VILLA FENIKS d.o.o. PULA, OIB 73784596482, Istarska 16,52100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73784596482</item>
    </izvorni_sadrzaj>
    <derivirana_varijabla naziv="DomainObject.Predmet.SudioniciListNazivOIB_1">
      <item>, OIB 85821130368</item>
      <item>, OIB 73784596482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341</properties:Words>
  <properties:Characters>2060</properties:Characters>
  <properties:Lines>389</properties:Lines>
  <properties:Paragraphs>225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2016-04-19T05:56:00Z</dcterms:created>
  <dc:creator>Nives Vrh</dc:creator>
  <cp:lastModifiedBy>Lorena Paris Aničić</cp:lastModifiedBy>
  <cp:lastPrinted>2016-04-19T06:33:00Z</cp:lastPrinted>
  <dcterms:modified xmlns:xsi="http://www.w3.org/2001/XMLSchema-instance" xsi:type="dcterms:W3CDTF">2016-04-19T10:10:00Z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