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eac90" w14:paraId="e9eac90" w:rsidRDefault="00456EF0" w:rsidP="00456EF0" w:rsidR="00456EF0" w:rsidRPr="00456EF0">
      <w:pPr>
        <w15:collapsed w:val="false"/>
        <w:rPr>
          <w:rFonts w:hAnsi="Times New Roman" w:ascii="Times New Roman"/>
          <w:sz w:val="24"/>
          <w:szCs w:val="24"/>
        </w:rPr>
      </w:pPr>
      <w:bookmarkStart w:name="_GoBack" w:id="0"/>
      <w:bookmarkEnd w:id="0"/>
      <w:r w:rsidRPr="00456EF0">
        <w:rPr>
          <w:rFonts w:hAnsi="Times New Roman" w:ascii="Times New Roman"/>
          <w:sz w:val="24"/>
          <w:szCs w:val="24"/>
        </w:rPr>
        <w:t xml:space="preserve">                                                             Obrazac 20.</w:t>
      </w:r>
    </w:p>
    <w:p w:rsidRDefault="00456EF0" w:rsidP="00456EF0" w:rsidR="00456EF0" w:rsidRPr="00456EF0">
      <w:pPr>
        <w:rPr>
          <w:rFonts w:hAnsi="Times New Roman" w:ascii="Times New Roman"/>
          <w:b/>
          <w:sz w:val="24"/>
          <w:szCs w:val="24"/>
        </w:rPr>
      </w:pPr>
      <w:r w:rsidRPr="00456EF0">
        <w:rPr>
          <w:rFonts w:hAnsi="Times New Roman" w:ascii="Times New Roman"/>
          <w:b/>
          <w:sz w:val="24"/>
          <w:szCs w:val="24"/>
        </w:rPr>
        <w:t xml:space="preserve">         IZVJEŠĆE STEČAJNOG UPRAVITELJA O TIJEKU STEČAJNOG POSTUPKA I</w:t>
      </w:r>
      <w:r w:rsidRPr="00456EF0">
        <w:rPr>
          <w:rFonts w:hAnsi="Times New Roman" w:ascii="Times New Roman"/>
          <w:b/>
          <w:sz w:val="24"/>
          <w:szCs w:val="24"/>
        </w:rPr>
        <w:br/>
        <w:t xml:space="preserve">                                               STANJU STEČAJNE MASE</w:t>
      </w:r>
    </w:p>
    <w:p w:rsidRDefault="00456EF0" w:rsidP="00456EF0" w:rsidR="00456EF0" w:rsidRPr="00456EF0">
      <w:pPr>
        <w:rPr>
          <w:rFonts w:hAnsi="Times New Roman" w:ascii="Times New Roman"/>
          <w:sz w:val="24"/>
          <w:szCs w:val="24"/>
        </w:rPr>
      </w:pP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Republika Hrvatska</w:t>
      </w: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Trgovački sud u Zagrebu</w:t>
      </w: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Zagreb, Amruševa 2/II</w:t>
      </w:r>
    </w:p>
    <w:p w:rsidRDefault="00456EF0" w:rsidP="00456EF0" w:rsidR="00456EF0" w:rsidRPr="00456EF0">
      <w:pPr>
        <w:rPr>
          <w:rFonts w:hAnsi="Times New Roman" w:ascii="Times New Roman"/>
          <w:sz w:val="24"/>
          <w:szCs w:val="24"/>
        </w:rPr>
      </w:pP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Poslovni broj spisa: 7 St – 4710/16</w:t>
      </w: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Dužnik: LATUS CENTAR  d.o.o. u stečaju</w:t>
      </w: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OIB: 66751174658</w:t>
      </w:r>
    </w:p>
    <w:p w:rsidRDefault="00456EF0" w:rsidP="00456EF0" w:rsidR="00456EF0" w:rsidRPr="00456EF0">
      <w:pPr>
        <w:rPr>
          <w:rFonts w:hAnsi="Times New Roman" w:ascii="Times New Roman"/>
          <w:sz w:val="24"/>
          <w:szCs w:val="24"/>
        </w:rPr>
      </w:pPr>
      <w:r w:rsidRPr="00456EF0">
        <w:rPr>
          <w:rFonts w:hAnsi="Times New Roman" w:ascii="Times New Roman"/>
          <w:sz w:val="24"/>
          <w:szCs w:val="24"/>
        </w:rPr>
        <w:t>Adresa/Sjedište: Zagreb, I. Vidovčica 21</w:t>
      </w:r>
    </w:p>
    <w:p w:rsidRDefault="00456EF0" w:rsidP="00456EF0" w:rsidR="00456EF0" w:rsidRPr="00456EF0">
      <w:pPr>
        <w:rPr>
          <w:rFonts w:hAnsi="Times New Roman" w:ascii="Times New Roman"/>
          <w:sz w:val="24"/>
          <w:szCs w:val="24"/>
        </w:rPr>
      </w:pPr>
    </w:p>
    <w:p w:rsidRDefault="00456EF0" w:rsidP="00456EF0" w:rsidR="00456EF0" w:rsidRPr="00456EF0">
      <w:pPr>
        <w:pStyle w:val="Odlomakpopisa"/>
        <w:numPr>
          <w:ilvl w:val="0"/>
          <w:numId w:val="1"/>
        </w:numPr>
        <w:rPr>
          <w:rFonts w:hAnsi="Times New Roman" w:ascii="Times New Roman"/>
          <w:sz w:val="24"/>
          <w:szCs w:val="24"/>
        </w:rPr>
      </w:pPr>
      <w:r w:rsidRPr="00456EF0">
        <w:rPr>
          <w:rFonts w:hAnsi="Times New Roman" w:ascii="Times New Roman"/>
          <w:sz w:val="24"/>
          <w:szCs w:val="24"/>
        </w:rPr>
        <w:t>TIJEK STEČAJNOG POSTUPKA U RAZDOBLJU OD 26.04.2017. g. DO 26.07.2017.g.</w:t>
      </w:r>
    </w:p>
    <w:p w:rsidRDefault="00456EF0" w:rsidP="00456EF0" w:rsidR="00456EF0" w:rsidRPr="00456EF0">
      <w:pPr>
        <w:rPr>
          <w:rFonts w:hAnsi="Times New Roman" w:ascii="Times New Roman"/>
          <w:sz w:val="24"/>
          <w:szCs w:val="24"/>
        </w:rPr>
      </w:pP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Stečajni dužnik LATUS CENTAR d.o.o. u stečaju bavio se uzgojem cvijeća, ukrasnog bilja i sadnog materijala. Posao se sastojao od uređenja okućnica, prilaz objektima itd. Vezano uz takav rad stečajna masa sastoji se od nekretnina – oranica i pokretnina koje su u lošem stanju, knjigovodstvene vrijednosti 0,00 kn, te je upitna njihova tržišna vrijednost ili je neznatna. Stečajna masa nalazi se na jednom mjestu te ju u prethodnom razdoblju nije bilo potrebno prikupljati.</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Postupke pred sudovima i drugim tijelima stečajni dužnik nema.</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Poslovanje stečajnog dužnika obustavljeno je i prije otvaranja stečajnog postupka, tako da ne postoje zaposlenici koji bi nastavili s radom.</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Stečajni postupak moći će se zaključiti nakon pokušaja prodaje nekretnina i pokretnina.</w:t>
      </w:r>
    </w:p>
    <w:p w:rsidRDefault="00456EF0" w:rsidP="00456EF0" w:rsidR="00456EF0" w:rsidRPr="00456EF0">
      <w:pPr>
        <w:jc w:val="both"/>
        <w:rPr>
          <w:rFonts w:hAnsi="Times New Roman" w:ascii="Times New Roman"/>
          <w:sz w:val="24"/>
          <w:szCs w:val="24"/>
        </w:rPr>
      </w:pPr>
    </w:p>
    <w:p w:rsidRDefault="00456EF0" w:rsidP="00456EF0" w:rsidR="00456EF0" w:rsidRPr="00456EF0">
      <w:pPr>
        <w:pStyle w:val="Odlomakpopisa"/>
        <w:numPr>
          <w:ilvl w:val="0"/>
          <w:numId w:val="1"/>
        </w:numPr>
        <w:jc w:val="both"/>
        <w:rPr>
          <w:rFonts w:hAnsi="Times New Roman" w:ascii="Times New Roman"/>
          <w:sz w:val="24"/>
          <w:szCs w:val="24"/>
        </w:rPr>
      </w:pPr>
      <w:r w:rsidRPr="00456EF0">
        <w:rPr>
          <w:rFonts w:hAnsi="Times New Roman" w:ascii="Times New Roman"/>
          <w:sz w:val="24"/>
          <w:szCs w:val="24"/>
        </w:rPr>
        <w:t>STANJE STEČAJNE MASE</w:t>
      </w:r>
    </w:p>
    <w:p w:rsidRDefault="00456EF0" w:rsidP="00456EF0" w:rsidR="00456EF0" w:rsidRPr="00456EF0">
      <w:pPr>
        <w:jc w:val="both"/>
        <w:rPr>
          <w:rFonts w:hAnsi="Times New Roman" w:ascii="Times New Roman"/>
          <w:sz w:val="24"/>
          <w:szCs w:val="24"/>
        </w:rPr>
      </w:pP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Stečajna masa stečajnog dužnika sastoji se od nekretnina – oranica i pokretnina za koje je na ročištu vjerovnika s izvještajnog ročišta održanog 26.04.2017. godine dana suglasnost stečajnom upravitelju za prodaju pokretne stečajne mase stečajnog dužnika slobodnom pogodbom bez najniže početne cijene.</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Nekretnine:</w:t>
      </w:r>
    </w:p>
    <w:p w:rsidRDefault="00456EF0" w:rsidP="00456EF0" w:rsidR="00456EF0" w:rsidRPr="00456EF0">
      <w:pPr>
        <w:pStyle w:val="Odlomakpopisa"/>
        <w:numPr>
          <w:ilvl w:val="0"/>
          <w:numId w:val="2"/>
        </w:numPr>
        <w:jc w:val="both"/>
        <w:rPr>
          <w:rFonts w:hAnsi="Times New Roman" w:ascii="Times New Roman"/>
          <w:sz w:val="24"/>
          <w:szCs w:val="24"/>
        </w:rPr>
      </w:pPr>
      <w:r w:rsidRPr="00456EF0">
        <w:rPr>
          <w:rFonts w:hAnsi="Times New Roman" w:ascii="Times New Roman"/>
          <w:sz w:val="24"/>
          <w:szCs w:val="24"/>
        </w:rPr>
        <w:t>k.č.br. 1539/116, oranica Kirišćak u Hrebini sa 1580 čhv, zk.ul.br. 5063, k.o. Pušća, zemljišnoknjižni odjel Zaprešić kod općinskog suda u Novom Zagrebu,</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lastRenderedPageBreak/>
        <w:t>k.č.br. 1715/95, oranica u Vinogradini sa 5755 čm, zk.ul.br. 1639, k.o. Badljevina, zemljišnoknjižni odjel Pakrac kod Općinskog suda u Daruvaru, Stalne službe u Pakracu,</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t>k.č.br. 1715/91, oranica u Rastju sa 8416 čm, zk.ul. 1365, k.o. Badljevina, zemljišnoknjižni odjel Pakrac kod Općinskog suda u Daruvaru, Stalne službe u Pakracu,</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t>k.č.br. 1711/5 oranica Vinogradina sa 12229 čm, upisana u zk.ul.br. 1833 k.o. Badljevina, u zemljišnim knjigama Općinskog suda u Daruvaru, zemljišnoknjižni odjel Pakrac,</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t>Suvlasnički dio: 7/16, k.č.br. 703/1 oranica Škalinka sa 2945 m2 i k.č.br.703/2 oranica Škalinka 8 m2, ukupno 2953 m2 upisana u zk. uložak br. 523 k.o. Zaprešić,</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t>k.č.br. 1711/1 oranica sa 3190 m2, k.č.br. 1711/2 oranica u Vinogradini sa 5611 m2, k.č.br.1711/4 oranica Vinogradina sa 5028 m2, k.č.br. 1711/6 oranica u Vinogradini sa 4906 m2, k.č.br. 1715/50 oranica Vinogradina sa 6104 m2, k.č.br. 1715/81 oranica u Vinogradini sa 1021 m2, k.č.br. 1715/82 oranica u Vinogradini sa 1025 m2, k.č.br. 1715/83 oranica u Slatini sa 1021 m2, k.č.br. 1715/110 oranica u Vinogradini sa 3913 m2, k.č.br. 1715/111 oranica u Selu sa 3363 m2, k.č.br. 1715/118 oranica u Vinogradini sa 5539 m2, sve nabrojano u ukupnoj površini od 40721 m2, zk. uložak br. 1705, k.o. Badljevina, zemljišnoknjižni odjel Pakrac,</w:t>
      </w:r>
    </w:p>
    <w:p w:rsidRDefault="00456EF0" w:rsidP="00456EF0" w:rsidR="00456EF0" w:rsidRPr="00456EF0">
      <w:pPr>
        <w:numPr>
          <w:ilvl w:val="0"/>
          <w:numId w:val="2"/>
        </w:numPr>
        <w:jc w:val="both"/>
        <w:rPr>
          <w:rFonts w:hAnsi="Times New Roman" w:ascii="Times New Roman"/>
          <w:sz w:val="24"/>
          <w:szCs w:val="24"/>
        </w:rPr>
      </w:pPr>
      <w:r w:rsidRPr="00456EF0">
        <w:rPr>
          <w:rFonts w:hAnsi="Times New Roman" w:ascii="Times New Roman"/>
          <w:sz w:val="24"/>
          <w:szCs w:val="24"/>
        </w:rPr>
        <w:t>k.č.br. 479/1 oranica Veliki rit u Rašću sa 6783 m2 i k.č.br. 479/2 oranica Veliki rit u Rašću sa 13426 m2, ukupno 20209 m2, zk. uložak br.1147, k.o. Badljevina, zemljišnoknjižni odjel Pakrac.</w:t>
      </w:r>
    </w:p>
    <w:p w:rsidRDefault="00456EF0" w:rsidP="00456EF0" w:rsidR="00456EF0" w:rsidRPr="00456EF0">
      <w:pPr>
        <w:jc w:val="both"/>
        <w:rPr>
          <w:rFonts w:hAnsi="Times New Roman" w:ascii="Times New Roman"/>
          <w:sz w:val="24"/>
          <w:szCs w:val="24"/>
        </w:rPr>
      </w:pP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Do sada nije bilo unovčenja predmeta stečajne mase. Za pokretnine je bila zainteresirana samo jedna osoba, ali se poslije nije javila stečajnom upravitelju. Nezainteresiranost za pokretnine može se tumačiti lošem stanju istih (npr. motorna pila neispravna), ali i sezonom godišnjih odmora.</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Odlukom vjerovnika sa ročišta vjerovnika – izvještajnog ročišta, prihvaćeno je, obzirom da ne postoje financijska sredstva na računu stečajnog dužnika, pozvati razlučnog vjerovnika (Hrvatska banka za obnovu i razvitak) da dostavi procjenu nekretnina na kojima je upisano založno pravo, time da se izvrši verifikacija postojećih procjena, uzevši u obzir vremenski protek i druge okolnosti. Stečajni upravitelj je u kontaktu s gđa. Ivana Lokas iz Hrvatske banke za obnovu i razvitak, te kada istoj Služba za procjenu iz Banke, dostavi procjene, ona će dostaviti Trgovačkom sudu i obavijestiti stečajnog upravitelja.</w:t>
      </w:r>
    </w:p>
    <w:p w:rsidRDefault="00456EF0" w:rsidP="00456EF0" w:rsidR="00456EF0" w:rsidRPr="00456EF0">
      <w:pPr>
        <w:jc w:val="both"/>
        <w:rPr>
          <w:rFonts w:hAnsi="Times New Roman" w:ascii="Times New Roman"/>
          <w:sz w:val="24"/>
          <w:szCs w:val="24"/>
        </w:rPr>
      </w:pPr>
    </w:p>
    <w:p w:rsidRDefault="00456EF0" w:rsidP="00456EF0" w:rsidR="00456EF0" w:rsidRPr="00456EF0">
      <w:pPr>
        <w:pStyle w:val="Odlomakpopisa"/>
        <w:numPr>
          <w:ilvl w:val="0"/>
          <w:numId w:val="1"/>
        </w:numPr>
        <w:jc w:val="both"/>
        <w:rPr>
          <w:rFonts w:hAnsi="Times New Roman" w:ascii="Times New Roman"/>
          <w:sz w:val="24"/>
          <w:szCs w:val="24"/>
        </w:rPr>
      </w:pPr>
      <w:r w:rsidRPr="00456EF0">
        <w:rPr>
          <w:rFonts w:hAnsi="Times New Roman" w:ascii="Times New Roman"/>
          <w:sz w:val="24"/>
          <w:szCs w:val="24"/>
        </w:rPr>
        <w:t>RADNJE KOJE ĆE SE PODUZETI U NAREDNOM RAZDOBLJU</w:t>
      </w:r>
    </w:p>
    <w:p w:rsidRDefault="00456EF0" w:rsidP="00456EF0" w:rsidR="00456EF0" w:rsidRPr="00456EF0">
      <w:pPr>
        <w:jc w:val="both"/>
        <w:rPr>
          <w:rFonts w:hAnsi="Times New Roman" w:ascii="Times New Roman"/>
          <w:sz w:val="24"/>
          <w:szCs w:val="24"/>
        </w:rPr>
      </w:pP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U narednom razdoblju od 26.07.2017. godine do 26.10.2017.godine stečajni upravitelj poduzet će slijedeće radnje:</w:t>
      </w:r>
    </w:p>
    <w:p w:rsidRDefault="00456EF0" w:rsidP="00456EF0" w:rsidR="00456EF0" w:rsidRPr="00456EF0">
      <w:pPr>
        <w:pStyle w:val="Odlomakpopisa"/>
        <w:numPr>
          <w:ilvl w:val="0"/>
          <w:numId w:val="3"/>
        </w:numPr>
        <w:jc w:val="both"/>
        <w:rPr>
          <w:rFonts w:hAnsi="Times New Roman" w:ascii="Times New Roman"/>
          <w:sz w:val="24"/>
          <w:szCs w:val="24"/>
        </w:rPr>
      </w:pPr>
      <w:r w:rsidRPr="00456EF0">
        <w:rPr>
          <w:rFonts w:hAnsi="Times New Roman" w:ascii="Times New Roman"/>
          <w:sz w:val="24"/>
          <w:szCs w:val="24"/>
        </w:rPr>
        <w:t>Nastaviti s prodajom pokretnina u skladu s danom suglasnosti na ročištu vjerovnika – izvještajnom ročištu,</w:t>
      </w:r>
    </w:p>
    <w:p w:rsidRDefault="00456EF0" w:rsidP="00456EF0" w:rsidR="00456EF0" w:rsidRPr="00456EF0">
      <w:pPr>
        <w:pStyle w:val="Odlomakpopisa"/>
        <w:numPr>
          <w:ilvl w:val="0"/>
          <w:numId w:val="3"/>
        </w:numPr>
        <w:jc w:val="both"/>
        <w:rPr>
          <w:rFonts w:hAnsi="Times New Roman" w:ascii="Times New Roman"/>
          <w:sz w:val="24"/>
          <w:szCs w:val="24"/>
        </w:rPr>
      </w:pPr>
      <w:r w:rsidRPr="00456EF0">
        <w:rPr>
          <w:rFonts w:hAnsi="Times New Roman" w:ascii="Times New Roman"/>
          <w:sz w:val="24"/>
          <w:szCs w:val="24"/>
        </w:rPr>
        <w:lastRenderedPageBreak/>
        <w:t>Nakon što razlučni vjerovnik (Hrvatska banka za obnovu i razvitak) dostavi procjenu nekretnina, stečajni upravitelj će sukladno članku 247. st. 1. Stečajnog zakona predložiti prodaju nekretnina.</w:t>
      </w:r>
    </w:p>
    <w:p w:rsidRDefault="00456EF0" w:rsidP="00456EF0" w:rsidR="00456EF0" w:rsidRPr="00456EF0">
      <w:pPr>
        <w:jc w:val="both"/>
        <w:rPr>
          <w:rFonts w:hAnsi="Times New Roman" w:ascii="Times New Roman"/>
          <w:sz w:val="24"/>
          <w:szCs w:val="24"/>
        </w:rPr>
      </w:pP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Zagreb, 26. srpanj 2017. godine                                                          Stečajni upravitelj</w:t>
      </w:r>
    </w:p>
    <w:p w:rsidRDefault="00456EF0" w:rsidP="00456EF0" w:rsidR="00456EF0" w:rsidRPr="00456EF0">
      <w:pPr>
        <w:jc w:val="both"/>
        <w:rPr>
          <w:rFonts w:hAnsi="Times New Roman" w:ascii="Times New Roman"/>
          <w:sz w:val="24"/>
          <w:szCs w:val="24"/>
        </w:rPr>
      </w:pPr>
      <w:r w:rsidRPr="00456EF0">
        <w:rPr>
          <w:rFonts w:hAnsi="Times New Roman" w:ascii="Times New Roman"/>
          <w:sz w:val="24"/>
          <w:szCs w:val="24"/>
        </w:rPr>
        <w:t xml:space="preserve">                                                                                                             Ivica Boltužić</w:t>
      </w:r>
    </w:p>
    <w:p w:rsidRDefault="00D43AF1" w:rsidR="00E0602B" w:rsidRPr="00456EF0">
      <w:pPr>
        <w:rPr>
          <w:rFonts w:hAnsi="Times New Roman" w:ascii="Times New Roman"/>
          <w:sz w:val="24"/>
          <w:szCs w:val="24"/>
        </w:rPr>
      </w:pPr>
    </w:p>
    <w:sectPr w:rsidSect="00C643A4" w:rsidR="00E0602B" w:rsidRPr="00456EF0">
      <w:pgSz w:code="9" w:h="16838" w:w="11906"/>
      <w:pgMar w:gutter="0" w:footer="720" w:header="720" w:left="1418" w:bottom="1418" w:right="1418" w:top="1418"/>
      <w:cols w:space="708"/>
      <w:titlePg/>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DB2C46"/>
    <w:multiLevelType w:val="multilevel"/>
    <w:tmpl w:val="637E501A"/>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33EE75E3"/>
    <w:multiLevelType w:val="multilevel"/>
    <w:tmpl w:val="ACB8B404"/>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3C5014E3"/>
    <w:multiLevelType w:val="multilevel"/>
    <w:tmpl w:val="D66C78C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rawingGridVerticalSpacing w:val="163"/>
  <w:displayHorizontalDrawingGridEvery w:val="0"/>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EF0"/>
    <w:rsid w:val="00130D68"/>
    <w:rsid w:val="001F112F"/>
    <w:rsid w:val="00237FCF"/>
    <w:rsid w:val="002F2BD1"/>
    <w:rsid w:val="00361423"/>
    <w:rsid w:val="00456EF0"/>
    <w:rsid w:val="0072617A"/>
    <w:rsid w:val="007C1B9C"/>
    <w:rsid w:val="00920EDA"/>
    <w:rsid w:val="00A22213"/>
    <w:rsid w:val="00AB410D"/>
    <w:rsid w:val="00BB4A20"/>
    <w:rsid w:val="00C643A4"/>
    <w:rsid w:val="00C757C2"/>
    <w:rsid w:val="00D43AF1"/>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6EF0"/>
    <w:pPr>
      <w:suppressAutoHyphens/>
      <w:autoSpaceDN w:val="false"/>
      <w:spacing w:after="160"/>
    </w:pPr>
    <w:rPr>
      <w:rFonts w:cs="Times New Roman" w:eastAsia="Calibri"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Odlomakpopisa" w:type="paragraph">
    <w:name w:val="List Paragraph"/>
    <w:basedOn w:val="Normal"/>
    <w:qFormat/>
    <w:rsid w:val="00456EF0"/>
    <w:pPr>
      <w:ind w:left="720"/>
    </w:pPr>
  </w:style>
  <w:style w:styleId="Tekstrezerviranogmjesta" w:type="character">
    <w:name w:val="Placeholder Text"/>
    <w:basedOn w:val="Zadanifontodlomka"/>
    <w:uiPriority w:val="99"/>
    <w:semiHidden/>
    <w:rsid w:val="00D43AF1"/>
    <w:rPr>
      <w:color w:val="808080"/>
      <w:bdr w:space="0" w:sz="0" w:color="auto" w:val="none"/>
      <w:shd w:fill="auto" w:color="auto" w:val="clear"/>
    </w:rPr>
  </w:style>
  <w:style w:customStyle="true" w:styleId="eSPISCCParagraphDefaultFont" w:type="character">
    <w:name w:val="eSPIS_CC_Paragraph Default Font"/>
    <w:basedOn w:val="Zadanifontodlomka"/>
    <w:rsid w:val="00D43A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3AF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3A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3A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6EF0"/>
    <w:pPr>
      <w:suppressAutoHyphens/>
      <w:autoSpaceDN w:val="0"/>
      <w:spacing w:after="160"/>
    </w:pPr>
    <w:rPr>
      <w:rFonts w:ascii="Calibri" w:cs="Times New Roman" w:eastAsia="Calibri"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Odlomakpopisa" w:type="paragraph">
    <w:name w:val="List Paragraph"/>
    <w:basedOn w:val="Normal"/>
    <w:qFormat/>
    <w:rsid w:val="00456EF0"/>
    <w:pPr>
      <w:ind w:left="720"/>
    </w:pPr>
  </w:style>
  <w:style w:styleId="Tekstrezerviranogmjesta" w:type="character">
    <w:name w:val="Placeholder Text"/>
    <w:basedOn w:val="Zadanifontodlomka"/>
    <w:uiPriority w:val="99"/>
    <w:semiHidden/>
    <w:rsid w:val="00D43AF1"/>
    <w:rPr>
      <w:color w:val="808080"/>
      <w:bdr w:color="auto" w:space="0" w:sz="0" w:val="none"/>
      <w:shd w:color="auto" w:fill="auto" w:val="clear"/>
    </w:rPr>
  </w:style>
  <w:style w:customStyle="1" w:styleId="eSPISCCParagraphDefaultFont" w:type="character">
    <w:name w:val="eSPIS_CC_Paragraph Default Font"/>
    <w:basedOn w:val="Zadanifontodlomka"/>
    <w:rsid w:val="00D43A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3AF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3A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3A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6632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St-4710/2016-38</izvorni_sadrzaj>
    <derivirana_varijabla naziv="DomainObject.Oznaka_1">St-4710/2016-38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4710</izvorni_sadrzaj>
    <derivirana_varijabla naziv="DomainObject.Predmet.Broj_1">4710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St-4710/2016</izvorni_sadrzaj>
    <derivirana_varijabla naziv="DomainObject.Predmet.OznakaBroj_1">St-4710/2016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LATUS CENTAR d.o.o. zastupanog po punomoćniku Tatjana Seleši</izvorni_sadrzaj>
    <derivirana_varijabla naziv="DomainObject.Predmet.ProtustrankaFormated_1">  LATUS CENTAR d.o.o. zastupanog po punomoćniku Tatjana Seleši</derivirana_varijabla>
  </DomainObject.Predmet.ProtustrankaFormated>
  <DomainObject.Predmet.ProtustrankaFormatedOIB>
    <izvorni_sadrzaj>  LATUS CENTAR d.o.o., OIB 66751174658 zastupanog po punomoćniku Tatjana Seleši</izvorni_sadrzaj>
    <derivirana_varijabla naziv="DomainObject.Predmet.ProtustrankaFormatedOIB_1">  LATUS CENTAR d.o.o., OIB 66751174658 zastupanog po punomoćniku Tatjana Seleši</derivirana_varijabla>
  </DomainObject.Predmet.ProtustrankaFormatedOIB>
  <DomainObject.Predmet.ProtustrankaFormatedWithAdress>
    <izvorni_sadrzaj> LATUS CENTAR d.o.o., I Vidovčica 21, 10000 Zagreb zastupanog po punomoćniku Tatjana Seleši</izvorni_sadrzaj>
    <derivirana_varijabla naziv="DomainObject.Predmet.ProtustrankaFormatedWithAdress_1"> LATUS CENTAR d.o.o., I Vidovčica 21, 10000 Zagreb zastupanog po punomoćniku Tatjana Seleši</derivirana_varijabla>
  </DomainObject.Predmet.ProtustrankaFormatedWithAdress>
  <DomainObject.Predmet.ProtustrankaFormatedWithAdressOIB>
    <izvorni_sadrzaj> LATUS CENTAR d.o.o., OIB 66751174658, I Vidovčica 21, 10000 Zagreb zastupanog po punomoćniku Tatjana Seleši</izvorni_sadrzaj>
    <derivirana_varijabla naziv="DomainObject.Predmet.ProtustrankaFormatedWithAdressOIB_1"> LATUS CENTAR d.o.o., OIB 66751174658, I Vidovčica 21, 10000 Zagreb zastupanog po punomoćniku Tatjana Seleši</derivirana_varijabla>
  </DomainObject.Predmet.ProtustrankaFormatedWithAdressOIB>
  <DomainObject.Predmet.ProtustrankaWithAdress>
    <izvorni_sadrzaj>LATUS CENTAR d.o.o. I Vidovčica 21, 10000 Zagreb</izvorni_sadrzaj>
    <derivirana_varijabla naziv="DomainObject.Predmet.ProtustrankaWithAdress_1">LATUS CENTAR d.o.o. I Vidovčica 21, 10000 Zagreb</derivirana_varijabla>
  </DomainObject.Predmet.ProtustrankaWithAdress>
  <DomainObject.Predmet.ProtustrankaWithAdressOIB>
    <izvorni_sadrzaj>LATUS CENTAR d.o.o., OIB 66751174658, I Vidovčica 21, 10000 Zagreb</izvorni_sadrzaj>
    <derivirana_varijabla naziv="DomainObject.Predmet.ProtustrankaWithAdressOIB_1">LATUS CENTAR d.o.o., OIB 66751174658, I Vidovčica 21, 10000 Zagreb</derivirana_varijabla>
  </DomainObject.Predmet.ProtustrankaWithAdressOIB>
  <DomainObject.Predmet.ProtustrankaNazivFormated>
    <izvorni_sadrzaj>LATUS CENTAR d.o.o.</izvorni_sadrzaj>
    <derivirana_varijabla naziv="DomainObject.Predmet.ProtustrankaNazivFormated_1">LATUS CENTAR d.o.o.</derivirana_varijabla>
  </DomainObject.Predmet.ProtustrankaNazivFormated>
  <DomainObject.Predmet.ProtustrankaNazivFormatedOIB>
    <izvorni_sadrzaj>LATUS CENTAR d.o.o., OIB 66751174658</izvorni_sadrzaj>
    <derivirana_varijabla naziv="DomainObject.Predmet.ProtustrankaNazivFormatedOIB_1">LATUS CENTAR d.o.o., OIB 66751174658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 REPUBLIKA HRVATSKA, Ministarstvo financija, Porezna uprava, Područni ured Zagreb zastupanog po punomoćniku Županijsko državno odvjetništvo u Zagrebu, GUO</izvorni_sadrzaj>
    <derivirana_varijabla naziv="DomainObject.Predmet.StrankaFormated_1">  FINA Regionalni centar Zagreb; HRVATSKA BANKA ZA OBNOVU I RAZVITAK; REPUBLIKA HRVATSKA,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HRVATSKA BANKA ZA OBNOVU I RAZVITAK, OIB 26702280390; REPUBLIKA HRVATSKA,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HRVATSKA BANKA ZA OBNOVU I RAZVITAK, OIB 26702280390; REPUBLIKA HRVATSKA,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izvorni_sadrzaj>
    <derivirana_varijabla naziv="DomainObject.Predmet.StrankaFormatedWithAdress_1">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izvorni_sadrzaj>
    <derivirana_varijabla naziv="DomainObject.Predmet.StrankaFormatedWithAdressOIB_1">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derivirana_varijabla>
  </DomainObject.Predmet.StrankaFormatedWithAdressOIB>
  <DomainObject.Predmet.StrankaWithAdress>
    <izvorni_sadrzaj>FINA Regionalni centar Zagreb Trg svibanjskih žrtava 1995. 1,10000 Zagreb,HRVATSKA BANKA ZA OBNOVU I RAZVITAK Strossmayerov trg 9,10000 Zagreb,REPUBLIKA HRVATSKA, Ministarstvo financija, Porezna uprava, Područni ured Zagreb </izvorni_sadrzaj>
    <derivirana_varijabla naziv="DomainObject.Predmet.StrankaWithAdress_1">FINA Regionalni centar Zagreb Trg svibanjskih žrtava 1995. 1,10000 Zagreb,HRVATSKA BANKA ZA OBNOVU I RAZVITAK Strossmayerov trg 9,10000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Zagreb,REPUBLIKA HRVATSKA, Ministarstvo financija, Porezna uprava, Područni ured Zagreb, OIB 18683136487</izvorni_sadrzaj>
    <derivirana_varijabla naziv="DomainObject.Predmet.StrankaWithAdressOIB_1">FINA Regionalni centar Zagreb, OIB 85821130368, Trg svibanjskih žrtava 1995. 1,10000 Zagreb,HRVATSKA BANKA ZA OBNOVU I RAZVITAK, OIB 26702280390, Strossmayerov trg 9,10000 Zagreb,REPUBLIKA HRVATSKA, Ministarstvo financija, Porezna uprava, Područni ured Zagreb, OIB 18683136487</derivirana_varijabla>
  </DomainObject.Predmet.StrankaWithAdressOIB>
  <DomainObject.Predmet.StrankaNazivFormated>
    <izvorni_sadrzaj>FINA Regionalni centar Zagreb,HRVATSKA BANKA ZA OBNOVU I RAZVITAK,REPUBLIKA HRVATSKA, Ministarstvo financija, Porezna uprava, Područni ured Zagreb</izvorni_sadrzaj>
    <derivirana_varijabla naziv="DomainObject.Predmet.StrankaNazivFormated_1">FINA Regionalni centar Zagreb,HRVATSKA BANKA ZA OBNOVU I RAZVITAK,REPUBLIKA HRVATSKA, Ministarstvo financija, Porezna uprava, Područni ured Zagreb</derivirana_varijabla>
  </DomainObject.Predmet.StrankaNazivFormated>
  <DomainObject.Predmet.StrankaNazivFormatedOIB>
    <izvorni_sadrzaj>FINA Regionalni centar Zagreb, OIB 85821130368,HRVATSKA BANKA ZA OBNOVU I RAZVITAK, OIB 26702280390,REPUBLIKA HRVATSKA, Ministarstvo financija, Porezna uprava, Područni ured Zagreb, OIB 18683136487</izvorni_sadrzaj>
    <derivirana_varijabla naziv="DomainObject.Predmet.StrankaNazivFormatedOIB_1">FINA Regionalni centar Zagreb, OIB 85821130368,HRVATSKA BANKA ZA OBNOVU I RAZVITAK, OIB 26702280390,REPUBLIKA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HRVATSKA BANKA ZA OBNOVU I RAZVITAK</item>
      <item>REPUBLIKA HRVATSKA, Ministarstvo financija, Porezna uprava, Područni ured Zagreb zastupanog po punomoćniku Županijsko državno odvjetništvo u Zagrebu, GUO</item>
    </izvorni_sadrzaj>
    <derivirana_varijabla naziv="DomainObject.Predmet.StrankaListFormated_1">
      <item>FINA Regionalni centar Zagreb</item>
      <item>HRVATSKA BANKA ZA OBNOVU I RAZVITAK</item>
      <item>REPUBLIKA HRVATSKA, 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izvorni_sadrzaj>
    <derivirana_varijabla naziv="DomainObject.Predmet.StrankaListFormatedWithAdress_1">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derivirana_varijabla>
  </DomainObject.Predmet.StrankaListFormatedWithAdressOIB>
  <DomainObject.Predmet.StrankaListNazivFormated>
    <izvorni_sadrzaj>
      <item>FINA Regionalni centar Zagreb</item>
      <item>HRVATSKA BANKA ZA OBNOVU I RAZVITAK</item>
      <item>REPUBLIKA HRVATSKA, Ministarstvo financija, Porezna uprava, Područni ured Zagreb</item>
    </izvorni_sadrzaj>
    <derivirana_varijabla naziv="DomainObject.Predmet.StrankaListNazivFormated_1">
      <item>FINA Regionalni centar Zagreb</item>
      <item>HRVATSKA BANKA ZA OBNOVU I RAZVITAK</item>
      <item>REPUBLIKA HRVATSKA, Ministarstvo financija, Porezna uprava, Područni ured Zagreb</item>
    </derivirana_varijabla>
  </DomainObject.Predmet.StrankaListNazivFormated>
  <DomainObject.Predmet.StrankaListNazivFormatedOIB>
    <izvorni_sadrzaj>
      <item>FINA Regionalni centar Zagreb, OIB 85821130368</item>
      <item>HRVATSKA BANKA ZA OBNOVU I RAZVITAK, OIB 26702280390</item>
      <item>REPUBLIKA HRVATSKA, Ministarstvo financija, Porezna uprava, Područni ured Zagreb, OIB 18683136487</item>
    </izvorni_sadrzaj>
    <derivirana_varijabla naziv="DomainObject.Predmet.StrankaListNazivFormatedOIB_1">
      <item>FINA Regionalni centar Zagreb, OIB 85821130368</item>
      <item>HRVATSKA BANKA ZA OBNOVU I RAZVITAK, OIB 26702280390</item>
      <item>REPUBLIKA HRVATSKA, Ministarstvo financija, Porezna uprava, Područni ured Zagreb, OIB 18683136487</item>
    </derivirana_varijabla>
  </DomainObject.Predmet.StrankaListNazivFormatedOIB>
  <DomainObject.Predmet.ProtuStrankaListFormated>
    <izvorni_sadrzaj>
      <item>LATUS CENTAR d.o.o. zastupanog po punomoćniku Tatjana Seleši</item>
    </izvorni_sadrzaj>
    <derivirana_varijabla naziv="DomainObject.Predmet.ProtuStrankaListFormated_1">
      <item>LATUS CENTAR d.o.o. zastupanog po punomoćniku Tatjana Seleši</item>
    </derivirana_varijabla>
  </DomainObject.Predmet.ProtuStrankaListFormated>
  <DomainObject.Predmet.ProtuStrankaListFormatedOIB>
    <izvorni_sadrzaj>
      <item>LATUS CENTAR d.o.o., OIB 66751174658 zastupanog po punomoćniku Tatjana Seleši</item>
    </izvorni_sadrzaj>
    <derivirana_varijabla naziv="DomainObject.Predmet.ProtuStrankaListFormatedOIB_1">
      <item>LATUS CENTAR d.o.o., OIB 66751174658 zastupanog po punomoćniku Tatjana Seleši</item>
    </derivirana_varijabla>
  </DomainObject.Predmet.ProtuStrankaListFormatedOIB>
  <DomainObject.Predmet.ProtuStrankaListFormatedWithAdress>
    <izvorni_sadrzaj>
      <item>LATUS CENTAR d.o.o., I Vidovčica 21, 10000 Zagreb zastupanog po punomoćniku Tatjana Seleši</item>
    </izvorni_sadrzaj>
    <derivirana_varijabla naziv="DomainObject.Predmet.ProtuStrankaListFormatedWithAdress_1">
      <item>LATUS CENTAR d.o.o., I Vidovčica 21, 10000 Zagreb zastupanog po punomoćniku Tatjana Seleši</item>
    </derivirana_varijabla>
  </DomainObject.Predmet.ProtuStrankaListFormatedWithAdress>
  <DomainObject.Predmet.ProtuStrankaListFormatedWithAdressOIB>
    <izvorni_sadrzaj>
      <item>LATUS CENTAR d.o.o., OIB 66751174658, I Vidovčica 21, 10000 Zagreb zastupanog po punomoćniku Tatjana Seleši</item>
    </izvorni_sadrzaj>
    <derivirana_varijabla naziv="DomainObject.Predmet.ProtuStrankaListFormatedWithAdressOIB_1">
      <item>LATUS CENTAR d.o.o., OIB 66751174658, I Vidovčica 21, 10000 Zagreb zastupanog po punomoćniku Tatjana Seleši</item>
    </derivirana_varijabla>
  </DomainObject.Predmet.ProtuStrankaListFormatedWithAdressOIB>
  <DomainObject.Predmet.ProtuStrankaListNazivFormated>
    <izvorni_sadrzaj>
      <item>LATUS CENTAR d.o.o.</item>
    </izvorni_sadrzaj>
    <derivirana_varijabla naziv="DomainObject.Predmet.ProtuStrankaListNazivFormated_1">
      <item>LATUS CENTAR d.o.o.</item>
    </derivirana_varijabla>
  </DomainObject.Predmet.ProtuStrankaListNazivFormated>
  <DomainObject.Predmet.ProtuStrankaListNazivFormatedOIB>
    <izvorni_sadrzaj>
      <item>LATUS CENTAR d.o.o., OIB 66751174658</item>
    </izvorni_sadrzaj>
    <derivirana_varijabla naziv="DomainObject.Predmet.ProtuStrankaListNazivFormatedOIB_1">
      <item>LATUS CENTAR d.o.o., OIB 66751174658</item>
    </derivirana_varijabla>
  </DomainObject.Predmet.ProtuStrankaListNazivFormatedOIB>
  <DomainObject.Predmet.OstaliListFormated>
    <izvorni_sadrzaj>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Boltužić</item>
    </izvorni_sadrzaj>
    <derivirana_varijabla naziv="DomainObject.Predmet.OstaliListFormated_1">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Boltužić</item>
    </derivirana_varijabla>
  </DomainObject.Predmet.OstaliListFormated>
  <DomainObject.Predmet.OstaliListFormatedOIB>
    <izvorni_sadrzaj>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Boltužić, OIB 24281705494</item>
    </izvorni_sadrzaj>
    <derivirana_varijabla naziv="DomainObject.Predmet.OstaliListFormatedOIB_1">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Boltužić, OIB 24281705494</item>
    </derivirana_varijabla>
  </DomainObject.Predmet.OstaliListFormatedOIB>
  <DomainObject.Predmet.OstaliListFormatedWithAdress>
    <izvorni_sadrzaj>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Boltužić, Jordanovac 113, 10000 Zagreb</item>
    </izvorni_sadrzaj>
    <derivirana_varijabla naziv="DomainObject.Predmet.OstaliListFormatedWithAdress_1">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Boltužić, Jordanovac 113, 10000 Zagreb</item>
    </derivirana_varijabla>
  </DomainObject.Predmet.OstaliListFormatedWithAdress>
  <DomainObject.Predmet.OstaliListFormatedWithAdressOIB>
    <izvorni_sadrzaj>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Boltužić, OIB 24281705494, Jordanovac 113, 10000 Zagreb</item>
    </izvorni_sadrzaj>
    <derivirana_varijabla naziv="DomainObject.Predmet.OstaliListFormatedWithAdressOIB_1">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Boltužić, OIB 24281705494, Jordanovac 113, 10000 Zagreb</item>
    </derivirana_varijabla>
  </DomainObject.Predmet.OstaliListFormatedWithAdressOIB>
  <DomainObject.Predmet.OstaliListNazivFormated>
    <izvorni_sadrzaj>
      <item>Tatjana Seleši</item>
      <item>HRVATSKA BANKA ZA OBNOVU I RAZVITAK</item>
      <item>Županijsko državno odvjetništvo u Zagrebu, GUO</item>
      <item>Ivica Boltužić</item>
    </izvorni_sadrzaj>
    <derivirana_varijabla naziv="DomainObject.Predmet.OstaliListNazivFormated_1">
      <item>Tatjana Seleši</item>
      <item>HRVATSKA BANKA ZA OBNOVU I RAZVITAK</item>
      <item>Županijsko državno odvjetništvo u Zagrebu, GUO</item>
      <item>Ivica Boltužić</item>
    </derivirana_varijabla>
  </DomainObject.Predmet.OstaliListNazivFormated>
  <DomainObject.Predmet.OstaliListNazivFormatedOIB>
    <izvorni_sadrzaj>
      <item>Tatjana Seleši, OIB 67479226571</item>
      <item>HRVATSKA BANKA ZA OBNOVU I RAZVITAK, OIB 26702280390</item>
      <item>Županijsko državno odvjetništvo u Zagrebu, GUO</item>
      <item>Ivica Boltužić, OIB 24281705494</item>
    </izvorni_sadrzaj>
    <derivirana_varijabla naziv="DomainObject.Predmet.OstaliListNazivFormatedOIB_1">
      <item>Tatjana Seleši, OIB 67479226571</item>
      <item>HRVATSKA BANKA ZA OBNOVU I RAZVITAK, OIB 26702280390</item>
      <item>Županijsko državno odvjetništvo u Zagrebu, GUO</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LATUS CENTAR d.o.o.</izvorni_sadrzaj>
    <derivirana_varijabla naziv="DomainObject.Predmet.ProtustrankaIDrugi_1">LATUS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LATUS CENTAR d.o.o., OIB 66751174658, I Vidovčica 21, 10000 Zagreb</izvorni_sadrzaj>
    <derivirana_varijabla naziv="DomainObject.Predmet.ProtustrankaIDrugiAdressOIB_1">LATUS CENTAR d.o.o., OIB 66751174658, I Vidovčica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Boltužić</item>
    </izvorni_sadrzaj>
    <derivirana_varijabla naziv="DomainObject.Predmet.SudioniciListNaziv_1">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Boltužić</item>
    </derivirana_varijabla>
  </DomainObject.Predmet.SudioniciListNaziv>
  <DomainObject.Predmet.SudioniciListAdressOIB>
    <izvorni_sadrzaj>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Boltužić, OIB 24281705494, Jordanovac 113,10000 Zagreb</item>
    </izvorni_sadrzaj>
    <derivirana_varijabla naziv="DomainObject.Predmet.SudioniciListAdressOIB_1">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Boltužić, OIB 24281705494, Jordanovac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66751174658</item>
      <item>, OIB 85821130368</item>
      <item>, OIB 67479226571</item>
      <item>, OIB 26702280390</item>
      <item>, OIB 26702280390</item>
      <item>, OIB null</item>
      <item>, OIB 18683136487</item>
      <item>, OIB 24281705494</item>
    </izvorni_sadrzaj>
    <derivirana_varijabla naziv="DomainObject.Predmet.SudioniciListNazivOIB_1">
      <item>, OIB 66751174658</item>
      <item>, OIB 85821130368</item>
      <item>, OIB 67479226571</item>
      <item>, OIB 26702280390</item>
      <item>, OIB 26702280390</item>
      <item>, OIB null</item>
      <item>, OIB 18683136487</item>
      <item>, OIB 24281705494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672</properties:Words>
  <properties:Characters>3895</properties:Characters>
  <properties:Lines>84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2017-08-08T08:27:00Z</dcterms:created>
  <dc:creator>Kristina Švajger</dc:creator>
  <cp:lastModifiedBy>Kristina Švajger</cp:lastModifiedBy>
  <dcterms:modified xmlns:xsi="http://www.w3.org/2001/XMLSchema-instance" xsi:type="dcterms:W3CDTF">2017-08-08T08:28:00Z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St-4710/2016-38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