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vnd.openxmlformats-officedocument.spreadsheetml.sheet" Extension="xlsx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olors1.xml" ContentType="application/vnd.ms-office.chartcolorstyle+xml"/>
  <Override PartName="/word/charts/style1.xml" ContentType="application/vnd.ms-office.chartstyle+xml"/>
  <Override PartName="/word/diagrams/colors1.xml" ContentType="application/vnd.openxmlformats-officedocument.drawingml.diagramColors+xml"/>
  <Override PartName="/word/diagrams/colors2.xml" ContentType="application/vnd.openxmlformats-officedocument.drawingml.diagramColor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9e4ac" w14:paraId="3e9e4ac" w:rsidRDefault="002A4FF6" w:rsidP="00A56E6F" w:rsidR="00DC3E82" w:rsidRPr="00DC3E82">
      <w:pPr>
        <w:spacing w:after="120"/>
        <w:jc w:val="center"/>
        <w15:collapsed w:val="false"/>
        <w:rPr>
          <w:color w:themeTint="99" w:themeColor="text2" w:val="548DD4"/>
          <w:sz w:val="40"/>
          <w:szCs w:val="40"/>
        </w:rPr>
      </w:pPr>
      <w:bookmarkStart w:name="_Toc283111383" w:id="0"/>
      <w:bookmarkStart w:name="_Toc292093909" w:id="1"/>
      <w:bookmarkStart w:name="_GoBack" w:id="2"/>
      <w:bookmarkEnd w:id="2"/>
      <w:r>
        <w:rPr>
          <w:color w:themeTint="99" w:themeColor="text2" w:val="548DD4"/>
          <w:sz w:val="40"/>
          <w:szCs w:val="40"/>
        </w:rPr>
        <w:t xml:space="preserve">JURATEX </w:t>
      </w:r>
      <w:r w:rsidR="00DC3E82" w:rsidRPr="00DC3E82">
        <w:rPr>
          <w:color w:themeTint="99" w:themeColor="text2" w:val="548DD4"/>
          <w:sz w:val="40"/>
          <w:szCs w:val="40"/>
        </w:rPr>
        <w:t xml:space="preserve">UNDERWEAR </w:t>
      </w:r>
    </w:p>
    <w:p w:rsidRDefault="001D5824" w:rsidP="00A56E6F" w:rsidR="007B052D" w:rsidRPr="00DC3E82">
      <w:pPr>
        <w:spacing w:after="120"/>
        <w:jc w:val="center"/>
        <w:rPr>
          <w:rFonts w:eastAsia="Times New Roman"/>
          <w:color w:themeTint="99" w:themeColor="text2" w:val="548DD4"/>
          <w:sz w:val="40"/>
          <w:szCs w:val="40"/>
          <w:lang w:eastAsia="hr-HR" w:val="hr-HR"/>
        </w:rPr>
      </w:pPr>
      <w:r>
        <w:rPr>
          <w:color w:themeTint="99" w:themeColor="text2" w:val="548DD4"/>
          <w:sz w:val="40"/>
          <w:szCs w:val="40"/>
        </w:rPr>
        <w:t xml:space="preserve">obrt   </w:t>
      </w:r>
      <w:r w:rsidR="00DC3E82" w:rsidRPr="00DC3E82">
        <w:rPr>
          <w:color w:themeTint="99" w:themeColor="text2" w:val="548DD4"/>
          <w:sz w:val="40"/>
          <w:szCs w:val="40"/>
        </w:rPr>
        <w:t>za proizvodnju, trgovinu i prijevoz</w:t>
      </w:r>
    </w:p>
    <w:p w:rsidRDefault="007B052D" w:rsidP="007B052D" w:rsidR="007B052D" w:rsidRPr="007B052D">
      <w:pPr>
        <w:spacing w:after="120"/>
        <w:jc w:val="center"/>
        <w:rPr>
          <w:rFonts w:eastAsia="MS Gothic"/>
          <w:color w:val="548DD4"/>
          <w:sz w:val="72"/>
          <w:szCs w:val="72"/>
          <w:lang w:eastAsia="hr-HR" w:val="hr-HR"/>
        </w:rPr>
      </w:pPr>
    </w:p>
    <w:p w:rsidRDefault="007B052D" w:rsidP="007B052D" w:rsidR="007B052D">
      <w:pPr>
        <w:tabs>
          <w:tab w:pos="4536" w:val="center"/>
          <w:tab w:pos="9072" w:val="right"/>
        </w:tabs>
        <w:ind w:right="360"/>
        <w:rPr>
          <w:rFonts w:eastAsia="MS Gothic"/>
          <w:color w:val="548DD4"/>
          <w:sz w:val="72"/>
          <w:szCs w:val="72"/>
          <w:lang w:eastAsia="hr-HR" w:val="hr-HR"/>
        </w:rPr>
      </w:pPr>
      <w:r>
        <w:rPr>
          <w:rFonts w:eastAsia="MS Gothic"/>
          <w:color w:val="548DD4"/>
          <w:sz w:val="72"/>
          <w:szCs w:val="72"/>
          <w:lang w:eastAsia="hr-HR" w:val="hr-HR"/>
        </w:rPr>
        <w:t xml:space="preserve">         </w:t>
      </w:r>
    </w:p>
    <w:p w:rsidRDefault="007B052D" w:rsidP="007B052D" w:rsidR="007B052D" w:rsidRPr="007B052D">
      <w:pPr>
        <w:tabs>
          <w:tab w:pos="4536" w:val="center"/>
          <w:tab w:pos="9072" w:val="right"/>
        </w:tabs>
        <w:ind w:right="360"/>
        <w:rPr>
          <w:rFonts w:eastAsia="MS Gothic"/>
          <w:color w:val="548DD4"/>
          <w:sz w:val="72"/>
          <w:szCs w:val="72"/>
          <w:lang w:eastAsia="hr-HR" w:val="hr-HR"/>
        </w:rPr>
      </w:pPr>
      <w:r>
        <w:rPr>
          <w:rFonts w:eastAsia="MS Gothic"/>
          <w:color w:val="548DD4"/>
          <w:sz w:val="72"/>
          <w:szCs w:val="72"/>
          <w:lang w:eastAsia="hr-HR" w:val="hr-HR"/>
        </w:rPr>
        <w:t xml:space="preserve">               </w:t>
      </w:r>
    </w:p>
    <w:p w:rsidRDefault="007B052D" w:rsidP="007B052D" w:rsidR="007B052D">
      <w:pPr>
        <w:tabs>
          <w:tab w:pos="4536" w:val="center"/>
          <w:tab w:pos="9072" w:val="right"/>
        </w:tabs>
        <w:ind w:right="360"/>
        <w:jc w:val="center"/>
        <w:rPr>
          <w:rFonts w:eastAsia="MS Gothic"/>
          <w:color w:val="548DD4"/>
          <w:sz w:val="56"/>
          <w:szCs w:val="72"/>
          <w:lang w:eastAsia="hr-HR" w:val="hr-HR"/>
        </w:rPr>
      </w:pPr>
    </w:p>
    <w:p w:rsidRDefault="007B052D" w:rsidP="007B052D" w:rsidR="007B052D">
      <w:pPr>
        <w:tabs>
          <w:tab w:pos="4536" w:val="center"/>
          <w:tab w:pos="9072" w:val="right"/>
        </w:tabs>
        <w:ind w:right="360"/>
        <w:jc w:val="center"/>
        <w:rPr>
          <w:rFonts w:eastAsia="MS Gothic"/>
          <w:color w:val="548DD4"/>
          <w:sz w:val="56"/>
          <w:szCs w:val="72"/>
          <w:lang w:eastAsia="hr-HR" w:val="hr-HR"/>
        </w:rPr>
      </w:pPr>
    </w:p>
    <w:p w:rsidRDefault="00A56E6F" w:rsidP="007B052D" w:rsidR="00A56E6F">
      <w:pPr>
        <w:tabs>
          <w:tab w:pos="4536" w:val="center"/>
          <w:tab w:pos="9072" w:val="right"/>
        </w:tabs>
        <w:ind w:right="360"/>
        <w:jc w:val="center"/>
        <w:rPr>
          <w:rFonts w:eastAsia="MS Gothic"/>
          <w:color w:val="548DD4"/>
          <w:sz w:val="56"/>
          <w:szCs w:val="72"/>
          <w:lang w:eastAsia="hr-HR" w:val="hr-HR"/>
        </w:rPr>
      </w:pPr>
    </w:p>
    <w:p w:rsidRDefault="00A56E6F" w:rsidP="007B052D" w:rsidR="00A56E6F">
      <w:pPr>
        <w:tabs>
          <w:tab w:pos="4536" w:val="center"/>
          <w:tab w:pos="9072" w:val="right"/>
        </w:tabs>
        <w:ind w:right="360"/>
        <w:jc w:val="center"/>
        <w:rPr>
          <w:rFonts w:eastAsia="MS Gothic"/>
          <w:color w:val="548DD4"/>
          <w:sz w:val="56"/>
          <w:szCs w:val="72"/>
          <w:lang w:eastAsia="hr-HR" w:val="hr-HR"/>
        </w:rPr>
      </w:pPr>
    </w:p>
    <w:p w:rsidRDefault="003B3E53" w:rsidP="003B3E53" w:rsidR="003B3E53" w:rsidRPr="003B3E53">
      <w:pPr>
        <w:tabs>
          <w:tab w:pos="4536" w:val="center"/>
          <w:tab w:pos="9072" w:val="right"/>
        </w:tabs>
        <w:ind w:right="360"/>
        <w:jc w:val="center"/>
        <w:rPr>
          <w:rFonts w:eastAsia="MS Gothic"/>
          <w:color w:themeColor="accent1" w:val="4F81BD"/>
          <w:sz w:val="56"/>
          <w:szCs w:val="72"/>
          <w:lang w:eastAsia="hr-HR" w:val="hr-HR"/>
        </w:rPr>
      </w:pPr>
      <w:r w:rsidRPr="003B3E53">
        <w:rPr>
          <w:rFonts w:eastAsia="MS Gothic"/>
          <w:color w:themeColor="accent1" w:val="4F81BD"/>
          <w:sz w:val="56"/>
          <w:szCs w:val="72"/>
          <w:lang w:eastAsia="hr-HR" w:val="hr-HR"/>
        </w:rPr>
        <w:t>Plan financijskog i operativnog restrukturiranja</w:t>
      </w:r>
    </w:p>
    <w:p w:rsidRDefault="003B3E53" w:rsidP="003B3E53" w:rsidR="003B3E53" w:rsidRPr="003B3E53">
      <w:pPr>
        <w:tabs>
          <w:tab w:pos="4536" w:val="center"/>
          <w:tab w:pos="9072" w:val="right"/>
        </w:tabs>
        <w:jc w:val="center"/>
        <w:rPr>
          <w:rFonts w:eastAsia="MS Gothic"/>
          <w:color w:val="548DD4"/>
          <w:sz w:val="56"/>
          <w:szCs w:val="72"/>
          <w:lang w:eastAsia="hr-HR" w:val="hr-HR"/>
        </w:rPr>
      </w:pPr>
      <w:r w:rsidRPr="003B3E53">
        <w:rPr>
          <w:rFonts w:eastAsia="MS Gothic"/>
          <w:color w:val="548DD4"/>
          <w:sz w:val="56"/>
          <w:szCs w:val="72"/>
          <w:lang w:eastAsia="hr-HR" w:val="hr-HR"/>
        </w:rPr>
        <w:t>(2016. - 2021.)</w:t>
      </w:r>
    </w:p>
    <w:p w:rsidRDefault="007B052D" w:rsidP="007B052D" w:rsidR="007B052D" w:rsidRPr="007B052D">
      <w:pPr>
        <w:tabs>
          <w:tab w:pos="4536" w:val="center"/>
          <w:tab w:pos="9072" w:val="right"/>
        </w:tabs>
        <w:ind w:right="360"/>
        <w:jc w:val="center"/>
        <w:rPr>
          <w:rFonts w:eastAsia="MS Gothic"/>
          <w:color w:val="548DD4"/>
          <w:sz w:val="56"/>
          <w:szCs w:val="72"/>
          <w:lang w:eastAsia="hr-HR" w:val="hr-HR"/>
        </w:rPr>
      </w:pPr>
    </w:p>
    <w:p w:rsidRDefault="007B052D" w:rsidP="007B052D" w:rsidR="007B052D" w:rsidRPr="007B052D">
      <w:pPr>
        <w:spacing w:after="120"/>
        <w:jc w:val="center"/>
        <w:rPr>
          <w:rFonts w:eastAsia="Times New Roman"/>
          <w:noProof/>
          <w:color w:val="548DD4"/>
          <w:sz w:val="36"/>
          <w:szCs w:val="36"/>
          <w:lang w:eastAsia="hr-HR" w:val="hr-HR"/>
        </w:rPr>
      </w:pPr>
    </w:p>
    <w:p w:rsidRDefault="007B052D" w:rsidP="007B052D" w:rsidR="007B052D" w:rsidRPr="007B052D">
      <w:pPr>
        <w:spacing w:after="240"/>
        <w:rPr>
          <w:rFonts w:eastAsia="Times New Roman"/>
          <w:noProof/>
          <w:color w:val="548DD4"/>
          <w:sz w:val="36"/>
          <w:szCs w:val="36"/>
          <w:lang w:eastAsia="hr-HR" w:val="hr-HR"/>
        </w:rPr>
      </w:pPr>
    </w:p>
    <w:p w:rsidRDefault="00D50364" w:rsidP="007B052D" w:rsidR="007B052D" w:rsidRPr="007B052D">
      <w:pPr>
        <w:spacing w:after="240"/>
        <w:rPr>
          <w:rFonts w:eastAsia="Times New Roman"/>
          <w:noProof/>
          <w:color w:val="548DD4"/>
          <w:sz w:val="36"/>
          <w:szCs w:val="36"/>
          <w:lang w:eastAsia="hr-HR" w:val="hr-HR"/>
        </w:rPr>
      </w:pPr>
      <w:r>
        <w:rPr>
          <w:rFonts w:eastAsia="Times New Roman"/>
          <w:noProof/>
          <w:lang w:eastAsia="hr-HR" w:val="hr-HR"/>
        </w:rPr>
        <w:pict>
          <v:rect stroked="f" o:spid="_x0000_s1026" id="Rectangle 4" style="position:absolute;margin-left:-6.85pt;margin-top:666pt;width:603pt;height:175.5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>
            <v:fill rotate="t" focus="100%" color2="#8eb4e3" opacity="0" type="gradient"/>
            <v:textbox inset=",7.2pt,,7.2pt">
              <w:txbxContent>
                <w:p w:rsidRDefault="00012A88" w:rsidP="007B052D" w:rsidR="00012A88"/>
              </w:txbxContent>
            </v:textbox>
            <w10:wrap anchory="page" anchorx="page"/>
          </v:rect>
        </w:pict>
      </w:r>
      <w:r w:rsidR="007B052D" w:rsidRPr="007B052D">
        <w:rPr>
          <w:rFonts w:eastAsia="Times New Roman"/>
          <w:noProof/>
          <w:color w:val="548DD4"/>
          <w:sz w:val="36"/>
          <w:szCs w:val="36"/>
          <w:lang w:eastAsia="hr-HR" w:val="hr-HR"/>
        </w:rPr>
        <w:tab/>
      </w:r>
    </w:p>
    <w:p w:rsidRDefault="007B052D" w:rsidP="007B052D" w:rsidR="007B052D" w:rsidRPr="007B052D">
      <w:pPr>
        <w:spacing w:after="240"/>
        <w:jc w:val="right"/>
        <w:rPr>
          <w:rFonts w:eastAsia="Times New Roman"/>
          <w:noProof/>
          <w:color w:val="548DD4"/>
          <w:sz w:val="36"/>
          <w:szCs w:val="36"/>
          <w:lang w:eastAsia="hr-HR" w:val="hr-HR"/>
        </w:rPr>
      </w:pPr>
    </w:p>
    <w:p w:rsidRDefault="007B052D" w:rsidP="007B052D" w:rsidR="007B052D" w:rsidRPr="007B052D">
      <w:pPr>
        <w:spacing w:after="240"/>
        <w:jc w:val="right"/>
        <w:rPr>
          <w:rFonts w:eastAsia="Times New Roman"/>
          <w:noProof/>
          <w:color w:val="548DD4"/>
          <w:sz w:val="36"/>
          <w:szCs w:val="36"/>
          <w:lang w:eastAsia="hr-HR" w:val="hr-HR"/>
        </w:rPr>
      </w:pPr>
    </w:p>
    <w:p w:rsidRDefault="005358E8" w:rsidP="000C6B6B" w:rsidR="007B052D" w:rsidRPr="007B052D">
      <w:pPr>
        <w:spacing w:after="240"/>
        <w:jc w:val="right"/>
        <w:rPr>
          <w:rFonts w:eastAsia="Times New Roman"/>
          <w:noProof/>
          <w:color w:val="548DD4"/>
          <w:sz w:val="36"/>
          <w:szCs w:val="36"/>
          <w:lang w:eastAsia="hr-HR" w:val="hr-HR"/>
        </w:rPr>
      </w:pPr>
      <w:r>
        <w:rPr>
          <w:rFonts w:eastAsia="Times New Roman"/>
          <w:noProof/>
          <w:color w:val="548DD4"/>
          <w:sz w:val="36"/>
          <w:szCs w:val="36"/>
          <w:lang w:eastAsia="hr-HR" w:val="hr-HR"/>
        </w:rPr>
        <w:t>24</w:t>
      </w:r>
      <w:r w:rsidR="00A56E6F">
        <w:rPr>
          <w:rFonts w:eastAsia="Times New Roman"/>
          <w:noProof/>
          <w:color w:val="548DD4"/>
          <w:sz w:val="36"/>
          <w:szCs w:val="36"/>
          <w:lang w:eastAsia="hr-HR" w:val="hr-HR"/>
        </w:rPr>
        <w:t>.</w:t>
      </w:r>
      <w:r>
        <w:rPr>
          <w:rFonts w:eastAsia="Times New Roman"/>
          <w:noProof/>
          <w:color w:val="548DD4"/>
          <w:sz w:val="36"/>
          <w:szCs w:val="36"/>
          <w:lang w:eastAsia="hr-HR" w:val="hr-HR"/>
        </w:rPr>
        <w:t>04</w:t>
      </w:r>
      <w:r w:rsidR="007B052D" w:rsidRPr="007B052D">
        <w:rPr>
          <w:rFonts w:eastAsia="Times New Roman"/>
          <w:noProof/>
          <w:color w:val="548DD4"/>
          <w:sz w:val="36"/>
          <w:szCs w:val="36"/>
          <w:lang w:eastAsia="hr-HR" w:val="hr-HR"/>
        </w:rPr>
        <w:t>.201</w:t>
      </w:r>
      <w:r>
        <w:rPr>
          <w:rFonts w:eastAsia="Times New Roman"/>
          <w:noProof/>
          <w:color w:val="548DD4"/>
          <w:sz w:val="36"/>
          <w:szCs w:val="36"/>
          <w:lang w:eastAsia="hr-HR" w:val="hr-HR"/>
        </w:rPr>
        <w:t>7</w:t>
      </w:r>
      <w:r w:rsidR="007B052D" w:rsidRPr="007B052D">
        <w:rPr>
          <w:rFonts w:eastAsia="Times New Roman"/>
          <w:noProof/>
          <w:color w:val="548DD4"/>
          <w:sz w:val="36"/>
          <w:szCs w:val="36"/>
          <w:lang w:eastAsia="hr-HR" w:val="hr-HR"/>
        </w:rPr>
        <w:t>.</w:t>
      </w:r>
    </w:p>
    <w:p w:rsidRDefault="00A56E6F" w:rsidP="00CE710F" w:rsidR="00A56E6F">
      <w:pPr>
        <w:rPr>
          <w:noProof/>
          <w:color w:themeColor="accent1" w:val="4F81BD"/>
          <w:sz w:val="36"/>
          <w:szCs w:val="36"/>
        </w:rPr>
      </w:pPr>
    </w:p>
    <w:p w:rsidRDefault="009F4672" w:rsidP="00CE710F" w:rsidR="009F4672">
      <w:pPr>
        <w:rPr>
          <w:noProof/>
          <w:color w:themeColor="accent1" w:val="4F81BD"/>
          <w:sz w:val="36"/>
          <w:szCs w:val="36"/>
        </w:rPr>
      </w:pPr>
    </w:p>
    <w:p w:rsidRDefault="009F4672" w:rsidP="00CE710F" w:rsidR="009F4672">
      <w:pPr>
        <w:rPr>
          <w:noProof/>
          <w:color w:themeColor="accent1" w:val="4F81BD"/>
          <w:sz w:val="36"/>
          <w:szCs w:val="36"/>
        </w:rPr>
      </w:pPr>
    </w:p>
    <w:p w:rsidRDefault="00F016F3" w:rsidR="004C00BA">
      <w:pPr>
        <w:pStyle w:val="Sadraj1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2"/>
        </w:rPr>
      </w:pPr>
      <w:r w:rsidRPr="00E85B21">
        <w:rPr>
          <w:rFonts w:cs="Times New Roman"/>
          <w:sz w:val="22"/>
          <w:szCs w:val="24"/>
        </w:rPr>
        <w:lastRenderedPageBreak/>
        <w:fldChar w:fldCharType="begin"/>
      </w:r>
      <w:r w:rsidR="00FF7F00" w:rsidRPr="00E85B21">
        <w:rPr>
          <w:rFonts w:cs="Times New Roman"/>
          <w:sz w:val="22"/>
          <w:szCs w:val="24"/>
        </w:rPr>
        <w:instrText xml:space="preserve"> TOC \o "1-3" \h \z \u </w:instrText>
      </w:r>
      <w:r w:rsidRPr="00E85B21">
        <w:rPr>
          <w:rFonts w:cs="Times New Roman"/>
          <w:sz w:val="22"/>
          <w:szCs w:val="24"/>
        </w:rPr>
        <w:fldChar w:fldCharType="separate"/>
      </w:r>
      <w:hyperlink w:anchor="_Toc462747737" w:history="true">
        <w:r w:rsidR="004C00BA" w:rsidRPr="0068292C">
          <w:rPr>
            <w:rStyle w:val="Hiperveza"/>
            <w:noProof/>
          </w:rPr>
          <w:t>1. UVOD</w:t>
        </w:r>
        <w:r w:rsidR="004C00BA">
          <w:rPr>
            <w:noProof/>
            <w:webHidden/>
          </w:rPr>
          <w:tab/>
        </w:r>
        <w:r w:rsidR="004C00BA">
          <w:rPr>
            <w:noProof/>
            <w:webHidden/>
          </w:rPr>
          <w:fldChar w:fldCharType="begin"/>
        </w:r>
        <w:r w:rsidR="004C00BA">
          <w:rPr>
            <w:noProof/>
            <w:webHidden/>
          </w:rPr>
          <w:instrText xml:space="preserve"> PAGEREF _Toc462747737 \h </w:instrText>
        </w:r>
        <w:r w:rsidR="004C00BA">
          <w:rPr>
            <w:noProof/>
            <w:webHidden/>
          </w:rPr>
        </w:r>
        <w:r w:rsidR="004C00BA">
          <w:rPr>
            <w:noProof/>
            <w:webHidden/>
          </w:rPr>
          <w:fldChar w:fldCharType="separate"/>
        </w:r>
        <w:r w:rsidR="00CA78D8">
          <w:rPr>
            <w:noProof/>
            <w:webHidden/>
          </w:rPr>
          <w:t>3</w:t>
        </w:r>
        <w:r w:rsidR="004C00BA">
          <w:rPr>
            <w:noProof/>
            <w:webHidden/>
          </w:rPr>
          <w:fldChar w:fldCharType="end"/>
        </w:r>
      </w:hyperlink>
    </w:p>
    <w:p w:rsidRDefault="00D50364" w:rsidR="004C00BA">
      <w:pPr>
        <w:pStyle w:val="Sadraj2"/>
        <w:rPr>
          <w:rFonts w:cstheme="minorBidi" w:eastAsiaTheme="minorEastAsia" w:hAnsiTheme="minorHAnsi" w:asciiTheme="minorHAnsi"/>
          <w:smallCaps w:val="false"/>
          <w:noProof/>
          <w:sz w:val="22"/>
          <w:szCs w:val="22"/>
        </w:rPr>
      </w:pPr>
      <w:hyperlink w:anchor="_Toc462747738" w:history="true">
        <w:r w:rsidR="004C00BA" w:rsidRPr="0068292C">
          <w:rPr>
            <w:rStyle w:val="Hiperveza"/>
            <w:noProof/>
          </w:rPr>
          <w:t>1.1.</w:t>
        </w:r>
        <w:r w:rsidR="004C00BA">
          <w:rPr>
            <w:rFonts w:cstheme="minorBidi" w:eastAsiaTheme="minorEastAsia" w:hAnsiTheme="minorHAnsi" w:asciiTheme="minorHAnsi"/>
            <w:smallCaps w:val="false"/>
            <w:noProof/>
            <w:sz w:val="22"/>
            <w:szCs w:val="22"/>
          </w:rPr>
          <w:tab/>
        </w:r>
        <w:r w:rsidR="004C00BA" w:rsidRPr="0068292C">
          <w:rPr>
            <w:rStyle w:val="Hiperveza"/>
            <w:noProof/>
          </w:rPr>
          <w:t>Opći podaci</w:t>
        </w:r>
        <w:r w:rsidR="004C00BA">
          <w:rPr>
            <w:noProof/>
            <w:webHidden/>
          </w:rPr>
          <w:tab/>
        </w:r>
        <w:r w:rsidR="004C00BA">
          <w:rPr>
            <w:noProof/>
            <w:webHidden/>
          </w:rPr>
          <w:fldChar w:fldCharType="begin"/>
        </w:r>
        <w:r w:rsidR="004C00BA">
          <w:rPr>
            <w:noProof/>
            <w:webHidden/>
          </w:rPr>
          <w:instrText xml:space="preserve"> PAGEREF _Toc462747738 \h </w:instrText>
        </w:r>
        <w:r w:rsidR="004C00BA">
          <w:rPr>
            <w:noProof/>
            <w:webHidden/>
          </w:rPr>
        </w:r>
        <w:r w:rsidR="004C00BA">
          <w:rPr>
            <w:noProof/>
            <w:webHidden/>
          </w:rPr>
          <w:fldChar w:fldCharType="separate"/>
        </w:r>
        <w:r w:rsidR="00CA78D8">
          <w:rPr>
            <w:noProof/>
            <w:webHidden/>
          </w:rPr>
          <w:t>4</w:t>
        </w:r>
        <w:r w:rsidR="004C00BA">
          <w:rPr>
            <w:noProof/>
            <w:webHidden/>
          </w:rPr>
          <w:fldChar w:fldCharType="end"/>
        </w:r>
      </w:hyperlink>
    </w:p>
    <w:p w:rsidRDefault="00D50364" w:rsidR="004C00BA">
      <w:pPr>
        <w:pStyle w:val="Sadraj3"/>
        <w:tabs>
          <w:tab w:pos="1200" w:val="left"/>
          <w:tab w:pos="8914" w:val="right"/>
        </w:tabs>
        <w:rPr>
          <w:rFonts w:cstheme="minorBidi" w:eastAsiaTheme="minorEastAsia" w:hAnsiTheme="minorHAnsi" w:asciiTheme="minorHAnsi"/>
          <w:i w:val="false"/>
          <w:iCs w:val="false"/>
          <w:noProof/>
          <w:sz w:val="22"/>
          <w:szCs w:val="22"/>
        </w:rPr>
      </w:pPr>
      <w:hyperlink w:anchor="_Toc462747739" w:history="true">
        <w:r w:rsidR="004C00BA" w:rsidRPr="0068292C">
          <w:rPr>
            <w:rStyle w:val="Hiperveza"/>
            <w:rFonts w:eastAsia="Calibri"/>
            <w:noProof/>
          </w:rPr>
          <w:t>1.1.1.</w:t>
        </w:r>
        <w:r w:rsidR="004C00BA">
          <w:rPr>
            <w:rFonts w:cstheme="minorBidi" w:eastAsiaTheme="minorEastAsia" w:hAnsiTheme="minorHAnsi" w:asciiTheme="minorHAnsi"/>
            <w:i w:val="false"/>
            <w:iCs w:val="false"/>
            <w:noProof/>
            <w:sz w:val="22"/>
            <w:szCs w:val="22"/>
          </w:rPr>
          <w:tab/>
        </w:r>
        <w:r w:rsidR="004C00BA" w:rsidRPr="0068292C">
          <w:rPr>
            <w:rStyle w:val="Hiperveza"/>
            <w:rFonts w:eastAsia="Calibri"/>
            <w:noProof/>
          </w:rPr>
          <w:t>Predmet poslovanja</w:t>
        </w:r>
        <w:r w:rsidR="004C00BA">
          <w:rPr>
            <w:noProof/>
            <w:webHidden/>
          </w:rPr>
          <w:tab/>
        </w:r>
        <w:r w:rsidR="004C00BA">
          <w:rPr>
            <w:noProof/>
            <w:webHidden/>
          </w:rPr>
          <w:fldChar w:fldCharType="begin"/>
        </w:r>
        <w:r w:rsidR="004C00BA">
          <w:rPr>
            <w:noProof/>
            <w:webHidden/>
          </w:rPr>
          <w:instrText xml:space="preserve"> PAGEREF _Toc462747739 \h </w:instrText>
        </w:r>
        <w:r w:rsidR="004C00BA">
          <w:rPr>
            <w:noProof/>
            <w:webHidden/>
          </w:rPr>
        </w:r>
        <w:r w:rsidR="004C00BA">
          <w:rPr>
            <w:noProof/>
            <w:webHidden/>
          </w:rPr>
          <w:fldChar w:fldCharType="separate"/>
        </w:r>
        <w:r w:rsidR="00CA78D8">
          <w:rPr>
            <w:noProof/>
            <w:webHidden/>
          </w:rPr>
          <w:t>4</w:t>
        </w:r>
        <w:r w:rsidR="004C00BA">
          <w:rPr>
            <w:noProof/>
            <w:webHidden/>
          </w:rPr>
          <w:fldChar w:fldCharType="end"/>
        </w:r>
      </w:hyperlink>
    </w:p>
    <w:p w:rsidRDefault="00D50364" w:rsidR="004C00BA">
      <w:pPr>
        <w:pStyle w:val="Sadraj3"/>
        <w:tabs>
          <w:tab w:pos="1200" w:val="left"/>
          <w:tab w:pos="8914" w:val="right"/>
        </w:tabs>
        <w:rPr>
          <w:rFonts w:cstheme="minorBidi" w:eastAsiaTheme="minorEastAsia" w:hAnsiTheme="minorHAnsi" w:asciiTheme="minorHAnsi"/>
          <w:i w:val="false"/>
          <w:iCs w:val="false"/>
          <w:noProof/>
          <w:sz w:val="22"/>
          <w:szCs w:val="22"/>
        </w:rPr>
      </w:pPr>
      <w:hyperlink w:anchor="_Toc462747740" w:history="true">
        <w:r w:rsidR="004C00BA" w:rsidRPr="0068292C">
          <w:rPr>
            <w:rStyle w:val="Hiperveza"/>
            <w:noProof/>
          </w:rPr>
          <w:t>1.1.2.</w:t>
        </w:r>
        <w:r w:rsidR="004C00BA">
          <w:rPr>
            <w:rFonts w:cstheme="minorBidi" w:eastAsiaTheme="minorEastAsia" w:hAnsiTheme="minorHAnsi" w:asciiTheme="minorHAnsi"/>
            <w:i w:val="false"/>
            <w:iCs w:val="false"/>
            <w:noProof/>
            <w:sz w:val="22"/>
            <w:szCs w:val="22"/>
          </w:rPr>
          <w:tab/>
        </w:r>
        <w:r w:rsidR="004C00BA" w:rsidRPr="0068292C">
          <w:rPr>
            <w:rStyle w:val="Hiperveza"/>
            <w:noProof/>
          </w:rPr>
          <w:t>Ovlaštene osobe</w:t>
        </w:r>
        <w:r w:rsidR="004C00BA">
          <w:rPr>
            <w:noProof/>
            <w:webHidden/>
          </w:rPr>
          <w:tab/>
        </w:r>
        <w:r w:rsidR="004C00BA">
          <w:rPr>
            <w:noProof/>
            <w:webHidden/>
          </w:rPr>
          <w:fldChar w:fldCharType="begin"/>
        </w:r>
        <w:r w:rsidR="004C00BA">
          <w:rPr>
            <w:noProof/>
            <w:webHidden/>
          </w:rPr>
          <w:instrText xml:space="preserve"> PAGEREF _Toc462747740 \h </w:instrText>
        </w:r>
        <w:r w:rsidR="004C00BA">
          <w:rPr>
            <w:noProof/>
            <w:webHidden/>
          </w:rPr>
        </w:r>
        <w:r w:rsidR="004C00BA">
          <w:rPr>
            <w:noProof/>
            <w:webHidden/>
          </w:rPr>
          <w:fldChar w:fldCharType="separate"/>
        </w:r>
        <w:r w:rsidR="00CA78D8">
          <w:rPr>
            <w:noProof/>
            <w:webHidden/>
          </w:rPr>
          <w:t>5</w:t>
        </w:r>
        <w:r w:rsidR="004C00BA">
          <w:rPr>
            <w:noProof/>
            <w:webHidden/>
          </w:rPr>
          <w:fldChar w:fldCharType="end"/>
        </w:r>
      </w:hyperlink>
    </w:p>
    <w:p w:rsidRDefault="00D50364" w:rsidR="004C00BA">
      <w:pPr>
        <w:pStyle w:val="Sadraj3"/>
        <w:tabs>
          <w:tab w:pos="1200" w:val="left"/>
          <w:tab w:pos="8914" w:val="right"/>
        </w:tabs>
        <w:rPr>
          <w:rFonts w:cstheme="minorBidi" w:eastAsiaTheme="minorEastAsia" w:hAnsiTheme="minorHAnsi" w:asciiTheme="minorHAnsi"/>
          <w:i w:val="false"/>
          <w:iCs w:val="false"/>
          <w:noProof/>
          <w:sz w:val="22"/>
          <w:szCs w:val="22"/>
        </w:rPr>
      </w:pPr>
      <w:hyperlink w:anchor="_Toc462747741" w:history="true">
        <w:r w:rsidR="004C00BA" w:rsidRPr="0068292C">
          <w:rPr>
            <w:rStyle w:val="Hiperveza"/>
            <w:noProof/>
          </w:rPr>
          <w:t>1.1.3.</w:t>
        </w:r>
        <w:r w:rsidR="004C00BA">
          <w:rPr>
            <w:rFonts w:cstheme="minorBidi" w:eastAsiaTheme="minorEastAsia" w:hAnsiTheme="minorHAnsi" w:asciiTheme="minorHAnsi"/>
            <w:i w:val="false"/>
            <w:iCs w:val="false"/>
            <w:noProof/>
            <w:sz w:val="22"/>
            <w:szCs w:val="22"/>
          </w:rPr>
          <w:tab/>
        </w:r>
        <w:r w:rsidR="004C00BA" w:rsidRPr="0068292C">
          <w:rPr>
            <w:rStyle w:val="Hiperveza"/>
            <w:noProof/>
          </w:rPr>
          <w:t>Vlasnička struktura</w:t>
        </w:r>
        <w:r w:rsidR="004C00BA">
          <w:rPr>
            <w:noProof/>
            <w:webHidden/>
          </w:rPr>
          <w:tab/>
        </w:r>
        <w:r w:rsidR="004C00BA">
          <w:rPr>
            <w:noProof/>
            <w:webHidden/>
          </w:rPr>
          <w:fldChar w:fldCharType="begin"/>
        </w:r>
        <w:r w:rsidR="004C00BA">
          <w:rPr>
            <w:noProof/>
            <w:webHidden/>
          </w:rPr>
          <w:instrText xml:space="preserve"> PAGEREF _Toc462747741 \h </w:instrText>
        </w:r>
        <w:r w:rsidR="004C00BA">
          <w:rPr>
            <w:noProof/>
            <w:webHidden/>
          </w:rPr>
        </w:r>
        <w:r w:rsidR="004C00BA">
          <w:rPr>
            <w:noProof/>
            <w:webHidden/>
          </w:rPr>
          <w:fldChar w:fldCharType="separate"/>
        </w:r>
        <w:r w:rsidR="00CA78D8">
          <w:rPr>
            <w:noProof/>
            <w:webHidden/>
          </w:rPr>
          <w:t>5</w:t>
        </w:r>
        <w:r w:rsidR="004C00BA">
          <w:rPr>
            <w:noProof/>
            <w:webHidden/>
          </w:rPr>
          <w:fldChar w:fldCharType="end"/>
        </w:r>
      </w:hyperlink>
    </w:p>
    <w:p w:rsidRDefault="00D50364" w:rsidR="004C00BA">
      <w:pPr>
        <w:pStyle w:val="Sadraj2"/>
        <w:rPr>
          <w:rFonts w:cstheme="minorBidi" w:eastAsiaTheme="minorEastAsia" w:hAnsiTheme="minorHAnsi" w:asciiTheme="minorHAnsi"/>
          <w:smallCaps w:val="false"/>
          <w:noProof/>
          <w:sz w:val="22"/>
          <w:szCs w:val="22"/>
        </w:rPr>
      </w:pPr>
      <w:hyperlink w:anchor="_Toc462747742" w:history="true">
        <w:r w:rsidR="004C00BA" w:rsidRPr="0068292C">
          <w:rPr>
            <w:rStyle w:val="Hiperveza"/>
            <w:noProof/>
          </w:rPr>
          <w:t>1.2.</w:t>
        </w:r>
        <w:r w:rsidR="004C00BA">
          <w:rPr>
            <w:rFonts w:cstheme="minorBidi" w:eastAsiaTheme="minorEastAsia" w:hAnsiTheme="minorHAnsi" w:asciiTheme="minorHAnsi"/>
            <w:smallCaps w:val="false"/>
            <w:noProof/>
            <w:sz w:val="22"/>
            <w:szCs w:val="22"/>
          </w:rPr>
          <w:tab/>
        </w:r>
        <w:r w:rsidR="004C00BA" w:rsidRPr="0068292C">
          <w:rPr>
            <w:rStyle w:val="Hiperveza"/>
            <w:noProof/>
          </w:rPr>
          <w:t>Operativno poslovanje i tržišna situacija</w:t>
        </w:r>
        <w:r w:rsidR="004C00BA">
          <w:rPr>
            <w:noProof/>
            <w:webHidden/>
          </w:rPr>
          <w:tab/>
        </w:r>
        <w:r w:rsidR="004C00BA">
          <w:rPr>
            <w:noProof/>
            <w:webHidden/>
          </w:rPr>
          <w:fldChar w:fldCharType="begin"/>
        </w:r>
        <w:r w:rsidR="004C00BA">
          <w:rPr>
            <w:noProof/>
            <w:webHidden/>
          </w:rPr>
          <w:instrText xml:space="preserve"> PAGEREF _Toc462747742 \h </w:instrText>
        </w:r>
        <w:r w:rsidR="004C00BA">
          <w:rPr>
            <w:noProof/>
            <w:webHidden/>
          </w:rPr>
        </w:r>
        <w:r w:rsidR="004C00BA">
          <w:rPr>
            <w:noProof/>
            <w:webHidden/>
          </w:rPr>
          <w:fldChar w:fldCharType="separate"/>
        </w:r>
        <w:r w:rsidR="00CA78D8">
          <w:rPr>
            <w:noProof/>
            <w:webHidden/>
          </w:rPr>
          <w:t>6</w:t>
        </w:r>
        <w:r w:rsidR="004C00BA">
          <w:rPr>
            <w:noProof/>
            <w:webHidden/>
          </w:rPr>
          <w:fldChar w:fldCharType="end"/>
        </w:r>
      </w:hyperlink>
    </w:p>
    <w:p w:rsidRDefault="00D50364" w:rsidR="004C00BA">
      <w:pPr>
        <w:pStyle w:val="Sadraj2"/>
        <w:rPr>
          <w:rFonts w:cstheme="minorBidi" w:eastAsiaTheme="minorEastAsia" w:hAnsiTheme="minorHAnsi" w:asciiTheme="minorHAnsi"/>
          <w:smallCaps w:val="false"/>
          <w:noProof/>
          <w:sz w:val="22"/>
          <w:szCs w:val="22"/>
        </w:rPr>
      </w:pPr>
      <w:hyperlink w:anchor="_Toc462747743" w:history="true">
        <w:r w:rsidR="004C00BA" w:rsidRPr="0068292C">
          <w:rPr>
            <w:rStyle w:val="Hiperveza"/>
            <w:noProof/>
          </w:rPr>
          <w:t>1.3.</w:t>
        </w:r>
        <w:r w:rsidR="004C00BA">
          <w:rPr>
            <w:rFonts w:cstheme="minorBidi" w:eastAsiaTheme="minorEastAsia" w:hAnsiTheme="minorHAnsi" w:asciiTheme="minorHAnsi"/>
            <w:smallCaps w:val="false"/>
            <w:noProof/>
            <w:sz w:val="22"/>
            <w:szCs w:val="22"/>
          </w:rPr>
          <w:tab/>
        </w:r>
        <w:r w:rsidR="004C00BA" w:rsidRPr="0068292C">
          <w:rPr>
            <w:rStyle w:val="Hiperveza"/>
            <w:noProof/>
          </w:rPr>
          <w:t>Analiza zaposlenih</w:t>
        </w:r>
        <w:r w:rsidR="004C00BA">
          <w:rPr>
            <w:noProof/>
            <w:webHidden/>
          </w:rPr>
          <w:tab/>
        </w:r>
        <w:r w:rsidR="004C00BA">
          <w:rPr>
            <w:noProof/>
            <w:webHidden/>
          </w:rPr>
          <w:fldChar w:fldCharType="begin"/>
        </w:r>
        <w:r w:rsidR="004C00BA">
          <w:rPr>
            <w:noProof/>
            <w:webHidden/>
          </w:rPr>
          <w:instrText xml:space="preserve"> PAGEREF _Toc462747743 \h </w:instrText>
        </w:r>
        <w:r w:rsidR="004C00BA">
          <w:rPr>
            <w:noProof/>
            <w:webHidden/>
          </w:rPr>
        </w:r>
        <w:r w:rsidR="004C00BA">
          <w:rPr>
            <w:noProof/>
            <w:webHidden/>
          </w:rPr>
          <w:fldChar w:fldCharType="separate"/>
        </w:r>
        <w:r w:rsidR="00CA78D8">
          <w:rPr>
            <w:noProof/>
            <w:webHidden/>
          </w:rPr>
          <w:t>7</w:t>
        </w:r>
        <w:r w:rsidR="004C00BA">
          <w:rPr>
            <w:noProof/>
            <w:webHidden/>
          </w:rPr>
          <w:fldChar w:fldCharType="end"/>
        </w:r>
      </w:hyperlink>
    </w:p>
    <w:p w:rsidRDefault="00D50364" w:rsidR="004C00BA">
      <w:pPr>
        <w:pStyle w:val="Sadraj2"/>
        <w:rPr>
          <w:rFonts w:cstheme="minorBidi" w:eastAsiaTheme="minorEastAsia" w:hAnsiTheme="minorHAnsi" w:asciiTheme="minorHAnsi"/>
          <w:smallCaps w:val="false"/>
          <w:noProof/>
          <w:sz w:val="22"/>
          <w:szCs w:val="22"/>
        </w:rPr>
      </w:pPr>
      <w:hyperlink w:anchor="_Toc462747744" w:history="true">
        <w:r w:rsidR="004C00BA" w:rsidRPr="0068292C">
          <w:rPr>
            <w:rStyle w:val="Hiperveza"/>
            <w:noProof/>
          </w:rPr>
          <w:t>1.4.</w:t>
        </w:r>
        <w:r w:rsidR="004C00BA">
          <w:rPr>
            <w:rFonts w:cstheme="minorBidi" w:eastAsiaTheme="minorEastAsia" w:hAnsiTheme="minorHAnsi" w:asciiTheme="minorHAnsi"/>
            <w:smallCaps w:val="false"/>
            <w:noProof/>
            <w:sz w:val="22"/>
            <w:szCs w:val="22"/>
          </w:rPr>
          <w:tab/>
        </w:r>
        <w:r w:rsidR="004C00BA" w:rsidRPr="0068292C">
          <w:rPr>
            <w:rStyle w:val="Hiperveza"/>
            <w:noProof/>
          </w:rPr>
          <w:t>Financijska izvješća za 2015. godinu i izvješće na 31.08.2016. godine</w:t>
        </w:r>
        <w:r w:rsidR="004C00BA">
          <w:rPr>
            <w:noProof/>
            <w:webHidden/>
          </w:rPr>
          <w:tab/>
        </w:r>
        <w:r w:rsidR="004C00BA">
          <w:rPr>
            <w:noProof/>
            <w:webHidden/>
          </w:rPr>
          <w:fldChar w:fldCharType="begin"/>
        </w:r>
        <w:r w:rsidR="004C00BA">
          <w:rPr>
            <w:noProof/>
            <w:webHidden/>
          </w:rPr>
          <w:instrText xml:space="preserve"> PAGEREF _Toc462747744 \h </w:instrText>
        </w:r>
        <w:r w:rsidR="004C00BA">
          <w:rPr>
            <w:noProof/>
            <w:webHidden/>
          </w:rPr>
        </w:r>
        <w:r w:rsidR="004C00BA">
          <w:rPr>
            <w:noProof/>
            <w:webHidden/>
          </w:rPr>
          <w:fldChar w:fldCharType="separate"/>
        </w:r>
        <w:r w:rsidR="00CA78D8">
          <w:rPr>
            <w:noProof/>
            <w:webHidden/>
          </w:rPr>
          <w:t>9</w:t>
        </w:r>
        <w:r w:rsidR="004C00BA">
          <w:rPr>
            <w:noProof/>
            <w:webHidden/>
          </w:rPr>
          <w:fldChar w:fldCharType="end"/>
        </w:r>
      </w:hyperlink>
    </w:p>
    <w:p w:rsidRDefault="00D50364" w:rsidR="004C00BA">
      <w:pPr>
        <w:pStyle w:val="Sadraj2"/>
        <w:rPr>
          <w:rFonts w:cstheme="minorBidi" w:eastAsiaTheme="minorEastAsia" w:hAnsiTheme="minorHAnsi" w:asciiTheme="minorHAnsi"/>
          <w:smallCaps w:val="false"/>
          <w:noProof/>
          <w:sz w:val="22"/>
          <w:szCs w:val="22"/>
        </w:rPr>
      </w:pPr>
      <w:hyperlink w:anchor="_Toc462747745" w:history="true">
        <w:r w:rsidR="004C00BA" w:rsidRPr="0068292C">
          <w:rPr>
            <w:rStyle w:val="Hiperveza"/>
            <w:noProof/>
          </w:rPr>
          <w:t>1.5.</w:t>
        </w:r>
        <w:r w:rsidR="004C00BA">
          <w:rPr>
            <w:rFonts w:cstheme="minorBidi" w:eastAsiaTheme="minorEastAsia" w:hAnsiTheme="minorHAnsi" w:asciiTheme="minorHAnsi"/>
            <w:smallCaps w:val="false"/>
            <w:noProof/>
            <w:sz w:val="22"/>
            <w:szCs w:val="22"/>
          </w:rPr>
          <w:tab/>
        </w:r>
        <w:r w:rsidR="004C00BA" w:rsidRPr="0068292C">
          <w:rPr>
            <w:rStyle w:val="Hiperveza"/>
            <w:noProof/>
          </w:rPr>
          <w:t xml:space="preserve">Opis činjenica i okolnosti iz kojih proizlazi postojanje </w:t>
        </w:r>
        <w:r w:rsidR="004C00BA" w:rsidRPr="0068292C">
          <w:rPr>
            <w:rStyle w:val="Hiperveza"/>
            <w:noProof/>
            <w:lang w:val="en-US"/>
          </w:rPr>
          <w:t>prijeteće nesposobnosti za plaćanje</w:t>
        </w:r>
        <w:r w:rsidR="004C00BA">
          <w:rPr>
            <w:noProof/>
            <w:webHidden/>
          </w:rPr>
          <w:tab/>
        </w:r>
        <w:r w:rsidR="004C00BA">
          <w:rPr>
            <w:noProof/>
            <w:webHidden/>
          </w:rPr>
          <w:fldChar w:fldCharType="begin"/>
        </w:r>
        <w:r w:rsidR="004C00BA">
          <w:rPr>
            <w:noProof/>
            <w:webHidden/>
          </w:rPr>
          <w:instrText xml:space="preserve"> PAGEREF _Toc462747745 \h </w:instrText>
        </w:r>
        <w:r w:rsidR="004C00BA">
          <w:rPr>
            <w:noProof/>
            <w:webHidden/>
          </w:rPr>
        </w:r>
        <w:r w:rsidR="004C00BA">
          <w:rPr>
            <w:noProof/>
            <w:webHidden/>
          </w:rPr>
          <w:fldChar w:fldCharType="separate"/>
        </w:r>
        <w:r w:rsidR="00CA78D8">
          <w:rPr>
            <w:noProof/>
            <w:webHidden/>
          </w:rPr>
          <w:t>14</w:t>
        </w:r>
        <w:r w:rsidR="004C00BA">
          <w:rPr>
            <w:noProof/>
            <w:webHidden/>
          </w:rPr>
          <w:fldChar w:fldCharType="end"/>
        </w:r>
      </w:hyperlink>
    </w:p>
    <w:p w:rsidRDefault="00D50364" w:rsidR="004C00BA">
      <w:pPr>
        <w:pStyle w:val="Sadraj2"/>
        <w:rPr>
          <w:rFonts w:cstheme="minorBidi" w:eastAsiaTheme="minorEastAsia" w:hAnsiTheme="minorHAnsi" w:asciiTheme="minorHAnsi"/>
          <w:smallCaps w:val="false"/>
          <w:noProof/>
          <w:sz w:val="22"/>
          <w:szCs w:val="22"/>
        </w:rPr>
      </w:pPr>
      <w:hyperlink w:anchor="_Toc462747746" w:history="true">
        <w:r w:rsidR="004C00BA" w:rsidRPr="0068292C">
          <w:rPr>
            <w:rStyle w:val="Hiperveza"/>
            <w:noProof/>
          </w:rPr>
          <w:t>1.6.</w:t>
        </w:r>
        <w:r w:rsidR="004C00BA">
          <w:rPr>
            <w:rFonts w:cstheme="minorBidi" w:eastAsiaTheme="minorEastAsia" w:hAnsiTheme="minorHAnsi" w:asciiTheme="minorHAnsi"/>
            <w:smallCaps w:val="false"/>
            <w:noProof/>
            <w:sz w:val="22"/>
            <w:szCs w:val="22"/>
          </w:rPr>
          <w:tab/>
        </w:r>
        <w:r w:rsidR="004C00BA" w:rsidRPr="0068292C">
          <w:rPr>
            <w:rStyle w:val="Hiperveza"/>
            <w:noProof/>
          </w:rPr>
          <w:t>Opis činjenica i okolnosti iz kojih proizlazi postojanje postojanje uvjeta za otvaranje postupka predstečajne nagodbe</w:t>
        </w:r>
        <w:r w:rsidR="004C00BA">
          <w:rPr>
            <w:noProof/>
            <w:webHidden/>
          </w:rPr>
          <w:tab/>
        </w:r>
        <w:r w:rsidR="004C00BA">
          <w:rPr>
            <w:noProof/>
            <w:webHidden/>
          </w:rPr>
          <w:fldChar w:fldCharType="begin"/>
        </w:r>
        <w:r w:rsidR="004C00BA">
          <w:rPr>
            <w:noProof/>
            <w:webHidden/>
          </w:rPr>
          <w:instrText xml:space="preserve"> PAGEREF _Toc462747746 \h </w:instrText>
        </w:r>
        <w:r w:rsidR="004C00BA">
          <w:rPr>
            <w:noProof/>
            <w:webHidden/>
          </w:rPr>
        </w:r>
        <w:r w:rsidR="004C00BA">
          <w:rPr>
            <w:noProof/>
            <w:webHidden/>
          </w:rPr>
          <w:fldChar w:fldCharType="separate"/>
        </w:r>
        <w:r w:rsidR="00CA78D8">
          <w:rPr>
            <w:noProof/>
            <w:webHidden/>
          </w:rPr>
          <w:t>14</w:t>
        </w:r>
        <w:r w:rsidR="004C00BA">
          <w:rPr>
            <w:noProof/>
            <w:webHidden/>
          </w:rPr>
          <w:fldChar w:fldCharType="end"/>
        </w:r>
      </w:hyperlink>
    </w:p>
    <w:p w:rsidRDefault="00D50364" w:rsidR="004C00BA">
      <w:pPr>
        <w:pStyle w:val="Sadraj2"/>
        <w:rPr>
          <w:rFonts w:cstheme="minorBidi" w:eastAsiaTheme="minorEastAsia" w:hAnsiTheme="minorHAnsi" w:asciiTheme="minorHAnsi"/>
          <w:smallCaps w:val="false"/>
          <w:noProof/>
          <w:sz w:val="22"/>
          <w:szCs w:val="22"/>
        </w:rPr>
      </w:pPr>
      <w:hyperlink w:anchor="_Toc462747747" w:history="true">
        <w:r w:rsidR="004C00BA" w:rsidRPr="0068292C">
          <w:rPr>
            <w:rStyle w:val="Hiperveza"/>
            <w:noProof/>
          </w:rPr>
          <w:t>1.7.</w:t>
        </w:r>
        <w:r w:rsidR="004C00BA">
          <w:rPr>
            <w:rFonts w:cstheme="minorBidi" w:eastAsiaTheme="minorEastAsia" w:hAnsiTheme="minorHAnsi" w:asciiTheme="minorHAnsi"/>
            <w:smallCaps w:val="false"/>
            <w:noProof/>
            <w:sz w:val="22"/>
            <w:szCs w:val="22"/>
          </w:rPr>
          <w:tab/>
        </w:r>
        <w:r w:rsidR="004C00BA" w:rsidRPr="0068292C">
          <w:rPr>
            <w:rStyle w:val="Hiperveza"/>
            <w:noProof/>
          </w:rPr>
          <w:t>Ukupne obveze društva</w:t>
        </w:r>
        <w:r w:rsidR="004C00BA">
          <w:rPr>
            <w:noProof/>
            <w:webHidden/>
          </w:rPr>
          <w:tab/>
        </w:r>
        <w:r w:rsidR="004C00BA">
          <w:rPr>
            <w:noProof/>
            <w:webHidden/>
          </w:rPr>
          <w:fldChar w:fldCharType="begin"/>
        </w:r>
        <w:r w:rsidR="004C00BA">
          <w:rPr>
            <w:noProof/>
            <w:webHidden/>
          </w:rPr>
          <w:instrText xml:space="preserve"> PAGEREF _Toc462747747 \h </w:instrText>
        </w:r>
        <w:r w:rsidR="004C00BA">
          <w:rPr>
            <w:noProof/>
            <w:webHidden/>
          </w:rPr>
        </w:r>
        <w:r w:rsidR="004C00BA">
          <w:rPr>
            <w:noProof/>
            <w:webHidden/>
          </w:rPr>
          <w:fldChar w:fldCharType="separate"/>
        </w:r>
        <w:r w:rsidR="00CA78D8">
          <w:rPr>
            <w:noProof/>
            <w:webHidden/>
          </w:rPr>
          <w:t>15</w:t>
        </w:r>
        <w:r w:rsidR="004C00BA">
          <w:rPr>
            <w:noProof/>
            <w:webHidden/>
          </w:rPr>
          <w:fldChar w:fldCharType="end"/>
        </w:r>
      </w:hyperlink>
    </w:p>
    <w:p w:rsidRDefault="00D50364" w:rsidR="004C00BA">
      <w:pPr>
        <w:pStyle w:val="Sadraj1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2"/>
        </w:rPr>
      </w:pPr>
      <w:hyperlink w:anchor="_Toc462747748" w:history="true">
        <w:r w:rsidR="004C00BA" w:rsidRPr="0068292C">
          <w:rPr>
            <w:rStyle w:val="Hiperveza"/>
            <w:noProof/>
          </w:rPr>
          <w:t>2. IZRAČUN MANJKA LIKVIDNIH SREDSTAVA NA DAN PRILOŽENIH FINANCIJSKIH IZVJEŠTAJA</w:t>
        </w:r>
        <w:r w:rsidR="004C00BA">
          <w:rPr>
            <w:noProof/>
            <w:webHidden/>
          </w:rPr>
          <w:tab/>
        </w:r>
        <w:r w:rsidR="004C00BA">
          <w:rPr>
            <w:noProof/>
            <w:webHidden/>
          </w:rPr>
          <w:fldChar w:fldCharType="begin"/>
        </w:r>
        <w:r w:rsidR="004C00BA">
          <w:rPr>
            <w:noProof/>
            <w:webHidden/>
          </w:rPr>
          <w:instrText xml:space="preserve"> PAGEREF _Toc462747748 \h </w:instrText>
        </w:r>
        <w:r w:rsidR="004C00BA">
          <w:rPr>
            <w:noProof/>
            <w:webHidden/>
          </w:rPr>
        </w:r>
        <w:r w:rsidR="004C00BA">
          <w:rPr>
            <w:noProof/>
            <w:webHidden/>
          </w:rPr>
          <w:fldChar w:fldCharType="separate"/>
        </w:r>
        <w:r w:rsidR="00CA78D8">
          <w:rPr>
            <w:noProof/>
            <w:webHidden/>
          </w:rPr>
          <w:t>19</w:t>
        </w:r>
        <w:r w:rsidR="004C00BA">
          <w:rPr>
            <w:noProof/>
            <w:webHidden/>
          </w:rPr>
          <w:fldChar w:fldCharType="end"/>
        </w:r>
      </w:hyperlink>
    </w:p>
    <w:p w:rsidRDefault="00D50364" w:rsidR="004C00BA">
      <w:pPr>
        <w:pStyle w:val="Sadraj1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2"/>
        </w:rPr>
      </w:pPr>
      <w:hyperlink w:anchor="_Toc462747749" w:history="true">
        <w:r w:rsidR="004C00BA" w:rsidRPr="0068292C">
          <w:rPr>
            <w:rStyle w:val="Hiperveza"/>
            <w:noProof/>
          </w:rPr>
          <w:t>3. OPIS MJERA  FINANCIJSKOG  RESTRUKTURIRANJA I IZRAČUN NJIHOVIH UČINAKA NA MANJAK LIKVIDNIH SREDSTAVA</w:t>
        </w:r>
        <w:r w:rsidR="004C00BA">
          <w:rPr>
            <w:noProof/>
            <w:webHidden/>
          </w:rPr>
          <w:tab/>
        </w:r>
        <w:r w:rsidR="004C00BA">
          <w:rPr>
            <w:noProof/>
            <w:webHidden/>
          </w:rPr>
          <w:fldChar w:fldCharType="begin"/>
        </w:r>
        <w:r w:rsidR="004C00BA">
          <w:rPr>
            <w:noProof/>
            <w:webHidden/>
          </w:rPr>
          <w:instrText xml:space="preserve"> PAGEREF _Toc462747749 \h </w:instrText>
        </w:r>
        <w:r w:rsidR="004C00BA">
          <w:rPr>
            <w:noProof/>
            <w:webHidden/>
          </w:rPr>
        </w:r>
        <w:r w:rsidR="004C00BA">
          <w:rPr>
            <w:noProof/>
            <w:webHidden/>
          </w:rPr>
          <w:fldChar w:fldCharType="separate"/>
        </w:r>
        <w:r w:rsidR="00CA78D8">
          <w:rPr>
            <w:noProof/>
            <w:webHidden/>
          </w:rPr>
          <w:t>20</w:t>
        </w:r>
        <w:r w:rsidR="004C00BA">
          <w:rPr>
            <w:noProof/>
            <w:webHidden/>
          </w:rPr>
          <w:fldChar w:fldCharType="end"/>
        </w:r>
      </w:hyperlink>
    </w:p>
    <w:p w:rsidRDefault="00D50364" w:rsidR="004C00BA">
      <w:pPr>
        <w:pStyle w:val="Sadraj1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2"/>
        </w:rPr>
      </w:pPr>
      <w:hyperlink w:anchor="_Toc462747750" w:history="true">
        <w:r w:rsidR="004C00BA" w:rsidRPr="0068292C">
          <w:rPr>
            <w:rStyle w:val="Hiperveza"/>
            <w:noProof/>
          </w:rPr>
          <w:t>3.1.   Izračun financijskih mjera na manjak likvidnih sredstava</w:t>
        </w:r>
        <w:r w:rsidR="004C00BA">
          <w:rPr>
            <w:noProof/>
            <w:webHidden/>
          </w:rPr>
          <w:tab/>
        </w:r>
        <w:r w:rsidR="004C00BA">
          <w:rPr>
            <w:noProof/>
            <w:webHidden/>
          </w:rPr>
          <w:fldChar w:fldCharType="begin"/>
        </w:r>
        <w:r w:rsidR="004C00BA">
          <w:rPr>
            <w:noProof/>
            <w:webHidden/>
          </w:rPr>
          <w:instrText xml:space="preserve"> PAGEREF _Toc462747750 \h </w:instrText>
        </w:r>
        <w:r w:rsidR="004C00BA">
          <w:rPr>
            <w:noProof/>
            <w:webHidden/>
          </w:rPr>
        </w:r>
        <w:r w:rsidR="004C00BA">
          <w:rPr>
            <w:noProof/>
            <w:webHidden/>
          </w:rPr>
          <w:fldChar w:fldCharType="separate"/>
        </w:r>
        <w:r w:rsidR="00CA78D8">
          <w:rPr>
            <w:noProof/>
            <w:webHidden/>
          </w:rPr>
          <w:t>27</w:t>
        </w:r>
        <w:r w:rsidR="004C00BA">
          <w:rPr>
            <w:noProof/>
            <w:webHidden/>
          </w:rPr>
          <w:fldChar w:fldCharType="end"/>
        </w:r>
      </w:hyperlink>
    </w:p>
    <w:p w:rsidRDefault="00D50364" w:rsidR="004C00BA">
      <w:pPr>
        <w:pStyle w:val="Sadraj1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2"/>
        </w:rPr>
      </w:pPr>
      <w:hyperlink w:anchor="_Toc462747751" w:history="true">
        <w:r w:rsidR="004C00BA" w:rsidRPr="0068292C">
          <w:rPr>
            <w:rStyle w:val="Hiperveza"/>
            <w:noProof/>
          </w:rPr>
          <w:t>4. OPIS MJERA OPERATIVNOG RESTRUKTURIRANJA I IZRAČUN NJIHOVIH UČINAKA NA POSLOVANJE</w:t>
        </w:r>
        <w:r w:rsidR="004C00BA">
          <w:rPr>
            <w:noProof/>
            <w:webHidden/>
          </w:rPr>
          <w:tab/>
        </w:r>
        <w:r w:rsidR="004C00BA">
          <w:rPr>
            <w:noProof/>
            <w:webHidden/>
          </w:rPr>
          <w:fldChar w:fldCharType="begin"/>
        </w:r>
        <w:r w:rsidR="004C00BA">
          <w:rPr>
            <w:noProof/>
            <w:webHidden/>
          </w:rPr>
          <w:instrText xml:space="preserve"> PAGEREF _Toc462747751 \h </w:instrText>
        </w:r>
        <w:r w:rsidR="004C00BA">
          <w:rPr>
            <w:noProof/>
            <w:webHidden/>
          </w:rPr>
        </w:r>
        <w:r w:rsidR="004C00BA">
          <w:rPr>
            <w:noProof/>
            <w:webHidden/>
          </w:rPr>
          <w:fldChar w:fldCharType="separate"/>
        </w:r>
        <w:r w:rsidR="00CA78D8">
          <w:rPr>
            <w:noProof/>
            <w:webHidden/>
          </w:rPr>
          <w:t>28</w:t>
        </w:r>
        <w:r w:rsidR="004C00BA">
          <w:rPr>
            <w:noProof/>
            <w:webHidden/>
          </w:rPr>
          <w:fldChar w:fldCharType="end"/>
        </w:r>
      </w:hyperlink>
    </w:p>
    <w:p w:rsidRDefault="00D50364" w:rsidR="004C00BA">
      <w:pPr>
        <w:pStyle w:val="Sadraj1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2"/>
        </w:rPr>
      </w:pPr>
      <w:hyperlink w:anchor="_Toc462747752" w:history="true">
        <w:r w:rsidR="004C00BA" w:rsidRPr="0068292C">
          <w:rPr>
            <w:rStyle w:val="Hiperveza"/>
            <w:noProof/>
          </w:rPr>
          <w:t>4.1.    Izračun učinka operativnih mjera na poslovanje</w:t>
        </w:r>
        <w:r w:rsidR="004C00BA">
          <w:rPr>
            <w:noProof/>
            <w:webHidden/>
          </w:rPr>
          <w:tab/>
        </w:r>
        <w:r w:rsidR="004C00BA">
          <w:rPr>
            <w:noProof/>
            <w:webHidden/>
          </w:rPr>
          <w:fldChar w:fldCharType="begin"/>
        </w:r>
        <w:r w:rsidR="004C00BA">
          <w:rPr>
            <w:noProof/>
            <w:webHidden/>
          </w:rPr>
          <w:instrText xml:space="preserve"> PAGEREF _Toc462747752 \h </w:instrText>
        </w:r>
        <w:r w:rsidR="004C00BA">
          <w:rPr>
            <w:noProof/>
            <w:webHidden/>
          </w:rPr>
        </w:r>
        <w:r w:rsidR="004C00BA">
          <w:rPr>
            <w:noProof/>
            <w:webHidden/>
          </w:rPr>
          <w:fldChar w:fldCharType="separate"/>
        </w:r>
        <w:r w:rsidR="00CA78D8">
          <w:rPr>
            <w:noProof/>
            <w:webHidden/>
          </w:rPr>
          <w:t>29</w:t>
        </w:r>
        <w:r w:rsidR="004C00BA">
          <w:rPr>
            <w:noProof/>
            <w:webHidden/>
          </w:rPr>
          <w:fldChar w:fldCharType="end"/>
        </w:r>
      </w:hyperlink>
    </w:p>
    <w:p w:rsidRDefault="00D50364" w:rsidR="004C00BA">
      <w:pPr>
        <w:pStyle w:val="Sadraj1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2"/>
        </w:rPr>
      </w:pPr>
      <w:hyperlink w:anchor="_Toc462747753" w:history="true">
        <w:r w:rsidR="004C00BA" w:rsidRPr="0068292C">
          <w:rPr>
            <w:rStyle w:val="Hiperveza"/>
            <w:noProof/>
          </w:rPr>
          <w:t>5. PLAN POSLOVANJA ZA NAREDNIH 5 GODINA</w:t>
        </w:r>
        <w:r w:rsidR="004C00BA">
          <w:rPr>
            <w:noProof/>
            <w:webHidden/>
          </w:rPr>
          <w:tab/>
        </w:r>
        <w:r w:rsidR="004C00BA">
          <w:rPr>
            <w:noProof/>
            <w:webHidden/>
          </w:rPr>
          <w:fldChar w:fldCharType="begin"/>
        </w:r>
        <w:r w:rsidR="004C00BA">
          <w:rPr>
            <w:noProof/>
            <w:webHidden/>
          </w:rPr>
          <w:instrText xml:space="preserve"> PAGEREF _Toc462747753 \h </w:instrText>
        </w:r>
        <w:r w:rsidR="004C00BA">
          <w:rPr>
            <w:noProof/>
            <w:webHidden/>
          </w:rPr>
        </w:r>
        <w:r w:rsidR="004C00BA">
          <w:rPr>
            <w:noProof/>
            <w:webHidden/>
          </w:rPr>
          <w:fldChar w:fldCharType="separate"/>
        </w:r>
        <w:r w:rsidR="00CA78D8">
          <w:rPr>
            <w:noProof/>
            <w:webHidden/>
          </w:rPr>
          <w:t>30</w:t>
        </w:r>
        <w:r w:rsidR="004C00BA">
          <w:rPr>
            <w:noProof/>
            <w:webHidden/>
          </w:rPr>
          <w:fldChar w:fldCharType="end"/>
        </w:r>
      </w:hyperlink>
    </w:p>
    <w:p w:rsidRDefault="00D50364" w:rsidR="004C00BA">
      <w:pPr>
        <w:pStyle w:val="Sadraj1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2"/>
        </w:rPr>
      </w:pPr>
      <w:hyperlink w:anchor="_Toc462747754" w:history="true">
        <w:r w:rsidR="004C00BA" w:rsidRPr="0068292C">
          <w:rPr>
            <w:rStyle w:val="Hiperveza"/>
            <w:noProof/>
          </w:rPr>
          <w:t>6. PLANIRANA BILANCA NA ZADNJI DAN PETOGODIŠNJEG RAZDOBLJA</w:t>
        </w:r>
        <w:r w:rsidR="004C00BA">
          <w:rPr>
            <w:noProof/>
            <w:webHidden/>
          </w:rPr>
          <w:tab/>
        </w:r>
        <w:r w:rsidR="004C00BA">
          <w:rPr>
            <w:noProof/>
            <w:webHidden/>
          </w:rPr>
          <w:fldChar w:fldCharType="begin"/>
        </w:r>
        <w:r w:rsidR="004C00BA">
          <w:rPr>
            <w:noProof/>
            <w:webHidden/>
          </w:rPr>
          <w:instrText xml:space="preserve"> PAGEREF _Toc462747754 \h </w:instrText>
        </w:r>
        <w:r w:rsidR="004C00BA">
          <w:rPr>
            <w:noProof/>
            <w:webHidden/>
          </w:rPr>
        </w:r>
        <w:r w:rsidR="004C00BA">
          <w:rPr>
            <w:noProof/>
            <w:webHidden/>
          </w:rPr>
          <w:fldChar w:fldCharType="separate"/>
        </w:r>
        <w:r w:rsidR="00CA78D8">
          <w:rPr>
            <w:noProof/>
            <w:webHidden/>
          </w:rPr>
          <w:t>33</w:t>
        </w:r>
        <w:r w:rsidR="004C00BA">
          <w:rPr>
            <w:noProof/>
            <w:webHidden/>
          </w:rPr>
          <w:fldChar w:fldCharType="end"/>
        </w:r>
      </w:hyperlink>
    </w:p>
    <w:p w:rsidRDefault="00D50364" w:rsidR="004C00BA">
      <w:pPr>
        <w:pStyle w:val="Sadraj1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2"/>
        </w:rPr>
      </w:pPr>
      <w:hyperlink w:anchor="_Toc462747755" w:history="true">
        <w:r w:rsidR="004C00BA" w:rsidRPr="0068292C">
          <w:rPr>
            <w:rStyle w:val="Hiperveza"/>
            <w:noProof/>
          </w:rPr>
          <w:t>7. PONUDA VJEROVNICIMA U POSTUPKU PREDSTEČAJNE NAGODBE</w:t>
        </w:r>
        <w:r w:rsidR="004C00BA">
          <w:rPr>
            <w:noProof/>
            <w:webHidden/>
          </w:rPr>
          <w:tab/>
        </w:r>
        <w:r w:rsidR="004C00BA">
          <w:rPr>
            <w:noProof/>
            <w:webHidden/>
          </w:rPr>
          <w:fldChar w:fldCharType="begin"/>
        </w:r>
        <w:r w:rsidR="004C00BA">
          <w:rPr>
            <w:noProof/>
            <w:webHidden/>
          </w:rPr>
          <w:instrText xml:space="preserve"> PAGEREF _Toc462747755 \h </w:instrText>
        </w:r>
        <w:r w:rsidR="004C00BA">
          <w:rPr>
            <w:noProof/>
            <w:webHidden/>
          </w:rPr>
        </w:r>
        <w:r w:rsidR="004C00BA">
          <w:rPr>
            <w:noProof/>
            <w:webHidden/>
          </w:rPr>
          <w:fldChar w:fldCharType="separate"/>
        </w:r>
        <w:r w:rsidR="00CA78D8">
          <w:rPr>
            <w:noProof/>
            <w:webHidden/>
          </w:rPr>
          <w:t>34</w:t>
        </w:r>
        <w:r w:rsidR="004C00BA">
          <w:rPr>
            <w:noProof/>
            <w:webHidden/>
          </w:rPr>
          <w:fldChar w:fldCharType="end"/>
        </w:r>
      </w:hyperlink>
    </w:p>
    <w:p w:rsidRDefault="00D50364" w:rsidR="004C00BA">
      <w:pPr>
        <w:pStyle w:val="Sadraj1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2"/>
        </w:rPr>
      </w:pPr>
      <w:hyperlink w:anchor="_Toc462747756" w:history="true">
        <w:r w:rsidR="004C00BA" w:rsidRPr="0068292C">
          <w:rPr>
            <w:rStyle w:val="Hiperveza"/>
            <w:noProof/>
          </w:rPr>
          <w:t>8. ROKOVI ZA DOBROVOLJNO ISPUNJENJE</w:t>
        </w:r>
        <w:r w:rsidR="004C00BA">
          <w:rPr>
            <w:noProof/>
            <w:webHidden/>
          </w:rPr>
          <w:tab/>
        </w:r>
        <w:r w:rsidR="004C00BA">
          <w:rPr>
            <w:noProof/>
            <w:webHidden/>
          </w:rPr>
          <w:fldChar w:fldCharType="begin"/>
        </w:r>
        <w:r w:rsidR="004C00BA">
          <w:rPr>
            <w:noProof/>
            <w:webHidden/>
          </w:rPr>
          <w:instrText xml:space="preserve"> PAGEREF _Toc462747756 \h </w:instrText>
        </w:r>
        <w:r w:rsidR="004C00BA">
          <w:rPr>
            <w:noProof/>
            <w:webHidden/>
          </w:rPr>
        </w:r>
        <w:r w:rsidR="004C00BA">
          <w:rPr>
            <w:noProof/>
            <w:webHidden/>
          </w:rPr>
          <w:fldChar w:fldCharType="separate"/>
        </w:r>
        <w:r w:rsidR="00CA78D8">
          <w:rPr>
            <w:noProof/>
            <w:webHidden/>
          </w:rPr>
          <w:t>53</w:t>
        </w:r>
        <w:r w:rsidR="004C00BA">
          <w:rPr>
            <w:noProof/>
            <w:webHidden/>
          </w:rPr>
          <w:fldChar w:fldCharType="end"/>
        </w:r>
      </w:hyperlink>
    </w:p>
    <w:p w:rsidRDefault="00D50364" w:rsidR="004C00BA">
      <w:pPr>
        <w:pStyle w:val="Sadraj1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2"/>
        </w:rPr>
      </w:pPr>
      <w:hyperlink w:anchor="_Toc462747757" w:history="true">
        <w:r w:rsidR="004C00BA" w:rsidRPr="0068292C">
          <w:rPr>
            <w:rStyle w:val="Hiperveza"/>
            <w:noProof/>
          </w:rPr>
          <w:t>9. PLANIRANI TROŠKOVI RESTRUKTURIRANJA</w:t>
        </w:r>
        <w:r w:rsidR="004C00BA">
          <w:rPr>
            <w:noProof/>
            <w:webHidden/>
          </w:rPr>
          <w:tab/>
        </w:r>
        <w:r w:rsidR="004C00BA">
          <w:rPr>
            <w:noProof/>
            <w:webHidden/>
          </w:rPr>
          <w:fldChar w:fldCharType="begin"/>
        </w:r>
        <w:r w:rsidR="004C00BA">
          <w:rPr>
            <w:noProof/>
            <w:webHidden/>
          </w:rPr>
          <w:instrText xml:space="preserve"> PAGEREF _Toc462747757 \h </w:instrText>
        </w:r>
        <w:r w:rsidR="004C00BA">
          <w:rPr>
            <w:noProof/>
            <w:webHidden/>
          </w:rPr>
        </w:r>
        <w:r w:rsidR="004C00BA">
          <w:rPr>
            <w:noProof/>
            <w:webHidden/>
          </w:rPr>
          <w:fldChar w:fldCharType="separate"/>
        </w:r>
        <w:r w:rsidR="00CA78D8">
          <w:rPr>
            <w:noProof/>
            <w:webHidden/>
          </w:rPr>
          <w:t>54</w:t>
        </w:r>
        <w:r w:rsidR="004C00BA">
          <w:rPr>
            <w:noProof/>
            <w:webHidden/>
          </w:rPr>
          <w:fldChar w:fldCharType="end"/>
        </w:r>
      </w:hyperlink>
    </w:p>
    <w:p w:rsidRDefault="00F016F3" w:rsidP="009B53F6" w:rsidR="00797DA1" w:rsidRPr="004C00BA">
      <w:pPr>
        <w:pStyle w:val="Naslov1"/>
      </w:pPr>
      <w:r w:rsidRPr="00E85B21">
        <w:fldChar w:fldCharType="end"/>
      </w:r>
      <w:bookmarkStart w:name="_Toc451235615" w:id="3"/>
      <w:bookmarkEnd w:id="0"/>
      <w:bookmarkEnd w:id="1"/>
    </w:p>
    <w:p w:rsidRDefault="00E85B21" w:rsidR="00E85B21">
      <w:pPr>
        <w:rPr>
          <w:b/>
          <w:color w:themeTint="99" w:themeColor="text2" w:val="548DD4"/>
        </w:rPr>
      </w:pPr>
      <w:r>
        <w:rPr>
          <w:color w:themeTint="99" w:themeColor="text2" w:val="548DD4"/>
        </w:rPr>
        <w:br w:type="page"/>
      </w:r>
    </w:p>
    <w:p w:rsidRDefault="00614249" w:rsidP="004C00BA" w:rsidR="00797DA1" w:rsidRPr="00614249">
      <w:pPr>
        <w:pStyle w:val="Opisslike"/>
        <w:rPr>
          <w:highlight w:val="green"/>
        </w:rPr>
      </w:pPr>
      <w:r w:rsidRPr="00614249">
        <w:lastRenderedPageBreak/>
        <w:t xml:space="preserve">POPIS  PRILOGA </w:t>
      </w:r>
    </w:p>
    <w:p w:rsidRDefault="00614249" w:rsidP="00614249" w:rsidR="00614249" w:rsidRPr="00E9077E">
      <w:pPr>
        <w:tabs>
          <w:tab w:pos="3879" w:val="left"/>
        </w:tabs>
        <w:spacing w:lineRule="auto" w:line="360"/>
        <w:rPr>
          <w:rStyle w:val="tabletextfield"/>
        </w:rPr>
      </w:pPr>
    </w:p>
    <w:p w:rsidRDefault="00614249" w:rsidP="00614249" w:rsidR="00614249" w:rsidRPr="004C00BA">
      <w:pPr>
        <w:pStyle w:val="Odlomakpopisa"/>
        <w:numPr>
          <w:ilvl w:val="0"/>
          <w:numId w:val="31"/>
        </w:numPr>
        <w:tabs>
          <w:tab w:pos="3879" w:val="left"/>
        </w:tabs>
        <w:spacing w:lineRule="auto" w:line="360"/>
        <w:rPr>
          <w:rStyle w:val="tabletextfield"/>
        </w:rPr>
      </w:pPr>
      <w:r w:rsidRPr="004C00BA">
        <w:rPr>
          <w:rStyle w:val="tabletextfield"/>
        </w:rPr>
        <w:t>Popis pojedinačnih obveza prema svim vjerovnicima s udjelom obveza u ukupnoj vrijednosti obveza</w:t>
      </w:r>
    </w:p>
    <w:p w:rsidRDefault="00614249" w:rsidP="00614249" w:rsidR="00614249" w:rsidRPr="004C00BA">
      <w:pPr>
        <w:pStyle w:val="Odlomakpopisa"/>
        <w:numPr>
          <w:ilvl w:val="0"/>
          <w:numId w:val="31"/>
        </w:numPr>
        <w:tabs>
          <w:tab w:pos="3879" w:val="left"/>
        </w:tabs>
        <w:spacing w:lineRule="auto" w:line="360"/>
        <w:rPr>
          <w:rStyle w:val="tabletextfield"/>
        </w:rPr>
      </w:pPr>
      <w:r w:rsidRPr="004C00BA">
        <w:rPr>
          <w:rStyle w:val="tabletextfield"/>
        </w:rPr>
        <w:t>Popis dužnikovih dužnika</w:t>
      </w:r>
    </w:p>
    <w:p w:rsidRDefault="00614249" w:rsidP="00614249" w:rsidR="00614249" w:rsidRPr="004C00BA">
      <w:pPr>
        <w:pStyle w:val="Odlomakpopisa"/>
        <w:numPr>
          <w:ilvl w:val="0"/>
          <w:numId w:val="31"/>
        </w:numPr>
        <w:tabs>
          <w:tab w:pos="3879" w:val="left"/>
        </w:tabs>
        <w:spacing w:lineRule="auto" w:line="360"/>
        <w:rPr>
          <w:rStyle w:val="tabletextfield"/>
        </w:rPr>
      </w:pPr>
      <w:r w:rsidRPr="004C00BA">
        <w:rPr>
          <w:rStyle w:val="tabletextfield"/>
        </w:rPr>
        <w:t>Popis tražbina radnika</w:t>
      </w:r>
    </w:p>
    <w:p w:rsidRDefault="00614249" w:rsidP="00614249" w:rsidR="00614249" w:rsidRPr="004C00BA">
      <w:pPr>
        <w:pStyle w:val="Odlomakpopisa"/>
        <w:numPr>
          <w:ilvl w:val="0"/>
          <w:numId w:val="31"/>
        </w:numPr>
        <w:tabs>
          <w:tab w:pos="3879" w:val="left"/>
        </w:tabs>
        <w:spacing w:lineRule="auto" w:line="360"/>
        <w:rPr>
          <w:rStyle w:val="tabletextfield"/>
        </w:rPr>
      </w:pPr>
      <w:r w:rsidRPr="004C00BA">
        <w:rPr>
          <w:rStyle w:val="tabletextfield"/>
        </w:rPr>
        <w:t>Visina prosječnih mjesečnih troškova redovnog poslovanja baziranih na prethodnih 12 mjeseci</w:t>
      </w:r>
    </w:p>
    <w:p w:rsidRDefault="00614249" w:rsidP="00614249" w:rsidR="00614249" w:rsidRPr="004C00BA">
      <w:pPr>
        <w:pStyle w:val="Odlomakpopisa"/>
        <w:numPr>
          <w:ilvl w:val="0"/>
          <w:numId w:val="31"/>
        </w:numPr>
        <w:tabs>
          <w:tab w:pos="3879" w:val="left"/>
        </w:tabs>
        <w:spacing w:lineRule="auto" w:line="360"/>
        <w:rPr>
          <w:rStyle w:val="tabletextfield"/>
        </w:rPr>
      </w:pPr>
      <w:r w:rsidRPr="004C00BA">
        <w:rPr>
          <w:rStyle w:val="tabletextfield"/>
        </w:rPr>
        <w:t>Obavijest vjerovnicima o podnošenju zahtjeva za pokretanje predstečajnog postupka</w:t>
      </w:r>
    </w:p>
    <w:p w:rsidRDefault="00614249" w:rsidP="00614249" w:rsidR="00614249" w:rsidRPr="004C00BA">
      <w:pPr>
        <w:pStyle w:val="Odlomakpopisa"/>
        <w:numPr>
          <w:ilvl w:val="0"/>
          <w:numId w:val="31"/>
        </w:numPr>
        <w:tabs>
          <w:tab w:pos="3879" w:val="left"/>
        </w:tabs>
        <w:spacing w:lineRule="auto" w:line="360"/>
        <w:rPr>
          <w:rStyle w:val="tabletextfield"/>
        </w:rPr>
      </w:pPr>
      <w:r w:rsidRPr="004C00BA">
        <w:rPr>
          <w:rStyle w:val="tabletextfield"/>
        </w:rPr>
        <w:t>Opis pregovora s vjerovnicima</w:t>
      </w:r>
    </w:p>
    <w:p w:rsidRDefault="00614249" w:rsidP="00614249" w:rsidR="00614249" w:rsidRPr="004C00BA">
      <w:pPr>
        <w:pStyle w:val="Odlomakpopisa"/>
        <w:numPr>
          <w:ilvl w:val="0"/>
          <w:numId w:val="31"/>
        </w:numPr>
        <w:tabs>
          <w:tab w:pos="3879" w:val="left"/>
        </w:tabs>
        <w:spacing w:lineRule="auto" w:line="360"/>
        <w:rPr>
          <w:rStyle w:val="tabletextfield"/>
        </w:rPr>
      </w:pPr>
      <w:r w:rsidRPr="004C00BA">
        <w:rPr>
          <w:rStyle w:val="tabletextfield"/>
        </w:rPr>
        <w:t xml:space="preserve">Popis imovine i prava dužnika koji su upisani u odgovarajuće upisnike </w:t>
      </w:r>
    </w:p>
    <w:p w:rsidRDefault="00614249" w:rsidP="00614249" w:rsidR="00614249" w:rsidRPr="004C00BA">
      <w:pPr>
        <w:pStyle w:val="Odlomakpopisa"/>
        <w:numPr>
          <w:ilvl w:val="0"/>
          <w:numId w:val="31"/>
        </w:numPr>
        <w:tabs>
          <w:tab w:pos="3879" w:val="left"/>
        </w:tabs>
        <w:spacing w:lineRule="auto" w:line="360"/>
        <w:rPr>
          <w:rStyle w:val="tabletextfield"/>
        </w:rPr>
      </w:pPr>
      <w:r w:rsidRPr="004C00BA">
        <w:rPr>
          <w:rStyle w:val="tabletextfield"/>
        </w:rPr>
        <w:t>Popis pokretnina dužnika</w:t>
      </w:r>
    </w:p>
    <w:p w:rsidRDefault="00614249" w:rsidP="00614249" w:rsidR="00614249" w:rsidRPr="004C00BA">
      <w:pPr>
        <w:pStyle w:val="Odlomakpopisa"/>
        <w:numPr>
          <w:ilvl w:val="0"/>
          <w:numId w:val="31"/>
        </w:numPr>
        <w:tabs>
          <w:tab w:pos="3879" w:val="left"/>
        </w:tabs>
        <w:spacing w:lineRule="auto" w:line="360"/>
        <w:rPr>
          <w:rStyle w:val="tabletextfield"/>
        </w:rPr>
      </w:pPr>
      <w:r w:rsidRPr="004C00BA">
        <w:rPr>
          <w:rStyle w:val="tabletextfield"/>
        </w:rPr>
        <w:t xml:space="preserve">Izjava da </w:t>
      </w:r>
      <w:r w:rsidR="00102DA4" w:rsidRPr="004C00BA">
        <w:rPr>
          <w:rStyle w:val="tabletextfield"/>
        </w:rPr>
        <w:t>i</w:t>
      </w:r>
      <w:r w:rsidRPr="004C00BA">
        <w:rPr>
          <w:rStyle w:val="tabletextfield"/>
        </w:rPr>
        <w:t>mamo izlučnih vjerovnika</w:t>
      </w:r>
    </w:p>
    <w:p w:rsidRDefault="00614249" w:rsidP="00614249" w:rsidR="00614249" w:rsidRPr="004C00BA">
      <w:pPr>
        <w:pStyle w:val="Odlomakpopisa"/>
        <w:numPr>
          <w:ilvl w:val="0"/>
          <w:numId w:val="31"/>
        </w:numPr>
        <w:tabs>
          <w:tab w:pos="3879" w:val="left"/>
        </w:tabs>
        <w:spacing w:lineRule="auto" w:line="360"/>
        <w:rPr>
          <w:rStyle w:val="tabletextfield"/>
        </w:rPr>
      </w:pPr>
      <w:r w:rsidRPr="004C00BA">
        <w:rPr>
          <w:rStyle w:val="tabletextfield"/>
        </w:rPr>
        <w:t>Izjava da imamo postupaka pokrenutih pred sudovima ili javnopravnim tijelima</w:t>
      </w:r>
    </w:p>
    <w:p w:rsidRDefault="00614249" w:rsidP="00614249" w:rsidR="00614249" w:rsidRPr="004C00BA">
      <w:pPr>
        <w:pStyle w:val="Odlomakpopisa"/>
        <w:numPr>
          <w:ilvl w:val="0"/>
          <w:numId w:val="31"/>
        </w:numPr>
        <w:tabs>
          <w:tab w:pos="3879" w:val="left"/>
        </w:tabs>
        <w:spacing w:lineRule="auto" w:line="360"/>
        <w:rPr>
          <w:rStyle w:val="tabletextfield"/>
        </w:rPr>
      </w:pPr>
      <w:r w:rsidRPr="004C00BA">
        <w:rPr>
          <w:rStyle w:val="tabletextfield"/>
        </w:rPr>
        <w:t xml:space="preserve">Izjava da imamo razlučnih vjerovnika </w:t>
      </w:r>
    </w:p>
    <w:p w:rsidRDefault="00614249" w:rsidP="00614249" w:rsidR="00614249" w:rsidRPr="004C00BA">
      <w:pPr>
        <w:pStyle w:val="Odlomakpopisa"/>
        <w:numPr>
          <w:ilvl w:val="0"/>
          <w:numId w:val="31"/>
        </w:numPr>
        <w:tabs>
          <w:tab w:pos="3879" w:val="left"/>
        </w:tabs>
        <w:spacing w:lineRule="auto" w:line="360"/>
        <w:rPr>
          <w:rStyle w:val="tabletextfield"/>
        </w:rPr>
      </w:pPr>
      <w:r w:rsidRPr="004C00BA">
        <w:rPr>
          <w:rStyle w:val="tabletextfield"/>
        </w:rPr>
        <w:t>Izjava</w:t>
      </w:r>
      <w:r w:rsidR="00102DA4" w:rsidRPr="004C00BA">
        <w:rPr>
          <w:rStyle w:val="tabletextfield"/>
        </w:rPr>
        <w:t xml:space="preserve"> da sklapanje predstečajne nagodbe neće utjecati na tražbine radnika</w:t>
      </w:r>
    </w:p>
    <w:p w:rsidRDefault="00614249" w:rsidP="00614249" w:rsidR="00614249">
      <w:pPr>
        <w:pStyle w:val="Odlomakpopisa"/>
        <w:numPr>
          <w:ilvl w:val="0"/>
          <w:numId w:val="31"/>
        </w:numPr>
        <w:tabs>
          <w:tab w:pos="3879" w:val="left"/>
        </w:tabs>
        <w:spacing w:lineRule="auto" w:line="360"/>
        <w:rPr>
          <w:rStyle w:val="tabletextfield"/>
        </w:rPr>
      </w:pPr>
      <w:r w:rsidRPr="004C00BA">
        <w:rPr>
          <w:rStyle w:val="tabletextfield"/>
        </w:rPr>
        <w:t xml:space="preserve">GFI </w:t>
      </w:r>
      <w:r w:rsidR="008A2627">
        <w:rPr>
          <w:rStyle w:val="tabletextfield"/>
        </w:rPr>
        <w:t>–</w:t>
      </w:r>
      <w:r w:rsidRPr="004C00BA">
        <w:rPr>
          <w:rStyle w:val="tabletextfield"/>
        </w:rPr>
        <w:t xml:space="preserve"> podaci</w:t>
      </w:r>
    </w:p>
    <w:p w:rsidRDefault="008A2627" w:rsidP="00614249" w:rsidR="008A2627" w:rsidRPr="004C00BA">
      <w:pPr>
        <w:pStyle w:val="Odlomakpopisa"/>
        <w:numPr>
          <w:ilvl w:val="0"/>
          <w:numId w:val="31"/>
        </w:numPr>
        <w:tabs>
          <w:tab w:pos="3879" w:val="left"/>
        </w:tabs>
        <w:spacing w:lineRule="auto" w:line="360"/>
        <w:rPr>
          <w:rStyle w:val="tabletextfield"/>
        </w:rPr>
      </w:pPr>
      <w:r>
        <w:rPr>
          <w:rStyle w:val="tabletextfield"/>
        </w:rPr>
        <w:t>Potvrda s Porezne uprave o stanju duga</w:t>
      </w:r>
    </w:p>
    <w:p w:rsidRDefault="00797DA1" w:rsidP="009B53F6" w:rsidR="00797DA1" w:rsidRPr="00E85B21">
      <w:pPr>
        <w:pStyle w:val="Naslov1"/>
        <w:rPr>
          <w:highlight w:val="green"/>
        </w:rPr>
      </w:pPr>
    </w:p>
    <w:p w:rsidRDefault="00797DA1" w:rsidP="009B53F6" w:rsidR="00797DA1">
      <w:pPr>
        <w:pStyle w:val="Naslov1"/>
        <w:rPr>
          <w:highlight w:val="green"/>
        </w:rPr>
      </w:pPr>
    </w:p>
    <w:p w:rsidRDefault="00797DA1" w:rsidP="009B53F6" w:rsidR="00797DA1">
      <w:pPr>
        <w:pStyle w:val="Naslov1"/>
        <w:rPr>
          <w:highlight w:val="green"/>
        </w:rPr>
      </w:pPr>
    </w:p>
    <w:p w:rsidRDefault="003C070C" w:rsidP="003C070C" w:rsidR="003C070C">
      <w:pPr>
        <w:rPr>
          <w:highlight w:val="green"/>
        </w:rPr>
      </w:pPr>
    </w:p>
    <w:p w:rsidRDefault="003C070C" w:rsidP="003C070C" w:rsidR="003C070C" w:rsidRPr="003C070C">
      <w:pPr>
        <w:rPr>
          <w:highlight w:val="green"/>
        </w:rPr>
      </w:pPr>
    </w:p>
    <w:p w:rsidRDefault="00892ADD" w:rsidR="00892ADD">
      <w:pPr>
        <w:rPr>
          <w:b/>
          <w:color w:themeColor="accent1" w:val="4F81BD"/>
          <w:highlight w:val="green"/>
        </w:rPr>
      </w:pPr>
      <w:r>
        <w:rPr>
          <w:highlight w:val="green"/>
        </w:rPr>
        <w:br w:type="page"/>
      </w:r>
    </w:p>
    <w:p w:rsidRDefault="0025558D" w:rsidP="009B53F6" w:rsidR="004C27A8" w:rsidRPr="009B53F6">
      <w:pPr>
        <w:pStyle w:val="Naslov1"/>
        <w:rPr>
          <w:sz w:val="22"/>
          <w:szCs w:val="22"/>
        </w:rPr>
      </w:pPr>
      <w:bookmarkStart w:name="_Toc462747737" w:id="4"/>
      <w:r w:rsidRPr="009B53F6">
        <w:lastRenderedPageBreak/>
        <w:t xml:space="preserve">1. </w:t>
      </w:r>
      <w:bookmarkEnd w:id="3"/>
      <w:r w:rsidR="005E4880" w:rsidRPr="009B53F6">
        <w:t>UVOD</w:t>
      </w:r>
      <w:bookmarkEnd w:id="4"/>
      <w:r w:rsidR="005E4880" w:rsidRPr="009B53F6">
        <w:t xml:space="preserve"> </w:t>
      </w:r>
    </w:p>
    <w:p w:rsidRDefault="0006044F" w:rsidP="001704CA" w:rsidR="0006044F" w:rsidRPr="00892ADD">
      <w:pPr>
        <w:spacing w:lineRule="auto" w:line="360"/>
        <w:jc w:val="both"/>
        <w:rPr>
          <w:color w:themeColor="text1" w:val="000000"/>
        </w:rPr>
      </w:pPr>
    </w:p>
    <w:p w:rsidRDefault="001D5824" w:rsidP="001704CA" w:rsidR="0006044F" w:rsidRPr="00892ADD">
      <w:pPr>
        <w:spacing w:lineRule="auto" w:line="360"/>
        <w:jc w:val="both"/>
        <w:rPr>
          <w:color w:themeColor="text1" w:val="000000"/>
        </w:rPr>
      </w:pPr>
      <w:r w:rsidRPr="00892ADD">
        <w:rPr>
          <w:color w:themeColor="text1" w:val="000000"/>
        </w:rPr>
        <w:t>Obrt</w:t>
      </w:r>
      <w:r w:rsidR="002A4FF6" w:rsidRPr="00892ADD">
        <w:rPr>
          <w:color w:themeColor="text1" w:val="000000"/>
        </w:rPr>
        <w:t xml:space="preserve"> JURATEX UNDERWEAR </w:t>
      </w:r>
      <w:r w:rsidR="00FA5EA0" w:rsidRPr="00892ADD">
        <w:rPr>
          <w:color w:themeColor="text1" w:val="000000"/>
        </w:rPr>
        <w:t>pokreće postupak</w:t>
      </w:r>
      <w:r w:rsidR="00064A55" w:rsidRPr="00892ADD">
        <w:rPr>
          <w:color w:themeColor="text1" w:val="000000"/>
        </w:rPr>
        <w:t xml:space="preserve"> predstečajne nagodbe zbog blokade računa </w:t>
      </w:r>
      <w:r w:rsidR="00B67158" w:rsidRPr="00892ADD">
        <w:rPr>
          <w:color w:themeColor="text1" w:val="000000"/>
        </w:rPr>
        <w:t>od strane vjerovnika</w:t>
      </w:r>
      <w:r w:rsidR="00FA5EA0" w:rsidRPr="00892ADD">
        <w:rPr>
          <w:color w:themeColor="text1" w:val="000000"/>
        </w:rPr>
        <w:t xml:space="preserve">, koja je onemogućila redovno poslovanje </w:t>
      </w:r>
      <w:r w:rsidR="00E172B9">
        <w:rPr>
          <w:color w:themeColor="text1" w:val="000000"/>
        </w:rPr>
        <w:t>obrta</w:t>
      </w:r>
      <w:r w:rsidR="00FA5EA0" w:rsidRPr="00892ADD">
        <w:rPr>
          <w:color w:themeColor="text1" w:val="000000"/>
        </w:rPr>
        <w:t xml:space="preserve">. </w:t>
      </w:r>
      <w:r w:rsidR="0006044F" w:rsidRPr="00892ADD">
        <w:rPr>
          <w:color w:themeColor="text1" w:val="000000"/>
        </w:rPr>
        <w:t>Daljnja blokada računa uzrokovala bi  dugoročnu</w:t>
      </w:r>
      <w:r w:rsidR="00064A55" w:rsidRPr="00892ADD">
        <w:rPr>
          <w:color w:themeColor="text1" w:val="000000"/>
        </w:rPr>
        <w:t xml:space="preserve"> nel</w:t>
      </w:r>
      <w:r w:rsidR="0006044F" w:rsidRPr="00892ADD">
        <w:rPr>
          <w:color w:themeColor="text1" w:val="000000"/>
        </w:rPr>
        <w:t xml:space="preserve">ikvidnost što bi nedvojbeno imalo </w:t>
      </w:r>
      <w:r w:rsidR="00064A55" w:rsidRPr="00892ADD">
        <w:rPr>
          <w:color w:themeColor="text1" w:val="000000"/>
        </w:rPr>
        <w:t xml:space="preserve">dalekosežne </w:t>
      </w:r>
      <w:r w:rsidR="0006044F" w:rsidRPr="00892ADD">
        <w:rPr>
          <w:color w:themeColor="text1" w:val="000000"/>
        </w:rPr>
        <w:t xml:space="preserve">negativne </w:t>
      </w:r>
      <w:r w:rsidR="00064A55" w:rsidRPr="00892ADD">
        <w:rPr>
          <w:color w:themeColor="text1" w:val="000000"/>
        </w:rPr>
        <w:t>pos</w:t>
      </w:r>
      <w:r w:rsidR="008A61AF" w:rsidRPr="00892ADD">
        <w:rPr>
          <w:color w:themeColor="text1" w:val="000000"/>
        </w:rPr>
        <w:t>ljedice za nastavak poslovanja</w:t>
      </w:r>
      <w:r w:rsidR="0006044F" w:rsidRPr="00892ADD">
        <w:rPr>
          <w:color w:themeColor="text1" w:val="000000"/>
        </w:rPr>
        <w:t xml:space="preserve"> </w:t>
      </w:r>
      <w:r w:rsidR="00E172B9">
        <w:rPr>
          <w:color w:themeColor="text1" w:val="000000"/>
        </w:rPr>
        <w:t>istog</w:t>
      </w:r>
      <w:r w:rsidR="00E44805" w:rsidRPr="00892ADD">
        <w:rPr>
          <w:color w:themeColor="text1" w:val="000000"/>
        </w:rPr>
        <w:t xml:space="preserve">, </w:t>
      </w:r>
      <w:r w:rsidR="005E3673" w:rsidRPr="00892ADD">
        <w:rPr>
          <w:color w:themeColor="text1" w:val="000000"/>
        </w:rPr>
        <w:t xml:space="preserve">a u konačnici bi </w:t>
      </w:r>
      <w:r w:rsidR="00E06E56" w:rsidRPr="00892ADD">
        <w:rPr>
          <w:color w:themeColor="text1" w:val="000000"/>
        </w:rPr>
        <w:t xml:space="preserve">vjerojatno dovelo i do </w:t>
      </w:r>
      <w:r w:rsidR="00FA5EA0" w:rsidRPr="00892ADD">
        <w:rPr>
          <w:color w:themeColor="text1" w:val="000000"/>
        </w:rPr>
        <w:t>prekid</w:t>
      </w:r>
      <w:r w:rsidR="00E06E56" w:rsidRPr="00892ADD">
        <w:rPr>
          <w:color w:themeColor="text1" w:val="000000"/>
        </w:rPr>
        <w:t>a</w:t>
      </w:r>
      <w:r w:rsidR="005E3673" w:rsidRPr="00892ADD">
        <w:rPr>
          <w:color w:themeColor="text1" w:val="000000"/>
        </w:rPr>
        <w:t xml:space="preserve"> poslovanja, odnosno stečaja. </w:t>
      </w:r>
    </w:p>
    <w:p w:rsidRDefault="0006044F" w:rsidP="001704CA" w:rsidR="0006044F" w:rsidRPr="00892ADD">
      <w:pPr>
        <w:spacing w:lineRule="auto" w:line="360"/>
        <w:jc w:val="both"/>
        <w:rPr>
          <w:color w:themeColor="text1" w:val="000000"/>
        </w:rPr>
      </w:pPr>
    </w:p>
    <w:p w:rsidRDefault="001D5824" w:rsidP="00D83863" w:rsidR="00D83863" w:rsidRPr="00892ADD">
      <w:pPr>
        <w:spacing w:lineRule="auto" w:line="360"/>
        <w:jc w:val="both"/>
        <w:rPr>
          <w:color w:themeColor="text1" w:val="000000"/>
        </w:rPr>
      </w:pPr>
      <w:r w:rsidRPr="00892ADD">
        <w:rPr>
          <w:color w:themeColor="text1" w:val="000000"/>
        </w:rPr>
        <w:t xml:space="preserve">Obrt   </w:t>
      </w:r>
      <w:r w:rsidR="0079264C" w:rsidRPr="00892ADD">
        <w:rPr>
          <w:color w:themeColor="text1" w:val="000000"/>
        </w:rPr>
        <w:t>Juratex</w:t>
      </w:r>
      <w:r w:rsidR="00F93C81" w:rsidRPr="00892ADD">
        <w:rPr>
          <w:color w:themeColor="text1" w:val="000000"/>
        </w:rPr>
        <w:t xml:space="preserve"> underwear </w:t>
      </w:r>
      <w:r w:rsidR="0006044F" w:rsidRPr="00892ADD">
        <w:rPr>
          <w:color w:themeColor="text1" w:val="000000"/>
        </w:rPr>
        <w:t>planira p</w:t>
      </w:r>
      <w:r w:rsidR="00064A55" w:rsidRPr="00892ADD">
        <w:rPr>
          <w:color w:themeColor="text1" w:val="000000"/>
        </w:rPr>
        <w:t xml:space="preserve">okretanjem postupka predstečajne nagodbe </w:t>
      </w:r>
      <w:r w:rsidR="001704CA" w:rsidRPr="00892ADD">
        <w:rPr>
          <w:color w:themeColor="text1" w:val="000000"/>
        </w:rPr>
        <w:t xml:space="preserve">prema </w:t>
      </w:r>
      <w:r w:rsidR="00CE73CE" w:rsidRPr="00892ADD">
        <w:rPr>
          <w:color w:themeColor="text1" w:val="000000"/>
        </w:rPr>
        <w:t xml:space="preserve">Stečajnom </w:t>
      </w:r>
      <w:r w:rsidR="001704CA" w:rsidRPr="00892ADD">
        <w:rPr>
          <w:color w:themeColor="text1" w:val="000000"/>
        </w:rPr>
        <w:t xml:space="preserve">Zakonu </w:t>
      </w:r>
      <w:r w:rsidR="0006044F" w:rsidRPr="00892ADD">
        <w:rPr>
          <w:color w:themeColor="text1" w:val="000000"/>
        </w:rPr>
        <w:t xml:space="preserve">deblokirati </w:t>
      </w:r>
      <w:r w:rsidR="00DB2F44" w:rsidRPr="00892ADD">
        <w:rPr>
          <w:color w:themeColor="text1" w:val="000000"/>
        </w:rPr>
        <w:t xml:space="preserve">svoj </w:t>
      </w:r>
      <w:r w:rsidR="0006044F" w:rsidRPr="00892ADD">
        <w:rPr>
          <w:color w:themeColor="text1" w:val="000000"/>
        </w:rPr>
        <w:t xml:space="preserve">poslovni račun što je </w:t>
      </w:r>
      <w:r w:rsidR="005E3673" w:rsidRPr="00892ADD">
        <w:rPr>
          <w:color w:themeColor="text1" w:val="000000"/>
        </w:rPr>
        <w:t xml:space="preserve">ujedno i </w:t>
      </w:r>
      <w:r w:rsidR="0006044F" w:rsidRPr="00892ADD">
        <w:rPr>
          <w:color w:themeColor="text1" w:val="000000"/>
        </w:rPr>
        <w:t xml:space="preserve">preduvjet za nastavak redovnog poslovanja. Deblokada računa omogućiti </w:t>
      </w:r>
      <w:r w:rsidR="00DB2F44" w:rsidRPr="00892ADD">
        <w:rPr>
          <w:color w:themeColor="text1" w:val="000000"/>
        </w:rPr>
        <w:t>će nastavak dosadašnjeg poslovanja,</w:t>
      </w:r>
      <w:r w:rsidR="003C4FA7" w:rsidRPr="00892ADD">
        <w:rPr>
          <w:color w:themeColor="text1" w:val="000000"/>
        </w:rPr>
        <w:t xml:space="preserve"> odnosno proizvodnju i veleprodaju donjeg rublja. </w:t>
      </w:r>
      <w:r w:rsidR="00D83863" w:rsidRPr="00892ADD">
        <w:rPr>
          <w:color w:themeColor="text1" w:val="000000"/>
        </w:rPr>
        <w:t>Deblokada računa i odgoda plaćanja starih obaveza za vrijeme trajanja postupka predste</w:t>
      </w:r>
      <w:r w:rsidR="001B170F" w:rsidRPr="00892ADD">
        <w:rPr>
          <w:color w:themeColor="text1" w:val="000000"/>
        </w:rPr>
        <w:t xml:space="preserve">čajne nagodbe, vratiti će obrt </w:t>
      </w:r>
      <w:r w:rsidR="00D83863" w:rsidRPr="00892ADD">
        <w:rPr>
          <w:color w:themeColor="text1" w:val="000000"/>
        </w:rPr>
        <w:t xml:space="preserve"> u  stanje likvidnosti, a kroz program operativnog i financijskog restrukturiranja stvoriti će se preduvjeti za uspješan nastavak poslovanja i nakon završetka predstečajne nagodbe.</w:t>
      </w:r>
      <w:r w:rsidR="00C46EE4" w:rsidRPr="00892ADD">
        <w:rPr>
          <w:color w:themeColor="text1" w:val="000000"/>
        </w:rPr>
        <w:t xml:space="preserve"> </w:t>
      </w:r>
    </w:p>
    <w:p w:rsidRDefault="00DD7808" w:rsidP="00DD7808" w:rsidR="00DD7808" w:rsidRPr="00892ADD">
      <w:pPr>
        <w:spacing w:lineRule="auto" w:line="360"/>
        <w:jc w:val="both"/>
        <w:rPr>
          <w:color w:themeColor="text1" w:val="000000"/>
        </w:rPr>
      </w:pPr>
    </w:p>
    <w:p w:rsidRDefault="00DD7808" w:rsidP="00DD7808" w:rsidR="00DD7808" w:rsidRPr="00892ADD">
      <w:pPr>
        <w:spacing w:lineRule="auto" w:line="360"/>
        <w:jc w:val="both"/>
        <w:rPr>
          <w:color w:themeColor="text1" w:val="000000"/>
        </w:rPr>
      </w:pPr>
      <w:r w:rsidRPr="00892ADD">
        <w:rPr>
          <w:color w:themeColor="text1" w:val="000000"/>
        </w:rPr>
        <w:t>Glavni cilj pokretanja postupka predstečajne nagodbe je nastavak poslovanja i podmirenje dugovanja prema svojim vjerovnicima u najvećoj mogućoj mjeri</w:t>
      </w:r>
      <w:r w:rsidR="005E1D13" w:rsidRPr="00892ADD">
        <w:rPr>
          <w:color w:themeColor="text1" w:val="000000"/>
        </w:rPr>
        <w:t xml:space="preserve">. </w:t>
      </w:r>
      <w:r w:rsidRPr="00892ADD">
        <w:rPr>
          <w:color w:themeColor="text1" w:val="000000"/>
        </w:rPr>
        <w:t xml:space="preserve"> </w:t>
      </w:r>
    </w:p>
    <w:p w:rsidRDefault="00D83863" w:rsidP="00D83863" w:rsidR="00D83863" w:rsidRPr="004C00BA">
      <w:pPr>
        <w:spacing w:lineRule="auto" w:line="360"/>
        <w:jc w:val="both"/>
      </w:pPr>
    </w:p>
    <w:p w:rsidRDefault="00413897" w:rsidP="00D83863" w:rsidR="00023594" w:rsidRPr="004C00BA">
      <w:pPr>
        <w:spacing w:lineRule="auto" w:line="360"/>
        <w:jc w:val="both"/>
      </w:pPr>
      <w:r w:rsidRPr="004C00BA">
        <w:t xml:space="preserve">Dodatni argument za donošenje </w:t>
      </w:r>
      <w:r w:rsidR="00CC1B9A" w:rsidRPr="004C00BA">
        <w:t>Rješenja o otvaranju</w:t>
      </w:r>
      <w:r w:rsidRPr="004C00BA">
        <w:t xml:space="preserve"> pos</w:t>
      </w:r>
      <w:r w:rsidR="00E172B9">
        <w:t xml:space="preserve">tupka predstečajne nagodbe je </w:t>
      </w:r>
      <w:r w:rsidRPr="004C00BA">
        <w:t xml:space="preserve">činjenica da je dužnik </w:t>
      </w:r>
      <w:r w:rsidR="001B170F" w:rsidRPr="004C00BA">
        <w:t xml:space="preserve"> i </w:t>
      </w:r>
      <w:r w:rsidR="00023594" w:rsidRPr="004C00BA">
        <w:t xml:space="preserve">u blokadi nastavio poslovati te svakim danom smanjuje svoje obaveze. </w:t>
      </w:r>
    </w:p>
    <w:p w:rsidRDefault="00D77850" w:rsidP="001704CA" w:rsidR="00D77850" w:rsidRPr="00892ADD">
      <w:pPr>
        <w:spacing w:lineRule="auto" w:line="360"/>
        <w:jc w:val="both"/>
      </w:pPr>
    </w:p>
    <w:p w:rsidRDefault="001704CA" w:rsidP="001704CA" w:rsidR="00E746BD" w:rsidRPr="00892ADD">
      <w:pPr>
        <w:spacing w:lineRule="auto" w:line="360"/>
        <w:jc w:val="both"/>
      </w:pPr>
      <w:r w:rsidRPr="00892ADD">
        <w:t>Svi podaci u daljnjem tekstu usklađeni su s financijskim</w:t>
      </w:r>
      <w:r w:rsidRPr="006E484F">
        <w:t xml:space="preserve"> izvješćima na dan </w:t>
      </w:r>
      <w:r w:rsidRPr="00892ADD">
        <w:t>3</w:t>
      </w:r>
      <w:r w:rsidR="004409FE" w:rsidRPr="00892ADD">
        <w:t>1</w:t>
      </w:r>
      <w:r w:rsidRPr="00892ADD">
        <w:t>.</w:t>
      </w:r>
      <w:r w:rsidR="00AE79B6" w:rsidRPr="00892ADD">
        <w:t>0</w:t>
      </w:r>
      <w:r w:rsidR="00892ADD" w:rsidRPr="00892ADD">
        <w:t>8</w:t>
      </w:r>
      <w:r w:rsidRPr="00892ADD">
        <w:t>.201</w:t>
      </w:r>
      <w:r w:rsidR="006E484F" w:rsidRPr="00892ADD">
        <w:t>6</w:t>
      </w:r>
      <w:r w:rsidR="00055356" w:rsidRPr="00892ADD">
        <w:t>. godine.</w:t>
      </w:r>
    </w:p>
    <w:p w:rsidRDefault="00772D84" w:rsidP="00772D84" w:rsidR="00772D84">
      <w:pPr>
        <w:spacing w:lineRule="auto" w:line="360"/>
        <w:jc w:val="both"/>
      </w:pPr>
    </w:p>
    <w:p w:rsidRDefault="00225B41" w:rsidP="001704CA" w:rsidR="00225B41">
      <w:pPr>
        <w:spacing w:lineRule="auto" w:line="360"/>
        <w:jc w:val="both"/>
      </w:pPr>
    </w:p>
    <w:p w:rsidRDefault="00C16B01" w:rsidP="001704CA" w:rsidR="00C16B01">
      <w:pPr>
        <w:spacing w:lineRule="auto" w:line="360"/>
        <w:jc w:val="both"/>
      </w:pPr>
    </w:p>
    <w:p w:rsidRDefault="00490186" w:rsidP="001704CA" w:rsidR="00490186">
      <w:pPr>
        <w:spacing w:lineRule="auto" w:line="360"/>
        <w:jc w:val="both"/>
      </w:pPr>
    </w:p>
    <w:p w:rsidRDefault="00490186" w:rsidP="001704CA" w:rsidR="00490186">
      <w:pPr>
        <w:spacing w:lineRule="auto" w:line="360"/>
        <w:jc w:val="both"/>
      </w:pPr>
    </w:p>
    <w:p w:rsidRDefault="00CB1EE2" w:rsidP="001704CA" w:rsidR="00CB1EE2">
      <w:pPr>
        <w:spacing w:lineRule="auto" w:line="360"/>
        <w:jc w:val="both"/>
      </w:pPr>
    </w:p>
    <w:p w:rsidRDefault="00CB1EE2" w:rsidP="001704CA" w:rsidR="00CB1EE2">
      <w:pPr>
        <w:spacing w:lineRule="auto" w:line="360"/>
        <w:jc w:val="both"/>
      </w:pPr>
    </w:p>
    <w:p w:rsidRDefault="00225B41" w:rsidP="001704CA" w:rsidR="00225B41" w:rsidRPr="006C1275">
      <w:pPr>
        <w:spacing w:lineRule="auto" w:line="360"/>
        <w:jc w:val="both"/>
      </w:pPr>
    </w:p>
    <w:p w:rsidRDefault="00067966" w:rsidP="000B0721" w:rsidR="00D026A1" w:rsidRPr="00892ADD">
      <w:pPr>
        <w:pStyle w:val="Naslov2"/>
      </w:pPr>
      <w:bookmarkStart w:name="_Toc451235616" w:id="5"/>
      <w:bookmarkStart w:name="_Toc462747738" w:id="6"/>
      <w:r w:rsidRPr="00892ADD">
        <w:lastRenderedPageBreak/>
        <w:t>Opći podaci</w:t>
      </w:r>
      <w:bookmarkEnd w:id="5"/>
      <w:bookmarkEnd w:id="6"/>
    </w:p>
    <w:p w:rsidRDefault="00225B41" w:rsidP="00E746BD" w:rsidR="00225B41">
      <w:pPr>
        <w:spacing w:lineRule="auto" w:line="360"/>
        <w:jc w:val="both"/>
        <w:rPr>
          <w:lang w:val="hr-HR"/>
        </w:rPr>
      </w:pPr>
    </w:p>
    <w:p w:rsidRDefault="001D5824" w:rsidP="00633BCA" w:rsidR="00A25AED" w:rsidRPr="00633BCA">
      <w:pPr>
        <w:spacing w:lineRule="auto" w:line="360"/>
        <w:jc w:val="both"/>
      </w:pPr>
      <w:r w:rsidRPr="00633BCA">
        <w:rPr>
          <w:lang w:val="hr-HR"/>
        </w:rPr>
        <w:t xml:space="preserve">Obrt   </w:t>
      </w:r>
      <w:r w:rsidR="002A4FF6" w:rsidRPr="00633BCA">
        <w:rPr>
          <w:lang w:val="hr-HR"/>
        </w:rPr>
        <w:t xml:space="preserve">Juratex underwear </w:t>
      </w:r>
      <w:r w:rsidR="00CB1EE2" w:rsidRPr="00633BCA">
        <w:rPr>
          <w:lang w:val="hr-HR"/>
        </w:rPr>
        <w:t xml:space="preserve">ima sjedište </w:t>
      </w:r>
      <w:r w:rsidR="00225B41" w:rsidRPr="00633BCA">
        <w:rPr>
          <w:lang w:val="hr-HR"/>
        </w:rPr>
        <w:t xml:space="preserve">u </w:t>
      </w:r>
      <w:r w:rsidR="00C6370F" w:rsidRPr="00633BCA">
        <w:rPr>
          <w:lang w:val="hr-HR"/>
        </w:rPr>
        <w:t xml:space="preserve">Samoboru na adresi </w:t>
      </w:r>
      <w:r w:rsidR="00C6370F" w:rsidRPr="00633BCA">
        <w:t xml:space="preserve">Draganje Selo 5/G. </w:t>
      </w:r>
      <w:r w:rsidRPr="00633BCA">
        <w:rPr>
          <w:lang w:val="hr-HR"/>
        </w:rPr>
        <w:t>Obrt</w:t>
      </w:r>
      <w:r w:rsidR="00C6370F" w:rsidRPr="00633BCA">
        <w:rPr>
          <w:lang w:val="hr-HR"/>
        </w:rPr>
        <w:t xml:space="preserve"> </w:t>
      </w:r>
      <w:r w:rsidR="00225B41" w:rsidRPr="00633BCA">
        <w:rPr>
          <w:lang w:val="hr-HR"/>
        </w:rPr>
        <w:t>je upis</w:t>
      </w:r>
      <w:r w:rsidR="00C6370F" w:rsidRPr="00633BCA">
        <w:rPr>
          <w:lang w:val="hr-HR"/>
        </w:rPr>
        <w:t>an</w:t>
      </w:r>
      <w:r w:rsidR="00225B41" w:rsidRPr="00633BCA">
        <w:rPr>
          <w:lang w:val="hr-HR"/>
        </w:rPr>
        <w:t xml:space="preserve"> </w:t>
      </w:r>
      <w:r w:rsidR="00C6370F" w:rsidRPr="00633BCA">
        <w:rPr>
          <w:lang w:val="hr-HR"/>
        </w:rPr>
        <w:t>u Obrtnom registru</w:t>
      </w:r>
      <w:r w:rsidR="00633BCA" w:rsidRPr="00633BCA">
        <w:rPr>
          <w:lang w:val="hr-HR"/>
        </w:rPr>
        <w:t xml:space="preserve"> </w:t>
      </w:r>
      <w:r w:rsidR="00225B41" w:rsidRPr="00633BCA">
        <w:rPr>
          <w:lang w:val="hr-HR"/>
        </w:rPr>
        <w:t>pod matičnim brojem</w:t>
      </w:r>
      <w:r w:rsidR="00633BCA" w:rsidRPr="00633BCA">
        <w:t xml:space="preserve"> 90791584</w:t>
      </w:r>
      <w:r w:rsidR="00225B41" w:rsidRPr="00633BCA">
        <w:rPr>
          <w:lang w:val="hr-HR"/>
        </w:rPr>
        <w:t xml:space="preserve">, </w:t>
      </w:r>
      <w:r w:rsidR="00633BCA" w:rsidRPr="00633BCA">
        <w:rPr>
          <w:lang w:val="hr-HR"/>
        </w:rPr>
        <w:t xml:space="preserve">a s radom je započeo </w:t>
      </w:r>
      <w:r w:rsidR="00633BCA" w:rsidRPr="00633BCA">
        <w:t xml:space="preserve">01.12.1994. </w:t>
      </w:r>
    </w:p>
    <w:p w:rsidRDefault="00225B41" w:rsidP="00633BCA" w:rsidR="00225B41" w:rsidRPr="00633BCA">
      <w:pPr>
        <w:spacing w:lineRule="auto" w:line="360"/>
        <w:jc w:val="both"/>
      </w:pPr>
    </w:p>
    <w:p w:rsidRDefault="007B052D" w:rsidP="00633BCA" w:rsidR="003B3D99" w:rsidRPr="00633BCA">
      <w:pPr>
        <w:spacing w:lineRule="auto" w:line="360"/>
      </w:pPr>
      <w:bookmarkStart w:name="_Toc451235617" w:id="7"/>
      <w:bookmarkStart w:name="_Toc131189722" w:id="8"/>
      <w:r w:rsidRPr="00633BCA">
        <w:t xml:space="preserve">Naziv: </w:t>
      </w:r>
      <w:r w:rsidR="002A4FF6" w:rsidRPr="00633BCA">
        <w:t xml:space="preserve">JURATEX UNDERWEAR UNDERWEAR </w:t>
      </w:r>
      <w:r w:rsidR="003B3D99" w:rsidRPr="00633BCA">
        <w:t xml:space="preserve">UNDERWEAR </w:t>
      </w:r>
      <w:r w:rsidR="001D5824" w:rsidRPr="00633BCA">
        <w:t xml:space="preserve">obrt   </w:t>
      </w:r>
      <w:r w:rsidR="003B3D99" w:rsidRPr="00633BCA">
        <w:t>za proizvodnju, trgovinu i prijevoz</w:t>
      </w:r>
    </w:p>
    <w:p w:rsidRDefault="007B052D" w:rsidP="00633BCA" w:rsidR="003B3D99" w:rsidRPr="00633BCA">
      <w:pPr>
        <w:spacing w:lineRule="auto" w:line="360"/>
      </w:pPr>
      <w:r w:rsidRPr="00633BCA">
        <w:t xml:space="preserve">Sjedište: </w:t>
      </w:r>
      <w:r w:rsidR="003B3D99" w:rsidRPr="00633BCA">
        <w:t>Draganje Selo 5/G Samobor</w:t>
      </w:r>
    </w:p>
    <w:p w:rsidRDefault="007B052D" w:rsidP="00633BCA" w:rsidR="00AE75C1" w:rsidRPr="00633BCA">
      <w:pPr>
        <w:widowControl w:val="false"/>
        <w:autoSpaceDE w:val="false"/>
        <w:autoSpaceDN w:val="false"/>
        <w:adjustRightInd w:val="false"/>
        <w:spacing w:lineRule="auto" w:line="360"/>
        <w:jc w:val="both"/>
      </w:pPr>
      <w:r w:rsidRPr="00633BCA">
        <w:t>OIB:</w:t>
      </w:r>
      <w:r w:rsidR="00AE75C1" w:rsidRPr="00633BCA">
        <w:t xml:space="preserve"> 81898769219</w:t>
      </w:r>
    </w:p>
    <w:p w:rsidRDefault="00633BCA" w:rsidP="00633BCA" w:rsidR="00633BCA" w:rsidRPr="00633BCA">
      <w:pPr>
        <w:widowControl w:val="false"/>
        <w:autoSpaceDE w:val="false"/>
        <w:autoSpaceDN w:val="false"/>
        <w:adjustRightInd w:val="false"/>
        <w:spacing w:lineRule="auto" w:line="360"/>
        <w:jc w:val="both"/>
      </w:pPr>
      <w:r w:rsidRPr="00633BCA">
        <w:t>MBO: 90791584</w:t>
      </w:r>
    </w:p>
    <w:p w:rsidRDefault="00633BCA" w:rsidP="00633BCA" w:rsidR="00633BCA" w:rsidRPr="00633BCA">
      <w:pPr>
        <w:widowControl w:val="false"/>
        <w:autoSpaceDE w:val="false"/>
        <w:autoSpaceDN w:val="false"/>
        <w:adjustRightInd w:val="false"/>
        <w:spacing w:lineRule="auto" w:line="360"/>
        <w:jc w:val="both"/>
      </w:pPr>
      <w:r w:rsidRPr="00633BCA">
        <w:t>Broj obrtnice: 01030603481</w:t>
      </w:r>
    </w:p>
    <w:p w:rsidRDefault="00633BCA" w:rsidP="00633BCA" w:rsidR="007B052D" w:rsidRPr="00633BCA">
      <w:pPr>
        <w:spacing w:lineRule="auto" w:line="360"/>
      </w:pPr>
      <w:r w:rsidRPr="00633BCA">
        <w:t>Početak rada</w:t>
      </w:r>
      <w:r w:rsidR="007B052D" w:rsidRPr="00633BCA">
        <w:t xml:space="preserve">: </w:t>
      </w:r>
      <w:r w:rsidRPr="00633BCA">
        <w:t>01.12.1994.</w:t>
      </w:r>
    </w:p>
    <w:p w:rsidRDefault="00633BCA" w:rsidP="00633BCA" w:rsidR="00633BCA" w:rsidRPr="008849D2">
      <w:pPr>
        <w:spacing w:lineRule="auto" w:line="360"/>
      </w:pPr>
      <w:r w:rsidRPr="008849D2">
        <w:t>Vlasnik</w:t>
      </w:r>
      <w:r w:rsidR="007B052D" w:rsidRPr="008849D2">
        <w:t>:</w:t>
      </w:r>
      <w:r w:rsidR="00462769" w:rsidRPr="008849D2">
        <w:t xml:space="preserve"> </w:t>
      </w:r>
      <w:r w:rsidR="008849D2" w:rsidRPr="008849D2">
        <w:t xml:space="preserve">MIRKO VOJNOVIĆ, </w:t>
      </w:r>
      <w:r w:rsidRPr="008849D2">
        <w:t>OIB</w:t>
      </w:r>
      <w:r w:rsidRPr="00633BCA">
        <w:t>: 81898769219, Ozaljska 87, Zagreb</w:t>
      </w:r>
    </w:p>
    <w:p w:rsidRDefault="007B052D" w:rsidP="00633BCA" w:rsidR="00C259F4" w:rsidRPr="00892ADD">
      <w:pPr>
        <w:spacing w:lineRule="auto" w:line="360"/>
        <w:rPr>
          <w:color w:themeColor="text1" w:val="000000"/>
        </w:rPr>
      </w:pPr>
      <w:r w:rsidRPr="00892ADD">
        <w:rPr>
          <w:color w:themeColor="text1" w:val="000000"/>
        </w:rPr>
        <w:t>Broj zaposle</w:t>
      </w:r>
      <w:r w:rsidR="004D5A5B" w:rsidRPr="00892ADD">
        <w:rPr>
          <w:color w:themeColor="text1" w:val="000000"/>
        </w:rPr>
        <w:t>nih na dan 3</w:t>
      </w:r>
      <w:r w:rsidR="004409FE" w:rsidRPr="00892ADD">
        <w:rPr>
          <w:color w:themeColor="text1" w:val="000000"/>
        </w:rPr>
        <w:t>1</w:t>
      </w:r>
      <w:r w:rsidR="004D5A5B" w:rsidRPr="00892ADD">
        <w:rPr>
          <w:color w:themeColor="text1" w:val="000000"/>
        </w:rPr>
        <w:t>.0</w:t>
      </w:r>
      <w:r w:rsidR="00892ADD" w:rsidRPr="00892ADD">
        <w:rPr>
          <w:color w:themeColor="text1" w:val="000000"/>
        </w:rPr>
        <w:t>8</w:t>
      </w:r>
      <w:r w:rsidR="003B3D99" w:rsidRPr="00892ADD">
        <w:rPr>
          <w:color w:themeColor="text1" w:val="000000"/>
        </w:rPr>
        <w:t xml:space="preserve">.2016. godine: </w:t>
      </w:r>
      <w:r w:rsidR="00892ADD" w:rsidRPr="00892ADD">
        <w:rPr>
          <w:color w:themeColor="text1" w:val="000000"/>
        </w:rPr>
        <w:t>2</w:t>
      </w:r>
    </w:p>
    <w:p w:rsidRDefault="00C259F4" w:rsidP="007B052D" w:rsidR="00C259F4" w:rsidRPr="007B052D">
      <w:pPr>
        <w:spacing w:lineRule="auto" w:line="276"/>
      </w:pPr>
    </w:p>
    <w:p w:rsidRDefault="00E44805" w:rsidP="00454A00" w:rsidR="00E44805">
      <w:pPr>
        <w:spacing w:lineRule="auto" w:line="276"/>
      </w:pPr>
    </w:p>
    <w:p w:rsidRDefault="00454A00" w:rsidP="0014086E" w:rsidR="00454A00" w:rsidRPr="00892ADD">
      <w:pPr>
        <w:pStyle w:val="Naslov3"/>
        <w:rPr>
          <w:rFonts w:eastAsia="Calibri"/>
        </w:rPr>
      </w:pPr>
      <w:bookmarkStart w:name="_Toc386092473" w:id="9"/>
      <w:bookmarkStart w:name="_Toc462747739" w:id="10"/>
      <w:bookmarkEnd w:id="7"/>
      <w:r w:rsidRPr="00892ADD">
        <w:rPr>
          <w:rFonts w:eastAsia="Calibri"/>
        </w:rPr>
        <w:t>Predmet poslovanja</w:t>
      </w:r>
      <w:bookmarkEnd w:id="9"/>
      <w:bookmarkEnd w:id="10"/>
      <w:r w:rsidRPr="00892ADD">
        <w:rPr>
          <w:rFonts w:eastAsia="Calibri"/>
        </w:rPr>
        <w:t xml:space="preserve">  </w:t>
      </w:r>
    </w:p>
    <w:p w:rsidRDefault="00454A00" w:rsidP="00454A00" w:rsidR="00454A00" w:rsidRPr="00454A00">
      <w:pPr>
        <w:spacing w:lineRule="auto" w:line="276"/>
      </w:pPr>
    </w:p>
    <w:p w:rsidRDefault="001D5824" w:rsidP="0014086E" w:rsidR="007B052D" w:rsidRPr="0014086E">
      <w:pPr>
        <w:spacing w:lineRule="auto" w:line="360"/>
        <w:jc w:val="both"/>
        <w:rPr>
          <w:rFonts w:eastAsia="Times New Roman"/>
          <w:snapToGrid w:val="false"/>
          <w:lang w:val="hr-HR"/>
        </w:rPr>
      </w:pPr>
      <w:r w:rsidRPr="0014086E">
        <w:rPr>
          <w:snapToGrid w:val="false"/>
          <w:lang w:val="hr-HR"/>
        </w:rPr>
        <w:t>Obrt</w:t>
      </w:r>
      <w:r w:rsidR="008A3C05" w:rsidRPr="0014086E">
        <w:rPr>
          <w:snapToGrid w:val="false"/>
          <w:lang w:val="hr-HR"/>
        </w:rPr>
        <w:t xml:space="preserve"> </w:t>
      </w:r>
      <w:r w:rsidR="007B052D" w:rsidRPr="0014086E">
        <w:rPr>
          <w:snapToGrid w:val="false"/>
          <w:lang w:val="hr-HR"/>
        </w:rPr>
        <w:t xml:space="preserve">je </w:t>
      </w:r>
      <w:r w:rsidR="00AB6C28" w:rsidRPr="0014086E">
        <w:rPr>
          <w:rFonts w:eastAsia="Times New Roman"/>
          <w:snapToGrid w:val="false"/>
          <w:lang w:val="hr-HR"/>
        </w:rPr>
        <w:t>registriran</w:t>
      </w:r>
      <w:r w:rsidR="007B052D" w:rsidRPr="0014086E">
        <w:rPr>
          <w:rFonts w:eastAsia="Times New Roman"/>
          <w:snapToGrid w:val="false"/>
          <w:lang w:val="hr-HR"/>
        </w:rPr>
        <w:t xml:space="preserve"> </w:t>
      </w:r>
      <w:r w:rsidR="007D0060" w:rsidRPr="0014086E">
        <w:rPr>
          <w:bCs/>
        </w:rPr>
        <w:t xml:space="preserve"> ( djelatnost prema NKD 2007 ): </w:t>
      </w:r>
      <w:r w:rsidR="007B052D" w:rsidRPr="0014086E">
        <w:rPr>
          <w:rFonts w:eastAsia="Times New Roman"/>
          <w:snapToGrid w:val="false"/>
          <w:lang w:val="hr-HR"/>
        </w:rPr>
        <w:t>za sljedeće djelatnosti:</w:t>
      </w:r>
      <w:r w:rsidR="004D5A5B" w:rsidRPr="0014086E">
        <w:rPr>
          <w:rFonts w:eastAsia="Times New Roman"/>
          <w:snapToGrid w:val="false"/>
          <w:lang w:val="hr-HR"/>
        </w:rPr>
        <w:t xml:space="preserve"> </w:t>
      </w:r>
    </w:p>
    <w:p w:rsidRDefault="0014086E" w:rsidP="0014086E" w:rsidR="007D0060" w:rsidRPr="0014086E">
      <w:pPr>
        <w:pStyle w:val="Odlomakpopisa"/>
        <w:numPr>
          <w:ilvl w:val="0"/>
          <w:numId w:val="35"/>
        </w:numPr>
        <w:spacing w:lineRule="auto" w:line="360"/>
        <w:rPr>
          <w:lang w:val="en-GB"/>
        </w:rPr>
      </w:pPr>
      <w:r w:rsidRPr="0014086E">
        <w:rPr>
          <w:bCs/>
        </w:rPr>
        <w:t xml:space="preserve">14.4 - </w:t>
      </w:r>
      <w:r w:rsidR="007D0060" w:rsidRPr="0014086E">
        <w:rPr>
          <w:bCs/>
        </w:rPr>
        <w:t xml:space="preserve">PROIZVODNJA RUBLJA </w:t>
      </w:r>
      <w:r w:rsidRPr="0014086E">
        <w:rPr>
          <w:bCs/>
        </w:rPr>
        <w:t xml:space="preserve">( pretežita djelatnost ) </w:t>
      </w:r>
    </w:p>
    <w:p w:rsidRDefault="007D0060" w:rsidP="0014086E" w:rsidR="008814A1" w:rsidRPr="0014086E">
      <w:pPr>
        <w:pStyle w:val="Odlomakpopisa"/>
        <w:numPr>
          <w:ilvl w:val="0"/>
          <w:numId w:val="35"/>
        </w:numPr>
        <w:spacing w:lineRule="auto" w:line="360"/>
        <w:rPr>
          <w:lang w:val="en-GB"/>
        </w:rPr>
      </w:pPr>
      <w:r w:rsidRPr="0014086E">
        <w:t>77.34 - IZNAJMLJIVANJE I DAVANJE U ZAKUP (LEASING) PLOVNIH PRIJEVOZNIH SREDSTAVA</w:t>
      </w:r>
    </w:p>
    <w:p w:rsidRDefault="0014086E" w:rsidP="0014086E" w:rsidR="0014086E" w:rsidRPr="0014086E">
      <w:pPr>
        <w:pStyle w:val="Odlomakpopisa"/>
        <w:numPr>
          <w:ilvl w:val="0"/>
          <w:numId w:val="35"/>
        </w:numPr>
        <w:spacing w:lineRule="auto" w:line="360"/>
        <w:rPr>
          <w:lang w:val="en-GB"/>
        </w:rPr>
      </w:pPr>
      <w:r w:rsidRPr="0014086E">
        <w:t>47.78 - OSTALA TRGOVINA NA MALO NOVOM ROBOM U SPECIJALIZIRANIM PRODAVAONICAMA</w:t>
      </w:r>
    </w:p>
    <w:p w:rsidRDefault="0014086E" w:rsidP="0014086E" w:rsidR="0014086E" w:rsidRPr="0014086E">
      <w:pPr>
        <w:pStyle w:val="Odlomakpopisa"/>
        <w:numPr>
          <w:ilvl w:val="0"/>
          <w:numId w:val="35"/>
        </w:numPr>
        <w:spacing w:lineRule="auto" w:line="360"/>
        <w:rPr>
          <w:lang w:val="en-GB"/>
        </w:rPr>
      </w:pPr>
      <w:r w:rsidRPr="0014086E">
        <w:t>46.64 - TRGOVINA NA VELIKO STROJEVIMA ZA TEKSTILNU INDUSTRIJU TE STROJEVIMA ZA ŠIVANJE I PLETENJE</w:t>
      </w:r>
    </w:p>
    <w:p w:rsidRDefault="0014086E" w:rsidP="0014086E" w:rsidR="0014086E" w:rsidRPr="0014086E">
      <w:pPr>
        <w:pStyle w:val="Odlomakpopisa"/>
        <w:numPr>
          <w:ilvl w:val="0"/>
          <w:numId w:val="35"/>
        </w:numPr>
        <w:spacing w:lineRule="auto" w:line="360"/>
        <w:rPr>
          <w:lang w:val="en-GB"/>
        </w:rPr>
      </w:pPr>
      <w:r w:rsidRPr="0014086E">
        <w:t>49.41 - CESTOVNI PRIJEVOZ ROBE</w:t>
      </w:r>
    </w:p>
    <w:p w:rsidRDefault="0014086E" w:rsidP="0014086E" w:rsidR="0014086E" w:rsidRPr="0014086E">
      <w:pPr>
        <w:pStyle w:val="Odlomakpopisa"/>
        <w:numPr>
          <w:ilvl w:val="0"/>
          <w:numId w:val="35"/>
        </w:numPr>
        <w:spacing w:lineRule="auto" w:line="360"/>
        <w:rPr>
          <w:lang w:val="en-GB"/>
        </w:rPr>
      </w:pPr>
      <w:r w:rsidRPr="0014086E">
        <w:t>46 - TRGOVINA NA VELIKO, OSIM TRGOVINE MOTORNIM VOZILIMA I MOTOCIKLIMA</w:t>
      </w:r>
    </w:p>
    <w:p w:rsidRDefault="008A3C05" w:rsidP="00811D51" w:rsidR="008A3C05">
      <w:pPr>
        <w:pStyle w:val="Tijeloteksta"/>
        <w:spacing w:lineRule="auto" w:line="360"/>
        <w:rPr>
          <w:rFonts w:hAnsi="Times New Roman" w:ascii="Times New Roman"/>
          <w:sz w:val="24"/>
          <w:szCs w:val="24"/>
          <w:lang w:val="hr-HR"/>
        </w:rPr>
      </w:pPr>
    </w:p>
    <w:p w:rsidRDefault="008A3C05" w:rsidP="00811D51" w:rsidR="008A3C05">
      <w:pPr>
        <w:pStyle w:val="Tijeloteksta"/>
        <w:spacing w:lineRule="auto" w:line="360"/>
        <w:rPr>
          <w:rFonts w:hAnsi="Times New Roman" w:ascii="Times New Roman"/>
          <w:sz w:val="24"/>
          <w:szCs w:val="24"/>
          <w:lang w:val="hr-HR"/>
        </w:rPr>
      </w:pPr>
    </w:p>
    <w:p w:rsidRDefault="008A3C05" w:rsidP="00811D51" w:rsidR="008A3C05">
      <w:pPr>
        <w:pStyle w:val="Tijeloteksta"/>
        <w:spacing w:lineRule="auto" w:line="360"/>
        <w:rPr>
          <w:rFonts w:hAnsi="Times New Roman" w:ascii="Times New Roman"/>
          <w:sz w:val="24"/>
          <w:szCs w:val="24"/>
          <w:lang w:val="hr-HR"/>
        </w:rPr>
      </w:pPr>
    </w:p>
    <w:p w:rsidRDefault="008814A1" w:rsidP="00811D51" w:rsidR="008814A1">
      <w:pPr>
        <w:pStyle w:val="Tijeloteksta"/>
        <w:spacing w:lineRule="auto" w:line="360"/>
        <w:rPr>
          <w:rFonts w:hAnsi="Times New Roman" w:ascii="Times New Roman"/>
          <w:sz w:val="24"/>
          <w:szCs w:val="24"/>
          <w:lang w:val="hr-HR"/>
        </w:rPr>
      </w:pPr>
    </w:p>
    <w:p w:rsidRDefault="00847B3F" w:rsidP="0014086E" w:rsidR="00FF7F00" w:rsidRPr="00847B3F">
      <w:pPr>
        <w:pStyle w:val="Naslov3"/>
        <w:rPr>
          <w:rStyle w:val="tabletextfield"/>
        </w:rPr>
      </w:pPr>
      <w:bookmarkStart w:name="_Toc462747740" w:id="11"/>
      <w:bookmarkStart w:name="_Toc451235618" w:id="12"/>
      <w:r>
        <w:rPr>
          <w:rStyle w:val="tabletextfield"/>
        </w:rPr>
        <w:lastRenderedPageBreak/>
        <w:t>Ovlaštene osobe</w:t>
      </w:r>
      <w:bookmarkEnd w:id="11"/>
      <w:r w:rsidR="00FF7F00" w:rsidRPr="00847B3F">
        <w:rPr>
          <w:rStyle w:val="tabletextfield"/>
        </w:rPr>
        <w:t xml:space="preserve"> </w:t>
      </w:r>
      <w:bookmarkEnd w:id="12"/>
    </w:p>
    <w:p w:rsidRDefault="007B052D" w:rsidP="007B052D" w:rsidR="007B052D" w:rsidRPr="007622EC">
      <w:bookmarkStart w:name="_Toc451235619" w:id="13"/>
    </w:p>
    <w:p w:rsidRDefault="007B052D" w:rsidP="00B11B6F" w:rsidR="00E44805">
      <w:pPr>
        <w:pStyle w:val="Opisslike"/>
        <w:jc w:val="both"/>
      </w:pPr>
      <w:r>
        <w:t xml:space="preserve">Osoba ovlaštena za zastupanje je </w:t>
      </w:r>
      <w:r w:rsidR="008A3C05">
        <w:t>vlasnik obrta Mirko Vojnović, koji</w:t>
      </w:r>
      <w:r>
        <w:t xml:space="preserve"> zastupa društvo pojedinačno i samostalno. Nakon restrukturiranja uprava se </w:t>
      </w:r>
      <w:r w:rsidR="003C1CF0">
        <w:t xml:space="preserve"> neće </w:t>
      </w:r>
      <w:r>
        <w:t xml:space="preserve">mijenjati. </w:t>
      </w:r>
      <w:r w:rsidR="004D5A5B">
        <w:t xml:space="preserve"> </w:t>
      </w:r>
    </w:p>
    <w:p w:rsidRDefault="00B11B6F" w:rsidP="00B11B6F" w:rsidR="00B11B6F">
      <w:pPr>
        <w:rPr>
          <w:lang w:eastAsia="de-DE"/>
        </w:rPr>
      </w:pPr>
    </w:p>
    <w:p w:rsidRDefault="005E763A" w:rsidP="00B11B6F" w:rsidR="005E763A" w:rsidRPr="00B11B6F">
      <w:pPr>
        <w:rPr>
          <w:lang w:eastAsia="de-DE"/>
        </w:rPr>
      </w:pPr>
    </w:p>
    <w:p w:rsidRDefault="00414A18" w:rsidP="0014086E" w:rsidR="00E520C5" w:rsidRPr="00847B3F">
      <w:pPr>
        <w:pStyle w:val="Naslov3"/>
      </w:pPr>
      <w:bookmarkStart w:name="_Toc462747741" w:id="14"/>
      <w:r w:rsidRPr="00847B3F">
        <w:t>V</w:t>
      </w:r>
      <w:r w:rsidR="00E520C5" w:rsidRPr="00847B3F">
        <w:t>lasnička struktura</w:t>
      </w:r>
      <w:bookmarkEnd w:id="13"/>
      <w:bookmarkEnd w:id="14"/>
    </w:p>
    <w:p w:rsidRDefault="007B052D" w:rsidP="007B052D" w:rsidR="007B052D" w:rsidRPr="006C1275">
      <w:pPr>
        <w:spacing w:lineRule="auto" w:line="360"/>
        <w:contextualSpacing/>
        <w:jc w:val="both"/>
      </w:pPr>
      <w:bookmarkStart w:name="_Toc451235620" w:id="15"/>
    </w:p>
    <w:p w:rsidRDefault="001D5824" w:rsidP="007B052D" w:rsidR="007B052D">
      <w:pPr>
        <w:pStyle w:val="Opisslike"/>
        <w:jc w:val="both"/>
      </w:pPr>
      <w:r>
        <w:t>Obrt</w:t>
      </w:r>
      <w:r w:rsidR="00410C62">
        <w:t xml:space="preserve"> </w:t>
      </w:r>
      <w:r w:rsidR="007B052D">
        <w:t xml:space="preserve">je </w:t>
      </w:r>
      <w:r w:rsidR="007B052D" w:rsidRPr="00F054E6">
        <w:t>100% u</w:t>
      </w:r>
      <w:r w:rsidR="007B052D">
        <w:t xml:space="preserve"> p</w:t>
      </w:r>
      <w:r w:rsidR="00410C62">
        <w:t>rivatnom vlasništvu, a vlasnik je Mirko Vojnović</w:t>
      </w:r>
      <w:r w:rsidR="00410C62">
        <w:rPr>
          <w:lang w:val="en-US"/>
        </w:rPr>
        <w:t xml:space="preserve">. </w:t>
      </w:r>
      <w:r w:rsidR="007B052D" w:rsidRPr="00F054E6">
        <w:t>Nakon</w:t>
      </w:r>
      <w:r w:rsidR="007B052D">
        <w:t xml:space="preserve"> </w:t>
      </w:r>
      <w:r w:rsidR="007B052D" w:rsidRPr="00F054E6">
        <w:t>restrukturiran</w:t>
      </w:r>
      <w:r w:rsidR="00410C62">
        <w:t>ja vlasnička struktura</w:t>
      </w:r>
      <w:r w:rsidR="007B052D">
        <w:t xml:space="preserve"> neće se mijenjati</w:t>
      </w:r>
      <w:r w:rsidR="007B052D" w:rsidRPr="00F054E6">
        <w:t xml:space="preserve">. </w:t>
      </w:r>
      <w:r w:rsidR="004D5A5B">
        <w:t xml:space="preserve"> </w:t>
      </w:r>
    </w:p>
    <w:p w:rsidRDefault="007B052D" w:rsidP="007B052D" w:rsidR="007B052D" w:rsidRPr="009E04E5">
      <w:pPr>
        <w:rPr>
          <w:lang w:eastAsia="de-DE"/>
        </w:rPr>
      </w:pPr>
    </w:p>
    <w:p w:rsidRDefault="007B052D" w:rsidP="007B052D" w:rsidR="007B052D">
      <w:pPr>
        <w:pStyle w:val="Opisslike"/>
        <w:jc w:val="both"/>
      </w:pPr>
      <w:r w:rsidRPr="00F054E6">
        <w:t>U nastavku se nalazi</w:t>
      </w:r>
      <w:r>
        <w:t xml:space="preserve"> </w:t>
      </w:r>
      <w:r w:rsidRPr="00F054E6">
        <w:t>grafički</w:t>
      </w:r>
      <w:r>
        <w:t xml:space="preserve"> </w:t>
      </w:r>
      <w:r w:rsidRPr="00F054E6">
        <w:t>prikaz</w:t>
      </w:r>
      <w:r>
        <w:t xml:space="preserve"> </w:t>
      </w:r>
      <w:r w:rsidRPr="00F054E6">
        <w:t>vlasničke</w:t>
      </w:r>
      <w:r>
        <w:t xml:space="preserve"> </w:t>
      </w:r>
      <w:r w:rsidRPr="00F054E6">
        <w:t>strukture</w:t>
      </w:r>
      <w:r>
        <w:t xml:space="preserve"> </w:t>
      </w:r>
      <w:r w:rsidRPr="00F054E6">
        <w:t>prije</w:t>
      </w:r>
      <w:r>
        <w:t xml:space="preserve"> i nakon mjera restrukturiranja. </w:t>
      </w:r>
    </w:p>
    <w:p w:rsidRDefault="007B052D" w:rsidP="007B052D" w:rsidR="007B052D" w:rsidRPr="001446FC">
      <w:pPr>
        <w:rPr>
          <w:lang w:eastAsia="de-DE"/>
        </w:rPr>
      </w:pPr>
    </w:p>
    <w:p w:rsidRDefault="007B052D" w:rsidP="007B052D" w:rsidR="007B052D" w:rsidRPr="006C1275">
      <w:pPr>
        <w:pStyle w:val="Nastavakpopisa"/>
        <w:spacing w:lineRule="auto" w:line="360"/>
        <w:ind w:left="0"/>
        <w:jc w:val="both"/>
      </w:pPr>
    </w:p>
    <w:p w:rsidRDefault="007B052D" w:rsidP="007B052D" w:rsidR="007B052D">
      <w:pPr>
        <w:pStyle w:val="Nastavakpopisa"/>
        <w:spacing w:lineRule="auto" w:line="360"/>
        <w:ind w:left="0"/>
        <w:jc w:val="center"/>
      </w:pPr>
      <w:r w:rsidRPr="006953E7">
        <w:rPr>
          <w:noProof/>
        </w:rPr>
        <w:drawing>
          <wp:inline distR="0" distL="0" distB="0" distT="0">
            <wp:extent cy="2842260" cx="4549140"/>
            <wp:effectExtent b="15240" r="3810" t="0" l="0"/>
            <wp:docPr name="Chart 9" id="9"/>
            <wp:cNvGraphicFramePr/>
            <a:graphic>
              <a:graphicData uri="http://schemas.openxmlformats.org/drawingml/2006/chart">
                <c:chart r:id="rId10"/>
              </a:graphicData>
            </a:graphic>
          </wp:inline>
        </w:drawing>
      </w:r>
    </w:p>
    <w:p w:rsidRDefault="00012A88" w:rsidP="007B052D" w:rsidR="00012A88">
      <w:pPr>
        <w:pStyle w:val="Nastavakpopisa"/>
        <w:spacing w:lineRule="auto" w:line="360"/>
        <w:ind w:left="0"/>
        <w:jc w:val="center"/>
      </w:pPr>
    </w:p>
    <w:p w:rsidRDefault="007B052D" w:rsidP="00012A88" w:rsidR="007B052D" w:rsidRPr="00A27731">
      <w:pPr>
        <w:pStyle w:val="Nastavakpopisa"/>
        <w:spacing w:lineRule="auto" w:line="360"/>
        <w:ind w:left="0"/>
        <w:jc w:val="center"/>
        <w:rPr>
          <w:color w:val="FF0000"/>
        </w:rPr>
      </w:pPr>
      <w:r w:rsidRPr="006C1275">
        <w:rPr>
          <w:i/>
        </w:rPr>
        <w:t>Vlasnička struktura prije</w:t>
      </w:r>
      <w:r>
        <w:rPr>
          <w:i/>
        </w:rPr>
        <w:t xml:space="preserve"> i nakon</w:t>
      </w:r>
      <w:r w:rsidRPr="006C1275">
        <w:rPr>
          <w:i/>
        </w:rPr>
        <w:t xml:space="preserve"> mjera restrukturiranja</w:t>
      </w:r>
    </w:p>
    <w:p w:rsidRDefault="007B052D" w:rsidP="007B052D" w:rsidR="007B052D" w:rsidRPr="009B338C"/>
    <w:p w:rsidRDefault="00CD7BEF" w:rsidP="00CD7BEF" w:rsidR="00CD7BEF">
      <w:pPr>
        <w:rPr>
          <w:rFonts w:eastAsia="Times New Roman"/>
          <w:color w:val="FF0000"/>
          <w:lang w:eastAsia="hr-HR" w:val="hr-HR"/>
        </w:rPr>
      </w:pPr>
    </w:p>
    <w:p w:rsidRDefault="007D16A6" w:rsidP="00CD7BEF" w:rsidR="007D16A6">
      <w:pPr>
        <w:rPr>
          <w:rFonts w:eastAsia="Times New Roman"/>
          <w:color w:val="FF0000"/>
          <w:lang w:eastAsia="hr-HR" w:val="hr-HR"/>
        </w:rPr>
      </w:pPr>
    </w:p>
    <w:p w:rsidRDefault="007D16A6" w:rsidP="00CD7BEF" w:rsidR="007D16A6">
      <w:pPr>
        <w:rPr>
          <w:rFonts w:eastAsia="Times New Roman"/>
          <w:color w:val="FF0000"/>
          <w:lang w:eastAsia="hr-HR" w:val="hr-HR"/>
        </w:rPr>
      </w:pPr>
    </w:p>
    <w:p w:rsidRDefault="007D16A6" w:rsidP="00CD7BEF" w:rsidR="007D16A6">
      <w:pPr>
        <w:rPr>
          <w:rFonts w:eastAsia="Times New Roman"/>
          <w:color w:val="FF0000"/>
          <w:lang w:eastAsia="hr-HR" w:val="hr-HR"/>
        </w:rPr>
      </w:pPr>
    </w:p>
    <w:p w:rsidRDefault="007D16A6" w:rsidP="00CD7BEF" w:rsidR="007D16A6">
      <w:pPr>
        <w:rPr>
          <w:rFonts w:eastAsia="Times New Roman"/>
          <w:color w:val="FF0000"/>
          <w:lang w:eastAsia="hr-HR" w:val="hr-HR"/>
        </w:rPr>
      </w:pPr>
    </w:p>
    <w:p w:rsidRDefault="007D16A6" w:rsidP="00CD7BEF" w:rsidR="007D16A6">
      <w:pPr>
        <w:rPr>
          <w:rFonts w:eastAsia="Times New Roman"/>
          <w:color w:val="FF0000"/>
          <w:lang w:eastAsia="hr-HR" w:val="hr-HR"/>
        </w:rPr>
      </w:pPr>
    </w:p>
    <w:p w:rsidRDefault="00430FC7" w:rsidP="00CD7BEF" w:rsidR="00430FC7">
      <w:pPr>
        <w:rPr>
          <w:rFonts w:eastAsia="Times New Roman"/>
          <w:color w:val="FF0000"/>
          <w:lang w:eastAsia="hr-HR" w:val="hr-HR"/>
        </w:rPr>
      </w:pPr>
    </w:p>
    <w:p w:rsidRDefault="00430FC7" w:rsidP="00CD7BEF" w:rsidR="00430FC7">
      <w:pPr>
        <w:rPr>
          <w:rFonts w:eastAsia="Times New Roman"/>
          <w:color w:val="FF0000"/>
          <w:lang w:eastAsia="hr-HR" w:val="hr-HR"/>
        </w:rPr>
      </w:pPr>
    </w:p>
    <w:p w:rsidRDefault="007D16A6" w:rsidP="00CD7BEF" w:rsidR="007D16A6">
      <w:pPr>
        <w:rPr>
          <w:rFonts w:eastAsia="Times New Roman"/>
          <w:color w:val="FF0000"/>
          <w:lang w:eastAsia="hr-HR" w:val="hr-HR"/>
        </w:rPr>
      </w:pPr>
    </w:p>
    <w:p w:rsidRDefault="007D16A6" w:rsidP="00CD7BEF" w:rsidR="007D16A6">
      <w:pPr>
        <w:rPr>
          <w:rFonts w:eastAsia="Times New Roman"/>
          <w:color w:val="FF0000"/>
          <w:lang w:eastAsia="hr-HR" w:val="hr-HR"/>
        </w:rPr>
      </w:pPr>
    </w:p>
    <w:p w:rsidRDefault="009122D4" w:rsidP="000B0721" w:rsidR="00CF78CD" w:rsidRPr="00847B3F">
      <w:pPr>
        <w:pStyle w:val="Naslov2"/>
        <w:rPr>
          <w:i/>
        </w:rPr>
      </w:pPr>
      <w:r w:rsidRPr="00CD7BEF">
        <w:lastRenderedPageBreak/>
        <w:t xml:space="preserve"> </w:t>
      </w:r>
      <w:bookmarkStart w:name="_Toc462747742" w:id="16"/>
      <w:r w:rsidR="0098761C" w:rsidRPr="00847B3F">
        <w:t>Operativno poslovanje i tržišna situacija</w:t>
      </w:r>
      <w:bookmarkEnd w:id="15"/>
      <w:bookmarkEnd w:id="16"/>
      <w:r w:rsidR="0098761C" w:rsidRPr="00847B3F">
        <w:t xml:space="preserve"> </w:t>
      </w:r>
      <w:r w:rsidR="001E737E" w:rsidRPr="00847B3F">
        <w:t xml:space="preserve">    </w:t>
      </w:r>
      <w:r w:rsidR="00B04C74" w:rsidRPr="00847B3F">
        <w:rPr>
          <w:i/>
        </w:rPr>
        <w:t xml:space="preserve"> </w:t>
      </w:r>
    </w:p>
    <w:p w:rsidRDefault="001678F1" w:rsidP="001678F1" w:rsidR="001678F1" w:rsidRPr="001678F1">
      <w:pPr>
        <w:rPr>
          <w:highlight w:val="green"/>
        </w:rPr>
      </w:pPr>
    </w:p>
    <w:p w:rsidRDefault="001D5824" w:rsidP="00B85443" w:rsidR="001678F1" w:rsidRPr="00D65A83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lang w:val="hr-HR"/>
        </w:rPr>
      </w:pPr>
      <w:r>
        <w:rPr>
          <w:lang w:val="hr-HR"/>
        </w:rPr>
        <w:t xml:space="preserve">Obrt   </w:t>
      </w:r>
      <w:r w:rsidR="0079264C">
        <w:rPr>
          <w:lang w:val="hr-HR"/>
        </w:rPr>
        <w:t>Juratex</w:t>
      </w:r>
      <w:r w:rsidR="001678F1">
        <w:rPr>
          <w:lang w:val="hr-HR"/>
        </w:rPr>
        <w:t xml:space="preserve"> underwear registriran</w:t>
      </w:r>
      <w:r w:rsidR="001A0660" w:rsidRPr="001A0660">
        <w:rPr>
          <w:lang w:val="hr-HR"/>
        </w:rPr>
        <w:t xml:space="preserve"> je za </w:t>
      </w:r>
      <w:r w:rsidR="001678F1">
        <w:rPr>
          <w:lang w:val="hr-HR"/>
        </w:rPr>
        <w:t>proizvodnju donjeg rublja. To je ujedno i g</w:t>
      </w:r>
      <w:r w:rsidR="001A0660" w:rsidRPr="001A0660">
        <w:rPr>
          <w:lang w:val="hr-HR"/>
        </w:rPr>
        <w:t xml:space="preserve">lavna djelatnost koju </w:t>
      </w:r>
      <w:r w:rsidRPr="00D65A83">
        <w:rPr>
          <w:lang w:val="hr-HR"/>
        </w:rPr>
        <w:t>obrt</w:t>
      </w:r>
      <w:r w:rsidR="001678F1" w:rsidRPr="00D65A83">
        <w:rPr>
          <w:lang w:val="hr-HR"/>
        </w:rPr>
        <w:t xml:space="preserve"> obavlja. </w:t>
      </w:r>
    </w:p>
    <w:p w:rsidRDefault="001D5824" w:rsidP="00B85443" w:rsidR="005E763A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color w:val="262A30"/>
        </w:rPr>
      </w:pPr>
      <w:r w:rsidRPr="00D65A83">
        <w:rPr>
          <w:lang w:val="hr-HR"/>
        </w:rPr>
        <w:t xml:space="preserve">Obrt   </w:t>
      </w:r>
      <w:r w:rsidR="0079264C" w:rsidRPr="00D65A83">
        <w:rPr>
          <w:lang w:val="hr-HR"/>
        </w:rPr>
        <w:t>Juratex</w:t>
      </w:r>
      <w:r w:rsidR="001678F1" w:rsidRPr="00D65A83">
        <w:rPr>
          <w:lang w:val="hr-HR"/>
        </w:rPr>
        <w:t xml:space="preserve"> underwear je </w:t>
      </w:r>
      <w:r w:rsidR="007E19AC" w:rsidRPr="00D65A83">
        <w:rPr>
          <w:lang w:val="hr-HR"/>
        </w:rPr>
        <w:t>tijekom svog dvade</w:t>
      </w:r>
      <w:r w:rsidR="00972FA3" w:rsidRPr="00D65A83">
        <w:rPr>
          <w:lang w:val="hr-HR"/>
        </w:rPr>
        <w:t>set</w:t>
      </w:r>
      <w:r w:rsidR="007E19AC" w:rsidRPr="00D65A83">
        <w:rPr>
          <w:lang w:val="hr-HR"/>
        </w:rPr>
        <w:t xml:space="preserve">ogodišnjeg djelovanja </w:t>
      </w:r>
      <w:r w:rsidR="001678F1" w:rsidRPr="00D65A83">
        <w:rPr>
          <w:lang w:val="hr-HR"/>
        </w:rPr>
        <w:t>uspio</w:t>
      </w:r>
      <w:r w:rsidR="00972FA3" w:rsidRPr="00702263">
        <w:rPr>
          <w:lang w:val="hr-HR"/>
        </w:rPr>
        <w:t xml:space="preserve"> ostvar</w:t>
      </w:r>
      <w:r w:rsidR="00972FA3">
        <w:rPr>
          <w:lang w:val="hr-HR"/>
        </w:rPr>
        <w:t xml:space="preserve">iti odlične kontakte s poslovnim partnerima; </w:t>
      </w:r>
      <w:r w:rsidR="000458B6">
        <w:rPr>
          <w:lang w:val="hr-HR"/>
        </w:rPr>
        <w:t>i doba</w:t>
      </w:r>
      <w:r w:rsidR="005E763A">
        <w:rPr>
          <w:lang w:val="hr-HR"/>
        </w:rPr>
        <w:t>vlja</w:t>
      </w:r>
      <w:r w:rsidR="000458B6">
        <w:rPr>
          <w:lang w:val="hr-HR"/>
        </w:rPr>
        <w:t xml:space="preserve">čima </w:t>
      </w:r>
      <w:r w:rsidR="00972FA3">
        <w:rPr>
          <w:lang w:val="hr-HR"/>
        </w:rPr>
        <w:t xml:space="preserve">i kupcima </w:t>
      </w:r>
      <w:r w:rsidR="00972FA3" w:rsidRPr="00702263">
        <w:rPr>
          <w:lang w:val="hr-HR"/>
        </w:rPr>
        <w:t>te</w:t>
      </w:r>
      <w:r w:rsidR="00972FA3">
        <w:rPr>
          <w:lang w:val="hr-HR"/>
        </w:rPr>
        <w:t xml:space="preserve"> je </w:t>
      </w:r>
      <w:r w:rsidR="000458B6">
        <w:rPr>
          <w:lang w:val="hr-HR"/>
        </w:rPr>
        <w:t xml:space="preserve"> stekao </w:t>
      </w:r>
      <w:r w:rsidR="00972FA3" w:rsidRPr="00702263">
        <w:rPr>
          <w:lang w:val="hr-HR"/>
        </w:rPr>
        <w:t xml:space="preserve"> brojne reference zadovoljnih klijenata</w:t>
      </w:r>
      <w:r w:rsidR="000458B6">
        <w:rPr>
          <w:lang w:val="hr-HR"/>
        </w:rPr>
        <w:t xml:space="preserve">. </w:t>
      </w:r>
      <w:r w:rsidR="005E763A" w:rsidRPr="005E763A">
        <w:rPr>
          <w:color w:val="262A30"/>
        </w:rPr>
        <w:t xml:space="preserve">U svom asortimanu nude 3 glavne grupe proizvoda: muško donje rublje, žensko i dječije. </w:t>
      </w:r>
      <w:r w:rsidR="005E763A">
        <w:rPr>
          <w:color w:val="262A30"/>
        </w:rPr>
        <w:t xml:space="preserve">Njihovi su artikli rađeni iz </w:t>
      </w:r>
      <w:r w:rsidR="005E763A" w:rsidRPr="005E763A">
        <w:rPr>
          <w:color w:val="262A30"/>
        </w:rPr>
        <w:t>100% pamučnog pletiv</w:t>
      </w:r>
      <w:r w:rsidR="005E763A">
        <w:rPr>
          <w:color w:val="262A30"/>
        </w:rPr>
        <w:t xml:space="preserve">a u “fino rebrastoj” kvaliteti, povremeno uz dodatak </w:t>
      </w:r>
      <w:r w:rsidR="005E763A" w:rsidRPr="005E763A">
        <w:rPr>
          <w:color w:val="262A30"/>
        </w:rPr>
        <w:t>mješavine vune i svile.</w:t>
      </w:r>
      <w:r w:rsidR="00426111" w:rsidRPr="00426111">
        <w:rPr>
          <w:lang w:val="hr-HR"/>
        </w:rPr>
        <w:t xml:space="preserve"> </w:t>
      </w:r>
      <w:r w:rsidR="00426111">
        <w:rPr>
          <w:lang w:val="hr-HR"/>
        </w:rPr>
        <w:t xml:space="preserve">Uvijek nastoje ići u korak s vremenom i osluškivati želje i </w:t>
      </w:r>
      <w:r w:rsidR="00426111" w:rsidRPr="005E763A">
        <w:rPr>
          <w:lang w:val="hr-HR"/>
        </w:rPr>
        <w:t xml:space="preserve">potrebe svojih kupaca, te u svoj asortiman </w:t>
      </w:r>
      <w:r w:rsidR="00426111">
        <w:rPr>
          <w:lang w:val="hr-HR"/>
        </w:rPr>
        <w:t xml:space="preserve">stalno </w:t>
      </w:r>
      <w:r w:rsidR="00426111" w:rsidRPr="005E763A">
        <w:rPr>
          <w:lang w:val="hr-HR"/>
        </w:rPr>
        <w:t>uvode nove proizvode.</w:t>
      </w:r>
      <w:r w:rsidR="00426111">
        <w:rPr>
          <w:color w:val="262A30"/>
        </w:rPr>
        <w:t xml:space="preserve"> Njihovi artikli </w:t>
      </w:r>
      <w:r w:rsidR="005E763A" w:rsidRPr="005E763A">
        <w:rPr>
          <w:color w:val="262A30"/>
        </w:rPr>
        <w:t>odliku</w:t>
      </w:r>
      <w:r w:rsidR="00426111">
        <w:rPr>
          <w:color w:val="262A30"/>
        </w:rPr>
        <w:t xml:space="preserve">ju raznovrsnošću boja i motiva, te </w:t>
      </w:r>
      <w:r w:rsidR="005E763A" w:rsidRPr="005E763A">
        <w:rPr>
          <w:color w:val="262A30"/>
        </w:rPr>
        <w:t>pokriva</w:t>
      </w:r>
      <w:r w:rsidR="00426111">
        <w:rPr>
          <w:color w:val="262A30"/>
        </w:rPr>
        <w:t xml:space="preserve">ju </w:t>
      </w:r>
      <w:r w:rsidR="005E763A" w:rsidRPr="005E763A">
        <w:rPr>
          <w:color w:val="262A30"/>
        </w:rPr>
        <w:t xml:space="preserve"> gotovo sve </w:t>
      </w:r>
      <w:r w:rsidR="00426111">
        <w:rPr>
          <w:color w:val="262A30"/>
        </w:rPr>
        <w:t xml:space="preserve">veličine. </w:t>
      </w:r>
    </w:p>
    <w:p w:rsidRDefault="00477773" w:rsidP="00B85443" w:rsidR="00477773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color w:val="262A30"/>
        </w:rPr>
      </w:pPr>
    </w:p>
    <w:p w:rsidRDefault="00477773" w:rsidP="00B85443" w:rsidR="00477773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color w:val="262A30"/>
        </w:rPr>
      </w:pPr>
      <w:r>
        <w:rPr>
          <w:rFonts w:cs="Helvetica" w:hAnsi="Helvetica" w:ascii="Helvetica"/>
          <w:noProof/>
          <w:lang w:eastAsia="hr-HR" w:val="hr-HR"/>
        </w:rPr>
        <w:drawing>
          <wp:inline distR="0" distL="0" distB="0" distT="0">
            <wp:extent cy="3139440" cx="2590800"/>
            <wp:effectExtent b="10160" r="0" t="0" l="0"/>
            <wp:docPr name="Picture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3139440" cx="259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262A30"/>
        </w:rPr>
        <w:t xml:space="preserve">     </w:t>
      </w:r>
      <w:r>
        <w:rPr>
          <w:rFonts w:cs="Helvetica" w:hAnsi="Helvetica" w:ascii="Helvetica"/>
          <w:noProof/>
          <w:lang w:eastAsia="hr-HR" w:val="hr-HR"/>
        </w:rPr>
        <w:drawing>
          <wp:inline distR="0" distL="0" distB="0" distT="0">
            <wp:extent cy="2144554" cx="2859405"/>
            <wp:effectExtent b="0" r="10795" t="0" l="0"/>
            <wp:docPr name="Picture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144554" cx="2859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5461" w:rsidP="00B85443" w:rsidR="00F35461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rFonts w:cs="Tahoma" w:hAnsi="Tahoma" w:ascii="Tahoma"/>
          <w:color w:val="262A30"/>
          <w:sz w:val="22"/>
          <w:szCs w:val="22"/>
        </w:rPr>
      </w:pPr>
    </w:p>
    <w:p w:rsidRDefault="005E763A" w:rsidP="00B85443" w:rsidR="005E763A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rFonts w:cs="Tahoma" w:hAnsi="Tahoma" w:ascii="Tahoma"/>
          <w:color w:val="262A30"/>
          <w:sz w:val="22"/>
          <w:szCs w:val="22"/>
        </w:rPr>
      </w:pPr>
    </w:p>
    <w:p w:rsidRDefault="00E172B9" w:rsidP="00B85443" w:rsidR="00EB1BC9" w:rsidRPr="00EB1BC9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color w:val="262A30"/>
        </w:rPr>
      </w:pPr>
      <w:r>
        <w:rPr>
          <w:color w:val="262A30"/>
        </w:rPr>
        <w:t>Z</w:t>
      </w:r>
      <w:r w:rsidR="00232190">
        <w:rPr>
          <w:color w:val="262A30"/>
        </w:rPr>
        <w:t>bog problema u poslovanju, g</w:t>
      </w:r>
      <w:r w:rsidR="00301D63">
        <w:rPr>
          <w:color w:val="262A30"/>
        </w:rPr>
        <w:t xml:space="preserve">odišnji prometi iz godine u godinu drastično im se smanjuju no u 2013. godini njihov je promet bio 7,5 milijuna kuna, a u 2014. 6,5 milijuna kuna. </w:t>
      </w:r>
      <w:r w:rsidR="00232190">
        <w:rPr>
          <w:color w:val="262A30"/>
        </w:rPr>
        <w:t xml:space="preserve">Prije nastanka problema imali su sklopljene ugovore sa velikim inozemnim kupcima NKD i Kaufland, te su sagradili i opremili pogon za proizvodnju donjeg rublja  za 200 radnika. </w:t>
      </w:r>
      <w:r w:rsidR="00301D63">
        <w:rPr>
          <w:color w:val="262A30"/>
        </w:rPr>
        <w:t>Obrt Juratex underwear uvijek</w:t>
      </w:r>
      <w:r w:rsidR="00232190">
        <w:rPr>
          <w:color w:val="262A30"/>
        </w:rPr>
        <w:t xml:space="preserve"> je bio okrenut izvozu, a i </w:t>
      </w:r>
      <w:r w:rsidR="00301D63">
        <w:rPr>
          <w:color w:val="262A30"/>
        </w:rPr>
        <w:t xml:space="preserve">danas </w:t>
      </w:r>
      <w:r w:rsidR="00EB1BC9">
        <w:rPr>
          <w:color w:val="262A30"/>
        </w:rPr>
        <w:t>najve</w:t>
      </w:r>
      <w:r w:rsidR="00964959">
        <w:rPr>
          <w:color w:val="262A30"/>
        </w:rPr>
        <w:t>ći dio svoje proizvodnje izvozi</w:t>
      </w:r>
      <w:r w:rsidR="00301D63">
        <w:rPr>
          <w:color w:val="262A30"/>
        </w:rPr>
        <w:t xml:space="preserve">. </w:t>
      </w:r>
      <w:r w:rsidR="00A27FE4">
        <w:rPr>
          <w:color w:val="262A30"/>
        </w:rPr>
        <w:t xml:space="preserve"> </w:t>
      </w:r>
    </w:p>
    <w:p w:rsidRDefault="005E763A" w:rsidP="00B85443" w:rsidR="005E763A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lang w:val="hr-HR"/>
        </w:rPr>
      </w:pPr>
    </w:p>
    <w:p w:rsidRDefault="00433DE5" w:rsidP="00B85443" w:rsidR="00433DE5" w:rsidRPr="00EB1BC9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lang w:val="hr-HR"/>
        </w:rPr>
      </w:pPr>
    </w:p>
    <w:p w:rsidRDefault="00DA7628" w:rsidP="00B85443" w:rsidR="00972FA3" w:rsidRPr="00EB1BC9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lang w:val="hr-HR"/>
        </w:rPr>
      </w:pPr>
      <w:r>
        <w:rPr>
          <w:lang w:val="hr-HR"/>
        </w:rPr>
        <w:t>Problemi s inoz</w:t>
      </w:r>
      <w:r w:rsidR="008518F2">
        <w:rPr>
          <w:lang w:val="hr-HR"/>
        </w:rPr>
        <w:t xml:space="preserve">emnim kupcima ( otkazivanje velike narudžbe zbog pronevjere kod kupca ) </w:t>
      </w:r>
      <w:r>
        <w:rPr>
          <w:lang w:val="hr-HR"/>
        </w:rPr>
        <w:t>utjecali su</w:t>
      </w:r>
      <w:r w:rsidR="00433DE5" w:rsidRPr="00847B3F">
        <w:rPr>
          <w:lang w:val="hr-HR"/>
        </w:rPr>
        <w:t xml:space="preserve"> na poslovanje obrta na način da su izgubili veliki dio</w:t>
      </w:r>
      <w:r>
        <w:rPr>
          <w:lang w:val="hr-HR"/>
        </w:rPr>
        <w:t xml:space="preserve"> istih</w:t>
      </w:r>
      <w:r w:rsidR="00433DE5" w:rsidRPr="00847B3F">
        <w:rPr>
          <w:lang w:val="hr-HR"/>
        </w:rPr>
        <w:t>, ostali su bez potpore banaka i obrtnih sredstava te više nisu mogli redovno podmirivati vlastite obaveze. No unatoč financijskim problemima, uz potporu dugogodišnji</w:t>
      </w:r>
      <w:r w:rsidR="00E172B9">
        <w:rPr>
          <w:lang w:val="hr-HR"/>
        </w:rPr>
        <w:t>h</w:t>
      </w:r>
      <w:r w:rsidR="00433DE5" w:rsidRPr="00847B3F">
        <w:rPr>
          <w:lang w:val="hr-HR"/>
        </w:rPr>
        <w:t xml:space="preserve"> poslovnih partnera, dobavljača i kupaca, reorganizirali su se i nastavili poslovanje. Trenutno </w:t>
      </w:r>
      <w:r w:rsidR="00972FA3" w:rsidRPr="00847B3F">
        <w:rPr>
          <w:lang w:val="hr-HR"/>
        </w:rPr>
        <w:t>poduzima</w:t>
      </w:r>
      <w:r w:rsidR="00433DE5" w:rsidRPr="00847B3F">
        <w:rPr>
          <w:lang w:val="hr-HR"/>
        </w:rPr>
        <w:t>ju</w:t>
      </w:r>
      <w:r w:rsidR="00972FA3" w:rsidRPr="00847B3F">
        <w:rPr>
          <w:lang w:val="hr-HR"/>
        </w:rPr>
        <w:t xml:space="preserve"> sve moguće mjere kako bi povećali promet, vratili dugove i n</w:t>
      </w:r>
      <w:r w:rsidR="00433DE5" w:rsidRPr="00847B3F">
        <w:rPr>
          <w:lang w:val="hr-HR"/>
        </w:rPr>
        <w:t xml:space="preserve">astavili s redovnim poslovanjem, no </w:t>
      </w:r>
      <w:r w:rsidR="00A00BC2" w:rsidRPr="00847B3F">
        <w:rPr>
          <w:lang w:val="hr-HR"/>
        </w:rPr>
        <w:t xml:space="preserve">oporavak </w:t>
      </w:r>
      <w:r w:rsidR="00433DE5" w:rsidRPr="00847B3F">
        <w:rPr>
          <w:lang w:val="hr-HR"/>
        </w:rPr>
        <w:t xml:space="preserve">bez </w:t>
      </w:r>
      <w:r w:rsidR="00A00BC2" w:rsidRPr="00847B3F">
        <w:rPr>
          <w:lang w:val="hr-HR"/>
        </w:rPr>
        <w:t>konkretnih mjera financijskog i operativnog restrukturiranja u predstečajnoj nagodbi</w:t>
      </w:r>
      <w:r w:rsidR="008518F2">
        <w:rPr>
          <w:lang w:val="hr-HR"/>
        </w:rPr>
        <w:t xml:space="preserve">             </w:t>
      </w:r>
      <w:r w:rsidR="00A00BC2" w:rsidRPr="00847B3F">
        <w:rPr>
          <w:lang w:val="hr-HR"/>
        </w:rPr>
        <w:t xml:space="preserve"> ( deblokada računa, djelomičan otpis i  reprogram dugova </w:t>
      </w:r>
      <w:r w:rsidR="00972FA3" w:rsidRPr="00847B3F">
        <w:rPr>
          <w:lang w:val="hr-HR"/>
        </w:rPr>
        <w:t xml:space="preserve"> </w:t>
      </w:r>
      <w:r w:rsidR="00A00BC2" w:rsidRPr="00847B3F">
        <w:rPr>
          <w:lang w:val="hr-HR"/>
        </w:rPr>
        <w:t>te povećanje prodaje )  nažalost nije realan.</w:t>
      </w:r>
      <w:r w:rsidR="00A00BC2">
        <w:rPr>
          <w:lang w:val="hr-HR"/>
        </w:rPr>
        <w:t xml:space="preserve"> </w:t>
      </w:r>
    </w:p>
    <w:p w:rsidRDefault="00A27FE4" w:rsidP="00FF5F4D" w:rsidR="00A27FE4">
      <w:pPr>
        <w:spacing w:lineRule="auto" w:line="360"/>
        <w:ind w:right="142"/>
        <w:rPr>
          <w:rFonts w:eastAsia="Times New Roman"/>
          <w:lang w:eastAsia="hr-HR" w:val="hr-HR"/>
        </w:rPr>
      </w:pPr>
    </w:p>
    <w:p w:rsidRDefault="00E06797" w:rsidP="00E06797" w:rsidR="00E06797" w:rsidRPr="00847B3F">
      <w:pPr>
        <w:pStyle w:val="Naslov2"/>
        <w:rPr>
          <w:i/>
        </w:rPr>
      </w:pPr>
      <w:bookmarkStart w:name="_Toc462747743" w:id="17"/>
      <w:r w:rsidRPr="00847B3F">
        <w:t>Analiza zaposlenih</w:t>
      </w:r>
      <w:bookmarkEnd w:id="17"/>
      <w:r w:rsidRPr="00847B3F">
        <w:t xml:space="preserve">  </w:t>
      </w:r>
      <w:r w:rsidRPr="00847B3F">
        <w:rPr>
          <w:i/>
        </w:rPr>
        <w:t xml:space="preserve"> </w:t>
      </w:r>
    </w:p>
    <w:p w:rsidRDefault="00E06797" w:rsidP="00FF5F4D" w:rsidR="00E06797" w:rsidRPr="00EB1BC9">
      <w:pPr>
        <w:spacing w:lineRule="auto" w:line="360"/>
        <w:ind w:right="142"/>
        <w:rPr>
          <w:rFonts w:eastAsia="Times New Roman"/>
          <w:lang w:eastAsia="hr-HR" w:val="hr-HR"/>
        </w:rPr>
      </w:pPr>
    </w:p>
    <w:p w:rsidRDefault="00A27FE4" w:rsidP="005B5EB8" w:rsidR="00FF5F4D">
      <w:pPr>
        <w:spacing w:lineRule="auto" w:line="360"/>
        <w:ind w:right="142"/>
        <w:jc w:val="both"/>
      </w:pPr>
      <w:r>
        <w:t xml:space="preserve">Obrt </w:t>
      </w:r>
      <w:r w:rsidR="00E06797">
        <w:t xml:space="preserve">je </w:t>
      </w:r>
      <w:r w:rsidR="001507FD">
        <w:t xml:space="preserve">prije pokretanja predstečajne nagodbe </w:t>
      </w:r>
      <w:r>
        <w:t>zapošljavao i</w:t>
      </w:r>
      <w:r w:rsidR="001507FD">
        <w:t xml:space="preserve"> do 5</w:t>
      </w:r>
      <w:r>
        <w:t xml:space="preserve">0-ak zaposlenih, </w:t>
      </w:r>
      <w:r w:rsidR="001507FD">
        <w:t>s ozbiljnim planovima za zapošljavanja do 200 djelatnika. Za to je izgrađena infrastruktura, kupljena i postavljena oprema, te je pronađeno tržište. N</w:t>
      </w:r>
      <w:r>
        <w:t xml:space="preserve">astankom problema bili su prisiljeni otpustiti skoro sve radnike te sada imaju samo 2  zaposlena - </w:t>
      </w:r>
      <w:r w:rsidR="00FF5F4D">
        <w:t>jedan radi na  priprema</w:t>
      </w:r>
      <w:r w:rsidR="00E172B9">
        <w:t>n</w:t>
      </w:r>
      <w:r w:rsidR="00FF5F4D">
        <w:t xml:space="preserve">ju kolekcije i vodi uslužnu  proizvodnju, dok drugi vodi prodaju i nabavu. Nakon restrukturiranja, broj zaposlenih </w:t>
      </w:r>
      <w:r>
        <w:t>ponovno će rasti, tako da u naredn</w:t>
      </w:r>
      <w:r w:rsidR="001507FD">
        <w:t>e 3  godine</w:t>
      </w:r>
      <w:r>
        <w:t xml:space="preserve"> planiraju zaposliti još  minimalno  10 djelatnika. </w:t>
      </w:r>
      <w:r w:rsidR="00FF5F4D">
        <w:t xml:space="preserve"> U nast</w:t>
      </w:r>
      <w:r w:rsidR="005B6E15">
        <w:t>avku je o</w:t>
      </w:r>
      <w:r w:rsidR="005B351F">
        <w:t>rg</w:t>
      </w:r>
      <w:r w:rsidR="005B6E15">
        <w:t>anizacijska shema</w:t>
      </w:r>
      <w:r w:rsidR="00FF5F4D">
        <w:t xml:space="preserve"> prije i poslije restrukturiranja. </w:t>
      </w:r>
    </w:p>
    <w:p w:rsidRDefault="00FF5F4D" w:rsidP="00FF5F4D" w:rsidR="00FF5F4D">
      <w:pPr>
        <w:spacing w:lineRule="auto" w:line="360"/>
        <w:ind w:right="142" w:left="928"/>
      </w:pPr>
    </w:p>
    <w:p w:rsidRDefault="00F503B5" w:rsidP="00A54B2D" w:rsidR="00E44FE1">
      <w:pPr>
        <w:widowControl w:val="false"/>
        <w:autoSpaceDE w:val="false"/>
        <w:autoSpaceDN w:val="false"/>
        <w:adjustRightInd w:val="false"/>
        <w:spacing w:lineRule="auto" w:line="360"/>
        <w:jc w:val="center"/>
      </w:pPr>
      <w:r w:rsidRPr="00F503B5">
        <w:rPr>
          <w:noProof/>
          <w:lang w:eastAsia="hr-HR" w:val="hr-HR"/>
        </w:rPr>
        <w:drawing>
          <wp:inline distR="0" distL="0" distB="0" distT="0">
            <wp:extent cy="2176016" cx="3552056"/>
            <wp:effectExtent b="91440" r="0" t="38100" l="0"/>
            <wp:docPr name="Diagram 7" id="7"/>
            <wp:cNvGraphicFramePr/>
            <a:graphic>
              <a:graphicData uri="http://schemas.openxmlformats.org/drawingml/2006/diagram">
                <dgm:relIds r:cs="rId16" r:qs="rId15" r:lo="rId14" r:dm="rId13"/>
              </a:graphicData>
            </a:graphic>
          </wp:inline>
        </w:drawing>
      </w:r>
    </w:p>
    <w:p w:rsidRDefault="005B6E15" w:rsidP="00A54B2D" w:rsidR="005B6E15" w:rsidRPr="00F503B5">
      <w:pPr>
        <w:widowControl w:val="false"/>
        <w:autoSpaceDE w:val="false"/>
        <w:autoSpaceDN w:val="false"/>
        <w:adjustRightInd w:val="false"/>
        <w:spacing w:lineRule="auto" w:line="360"/>
        <w:jc w:val="center"/>
        <w:rPr>
          <w:i/>
        </w:rPr>
      </w:pPr>
    </w:p>
    <w:p w:rsidRDefault="00F503B5" w:rsidP="00A54B2D" w:rsidR="00F503B5" w:rsidRPr="00F503B5">
      <w:pPr>
        <w:widowControl w:val="false"/>
        <w:autoSpaceDE w:val="false"/>
        <w:autoSpaceDN w:val="false"/>
        <w:adjustRightInd w:val="false"/>
        <w:spacing w:lineRule="auto" w:line="360"/>
        <w:jc w:val="center"/>
        <w:rPr>
          <w:i/>
        </w:rPr>
      </w:pPr>
      <w:r w:rsidRPr="00F503B5">
        <w:rPr>
          <w:i/>
        </w:rPr>
        <w:t xml:space="preserve">Organizacijska shema prije restrukturiranja </w:t>
      </w:r>
    </w:p>
    <w:p w:rsidRDefault="00F503B5" w:rsidP="00A54B2D" w:rsidR="00F503B5">
      <w:pPr>
        <w:widowControl w:val="false"/>
        <w:autoSpaceDE w:val="false"/>
        <w:autoSpaceDN w:val="false"/>
        <w:adjustRightInd w:val="false"/>
        <w:spacing w:lineRule="auto" w:line="360"/>
        <w:jc w:val="center"/>
      </w:pPr>
    </w:p>
    <w:p w:rsidRDefault="00F503B5" w:rsidP="00A54B2D" w:rsidR="00F503B5">
      <w:pPr>
        <w:widowControl w:val="false"/>
        <w:autoSpaceDE w:val="false"/>
        <w:autoSpaceDN w:val="false"/>
        <w:adjustRightInd w:val="false"/>
        <w:spacing w:lineRule="auto" w:line="360"/>
        <w:jc w:val="center"/>
      </w:pPr>
      <w:r w:rsidRPr="00F503B5">
        <w:rPr>
          <w:noProof/>
          <w:lang w:eastAsia="hr-HR" w:val="hr-HR"/>
        </w:rPr>
        <w:drawing>
          <wp:inline distR="0" distL="0" distB="0" distT="0">
            <wp:extent cy="2968625" cx="5349240"/>
            <wp:effectExtent b="98425" r="0" t="38100" l="0"/>
            <wp:docPr name="Diagram 8" id="8"/>
            <wp:cNvGraphicFramePr/>
            <a:graphic>
              <a:graphicData uri="http://schemas.openxmlformats.org/drawingml/2006/diagram">
                <dgm:relIds r:cs="rId21" r:qs="rId20" r:lo="rId19" r:dm="rId18"/>
              </a:graphicData>
            </a:graphic>
          </wp:inline>
        </w:drawing>
      </w:r>
    </w:p>
    <w:p w:rsidRDefault="006C02A6" w:rsidP="006C02A6" w:rsidR="006C02A6" w:rsidRPr="00F503B5">
      <w:pPr>
        <w:widowControl w:val="false"/>
        <w:autoSpaceDE w:val="false"/>
        <w:autoSpaceDN w:val="false"/>
        <w:adjustRightInd w:val="false"/>
        <w:spacing w:lineRule="auto" w:line="360"/>
        <w:jc w:val="center"/>
        <w:rPr>
          <w:i/>
        </w:rPr>
      </w:pPr>
      <w:r>
        <w:rPr>
          <w:i/>
        </w:rPr>
        <w:t>Organizacijska shema nakon</w:t>
      </w:r>
      <w:r w:rsidRPr="00F503B5">
        <w:rPr>
          <w:i/>
        </w:rPr>
        <w:t xml:space="preserve"> restrukturiranja </w:t>
      </w:r>
    </w:p>
    <w:p w:rsidRDefault="005B6E15" w:rsidP="00A54B2D" w:rsidR="005B6E15">
      <w:pPr>
        <w:widowControl w:val="false"/>
        <w:autoSpaceDE w:val="false"/>
        <w:autoSpaceDN w:val="false"/>
        <w:adjustRightInd w:val="false"/>
        <w:spacing w:lineRule="auto" w:line="360"/>
        <w:jc w:val="center"/>
      </w:pPr>
    </w:p>
    <w:p w:rsidRDefault="005B351F" w:rsidP="00A54B2D" w:rsidR="005B351F">
      <w:pPr>
        <w:widowControl w:val="false"/>
        <w:autoSpaceDE w:val="false"/>
        <w:autoSpaceDN w:val="false"/>
        <w:adjustRightInd w:val="false"/>
        <w:spacing w:lineRule="auto" w:line="360"/>
        <w:jc w:val="center"/>
      </w:pPr>
    </w:p>
    <w:p w:rsidRDefault="005B351F" w:rsidP="005B351F" w:rsidR="005B351F" w:rsidRPr="00E644A2">
      <w:pPr>
        <w:pStyle w:val="Tijeloteksta"/>
        <w:spacing w:lineRule="auto" w:line="360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5B5EB8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Grafički prikaz u nastavku prikazuje kretanje prosječnog broja zaposlenih na temelju odrađenih sati u prethodnih pet godina poslovanja. </w:t>
      </w:r>
    </w:p>
    <w:p w:rsidRDefault="005B5EB8" w:rsidP="005B351F" w:rsidR="005B351F" w:rsidRPr="005B351F">
      <w:pPr>
        <w:pStyle w:val="Tijeloteksta"/>
        <w:spacing w:lineRule="auto" w:line="360"/>
        <w:jc w:val="center"/>
        <w:rPr>
          <w:rFonts w:hAnsi="Times New Roman" w:ascii="Times New Roman"/>
          <w:color w:val="FF6600"/>
          <w:sz w:val="24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2772834" cx="4615744"/>
            <wp:effectExtent b="0" r="7620" t="0" l="0"/>
            <wp:docPr name="Chart 11" id="11"/>
            <wp:cNvGraphicFramePr/>
            <a:graphic>
              <a:graphicData uri="http://schemas.openxmlformats.org/drawingml/2006/chart">
                <c:chart r:id="rId23"/>
              </a:graphicData>
            </a:graphic>
          </wp:inline>
        </w:drawing>
      </w:r>
    </w:p>
    <w:p w:rsidRDefault="005B351F" w:rsidP="00012A88" w:rsidR="005B351F" w:rsidRPr="00E644A2">
      <w:pPr>
        <w:tabs>
          <w:tab w:pos="1026" w:val="left"/>
        </w:tabs>
        <w:jc w:val="center"/>
        <w:rPr>
          <w:i/>
          <w:color w:themeColor="text1" w:val="000000"/>
        </w:rPr>
      </w:pPr>
      <w:r w:rsidRPr="00E644A2">
        <w:rPr>
          <w:i/>
          <w:color w:themeColor="text1" w:val="000000"/>
        </w:rPr>
        <w:t>Kretanje broja zaposlenih po godinama</w:t>
      </w:r>
    </w:p>
    <w:p w:rsidRDefault="005B351F" w:rsidP="005B351F" w:rsidR="005B351F" w:rsidRPr="00E644A2">
      <w:pPr>
        <w:tabs>
          <w:tab w:pos="1026" w:val="left"/>
        </w:tabs>
        <w:spacing w:lineRule="auto" w:line="360"/>
        <w:jc w:val="both"/>
        <w:rPr>
          <w:color w:themeColor="text1" w:val="000000"/>
        </w:rPr>
      </w:pPr>
    </w:p>
    <w:p w:rsidRDefault="005B351F" w:rsidP="005B351F" w:rsidR="005B351F" w:rsidRPr="00E644A2">
      <w:pPr>
        <w:tabs>
          <w:tab w:pos="1026" w:val="left"/>
        </w:tabs>
        <w:spacing w:lineRule="auto" w:line="360"/>
        <w:jc w:val="both"/>
        <w:rPr>
          <w:color w:themeColor="text1" w:val="000000"/>
        </w:rPr>
      </w:pPr>
      <w:r w:rsidRPr="00E644A2">
        <w:rPr>
          <w:color w:themeColor="text1" w:val="000000"/>
        </w:rPr>
        <w:t>Planirano kretanje broja zaposlenih prikazano je grafičkim prikazom u nastavku, a odnosi</w:t>
      </w:r>
      <w:r w:rsidR="005B5EB8" w:rsidRPr="00E644A2">
        <w:rPr>
          <w:color w:themeColor="text1" w:val="000000"/>
        </w:rPr>
        <w:t xml:space="preserve"> se na period od 2016. g. - 2021</w:t>
      </w:r>
      <w:r w:rsidRPr="00E644A2">
        <w:rPr>
          <w:color w:themeColor="text1" w:val="000000"/>
        </w:rPr>
        <w:t xml:space="preserve">. g. Grafički prikaz prikazuje povećanje broja zaposlenih u </w:t>
      </w:r>
      <w:r w:rsidRPr="00E644A2">
        <w:rPr>
          <w:color w:themeColor="text1" w:val="000000"/>
        </w:rPr>
        <w:lastRenderedPageBreak/>
        <w:t xml:space="preserve">odnosu na prethodne godine (prosječan broj zaposlenih) što je rezultat restrukturiranja </w:t>
      </w:r>
      <w:r w:rsidR="00E172B9">
        <w:rPr>
          <w:color w:themeColor="text1" w:val="000000"/>
        </w:rPr>
        <w:t>obrta, odnosno optimalizacije istog</w:t>
      </w:r>
      <w:r w:rsidRPr="00E644A2">
        <w:rPr>
          <w:color w:themeColor="text1" w:val="000000"/>
        </w:rPr>
        <w:t xml:space="preserve"> do kojeg se došlo kroz proje</w:t>
      </w:r>
      <w:r w:rsidR="00E172B9">
        <w:rPr>
          <w:color w:themeColor="text1" w:val="000000"/>
        </w:rPr>
        <w:t>kciju budućeg poslovanja obrta.</w:t>
      </w:r>
    </w:p>
    <w:p w:rsidRDefault="005B351F" w:rsidP="005B351F" w:rsidR="005B351F" w:rsidRPr="00E644A2">
      <w:pPr>
        <w:tabs>
          <w:tab w:pos="1026" w:val="left"/>
        </w:tabs>
        <w:rPr>
          <w:noProof/>
          <w:color w:themeColor="text1" w:val="000000"/>
        </w:rPr>
      </w:pPr>
    </w:p>
    <w:p w:rsidRDefault="00E644A2" w:rsidP="005B351F" w:rsidR="005B351F" w:rsidRPr="00E644A2">
      <w:pPr>
        <w:tabs>
          <w:tab w:pos="1026" w:val="left"/>
        </w:tabs>
        <w:jc w:val="center"/>
        <w:rPr>
          <w:i/>
          <w:color w:themeColor="text1" w:val="000000"/>
        </w:rPr>
      </w:pPr>
      <w:r w:rsidRPr="00E644A2">
        <w:rPr>
          <w:noProof/>
          <w:color w:themeColor="text1" w:val="000000"/>
          <w:lang w:eastAsia="hr-HR" w:val="hr-HR"/>
        </w:rPr>
        <w:drawing>
          <wp:inline distR="0" distL="0" distB="0" distT="0">
            <wp:extent cy="2573655" cx="5666740"/>
            <wp:effectExtent b="0" r="0" t="0" l="0"/>
            <wp:docPr name="Chart 13" id="13"/>
            <wp:cNvGraphicFramePr/>
            <a:graphic>
              <a:graphicData uri="http://schemas.openxmlformats.org/drawingml/2006/chart">
                <c:chart r:id="rId24"/>
              </a:graphicData>
            </a:graphic>
          </wp:inline>
        </w:drawing>
      </w:r>
    </w:p>
    <w:p w:rsidRDefault="005B351F" w:rsidP="00012A88" w:rsidR="005B351F" w:rsidRPr="00E644A2">
      <w:pPr>
        <w:tabs>
          <w:tab w:pos="1026" w:val="left"/>
        </w:tabs>
        <w:jc w:val="center"/>
        <w:rPr>
          <w:i/>
          <w:color w:themeColor="text1" w:val="000000"/>
        </w:rPr>
      </w:pPr>
    </w:p>
    <w:p w:rsidRDefault="005B351F" w:rsidP="00012A88" w:rsidR="005B351F" w:rsidRPr="00E644A2">
      <w:pPr>
        <w:tabs>
          <w:tab w:pos="1026" w:val="left"/>
        </w:tabs>
        <w:jc w:val="center"/>
        <w:rPr>
          <w:i/>
          <w:color w:themeColor="text1" w:val="000000"/>
        </w:rPr>
      </w:pPr>
      <w:r w:rsidRPr="00E644A2">
        <w:rPr>
          <w:i/>
          <w:color w:themeColor="text1" w:val="000000"/>
        </w:rPr>
        <w:t>Plan kretanja broja zaposlenih  po godinama</w:t>
      </w:r>
    </w:p>
    <w:p w:rsidRDefault="005B351F" w:rsidP="00012A88" w:rsidR="005B351F">
      <w:pPr>
        <w:widowControl w:val="false"/>
        <w:autoSpaceDE w:val="false"/>
        <w:autoSpaceDN w:val="false"/>
        <w:adjustRightInd w:val="false"/>
        <w:spacing w:lineRule="auto" w:line="360"/>
      </w:pPr>
    </w:p>
    <w:p w:rsidRDefault="00971E7F" w:rsidP="00E06797" w:rsidR="00971E7F" w:rsidRPr="00FE7BD0">
      <w:pPr>
        <w:pStyle w:val="Naslov2"/>
      </w:pPr>
      <w:bookmarkStart w:name="_Toc451235621" w:id="18"/>
      <w:bookmarkStart w:name="_Toc462747744" w:id="19"/>
      <w:r w:rsidRPr="00FE7BD0">
        <w:t>Financijska izvješća za 201</w:t>
      </w:r>
      <w:r w:rsidR="006E48C2">
        <w:t>5</w:t>
      </w:r>
      <w:r w:rsidRPr="00FE7BD0">
        <w:t xml:space="preserve">. </w:t>
      </w:r>
      <w:r w:rsidR="00B02432" w:rsidRPr="00FE7BD0">
        <w:t xml:space="preserve">godinu </w:t>
      </w:r>
      <w:r w:rsidRPr="00FE7BD0">
        <w:t>i izvješće na 3</w:t>
      </w:r>
      <w:r w:rsidR="004409FE">
        <w:t>1</w:t>
      </w:r>
      <w:r w:rsidRPr="00FE7BD0">
        <w:t>.</w:t>
      </w:r>
      <w:r w:rsidR="00AE79B6" w:rsidRPr="00FE7BD0">
        <w:t>0</w:t>
      </w:r>
      <w:r w:rsidR="006E48C2">
        <w:t>8</w:t>
      </w:r>
      <w:r w:rsidRPr="00FE7BD0">
        <w:t>.201</w:t>
      </w:r>
      <w:r w:rsidR="00AF3809" w:rsidRPr="00FE7BD0">
        <w:t>6</w:t>
      </w:r>
      <w:r w:rsidR="00B02432" w:rsidRPr="00FE7BD0">
        <w:t xml:space="preserve">. </w:t>
      </w:r>
      <w:r w:rsidRPr="00FE7BD0">
        <w:t>godine</w:t>
      </w:r>
      <w:bookmarkEnd w:id="18"/>
      <w:bookmarkEnd w:id="19"/>
    </w:p>
    <w:p w:rsidRDefault="00B43067" w:rsidP="00B43067" w:rsidR="00B43067">
      <w:pPr>
        <w:spacing w:lineRule="auto" w:line="360"/>
        <w:ind w:right="142"/>
        <w:jc w:val="both"/>
      </w:pPr>
    </w:p>
    <w:p w:rsidRDefault="00B43067" w:rsidP="00930E42" w:rsidR="00B43067" w:rsidRPr="00D3367C">
      <w:pPr>
        <w:spacing w:lineRule="auto" w:line="360"/>
        <w:ind w:right="142"/>
        <w:jc w:val="both"/>
        <w:rPr>
          <w:color w:themeColor="text1" w:val="000000"/>
          <w:lang w:val="hr-HR"/>
        </w:rPr>
      </w:pPr>
      <w:r w:rsidRPr="00D3367C">
        <w:rPr>
          <w:color w:themeColor="text1" w:val="000000"/>
        </w:rPr>
        <w:t xml:space="preserve">Financijski podaci zadnjih 5 godina pokazuju drastični, ali konstantni pad prihoda,  počevši od 2013. godine,  a čemu je razlog nenaplata vlastitih potraživanja i pad prometa uslijed </w:t>
      </w:r>
      <w:r w:rsidR="001E7766">
        <w:rPr>
          <w:color w:themeColor="text1" w:val="000000"/>
        </w:rPr>
        <w:t>problema s</w:t>
      </w:r>
      <w:r w:rsidR="00D31FE0">
        <w:rPr>
          <w:color w:themeColor="text1" w:val="000000"/>
        </w:rPr>
        <w:t xml:space="preserve"> inozemnim kupcima, a na hrvatskom tržištu zbog ekonomske kriz</w:t>
      </w:r>
      <w:r w:rsidR="00AC4450">
        <w:rPr>
          <w:color w:themeColor="text1" w:val="000000"/>
        </w:rPr>
        <w:t>e i</w:t>
      </w:r>
      <w:r w:rsidR="00D31FE0">
        <w:rPr>
          <w:color w:themeColor="text1" w:val="000000"/>
        </w:rPr>
        <w:t xml:space="preserve"> </w:t>
      </w:r>
      <w:r w:rsidRPr="00D3367C">
        <w:rPr>
          <w:color w:themeColor="text1" w:val="000000"/>
        </w:rPr>
        <w:t xml:space="preserve"> pada kupovne moći općenito. </w:t>
      </w:r>
      <w:r w:rsidRPr="00BF2BAE">
        <w:rPr>
          <w:color w:themeColor="text1" w:val="000000"/>
        </w:rPr>
        <w:t>U 2016. godini rashodi su postali veći od prihoda. Istovremeno, odnos obaveza prema dobavljačima i potraživanja od kupaca</w:t>
      </w:r>
      <w:r w:rsidR="00AE7397" w:rsidRPr="00BF2BAE">
        <w:rPr>
          <w:color w:themeColor="text1" w:val="000000"/>
        </w:rPr>
        <w:t>, u usporedbi s prethodnom godinom,</w:t>
      </w:r>
      <w:r w:rsidRPr="00BF2BAE">
        <w:rPr>
          <w:color w:themeColor="text1" w:val="000000"/>
        </w:rPr>
        <w:t xml:space="preserve"> cijelo </w:t>
      </w:r>
      <w:r w:rsidR="00BF2BAE" w:rsidRPr="00BF2BAE">
        <w:rPr>
          <w:color w:themeColor="text1" w:val="000000"/>
        </w:rPr>
        <w:t>je</w:t>
      </w:r>
      <w:r w:rsidRPr="00BF2BAE">
        <w:rPr>
          <w:color w:themeColor="text1" w:val="000000"/>
        </w:rPr>
        <w:t xml:space="preserve">  vrijeme isti, a obaveze bilježe i laganu tendenciju pada do 2016.  </w:t>
      </w:r>
      <w:r w:rsidRPr="00D3367C">
        <w:rPr>
          <w:color w:themeColor="text1" w:val="000000"/>
          <w:lang w:val="hr-HR"/>
        </w:rPr>
        <w:t xml:space="preserve">Preokret u poslovanju javlja  se u drugoj poslovici 2016.g, kada </w:t>
      </w:r>
      <w:r w:rsidR="001D5824" w:rsidRPr="00D3367C">
        <w:rPr>
          <w:color w:themeColor="text1" w:val="000000"/>
          <w:lang w:val="hr-HR"/>
        </w:rPr>
        <w:t>obrt</w:t>
      </w:r>
      <w:r w:rsidR="00930E42" w:rsidRPr="00D3367C">
        <w:rPr>
          <w:color w:themeColor="text1" w:val="000000"/>
          <w:lang w:val="hr-HR"/>
        </w:rPr>
        <w:t xml:space="preserve"> </w:t>
      </w:r>
      <w:r w:rsidRPr="00D3367C">
        <w:rPr>
          <w:color w:themeColor="text1" w:val="000000"/>
          <w:lang w:val="hr-HR"/>
        </w:rPr>
        <w:t>bilježi rast poslovanja i veće prihode od rashod</w:t>
      </w:r>
      <w:r w:rsidR="00930E42" w:rsidRPr="00D3367C">
        <w:rPr>
          <w:color w:themeColor="text1" w:val="000000"/>
          <w:lang w:val="hr-HR"/>
        </w:rPr>
        <w:t>a</w:t>
      </w:r>
      <w:r w:rsidRPr="00D3367C">
        <w:rPr>
          <w:color w:themeColor="text1" w:val="000000"/>
          <w:lang w:val="hr-HR"/>
        </w:rPr>
        <w:t xml:space="preserve">, što ukazuje na oporavak poslovanja, no bez deblokade računa i reprograma obaveza kroz predstečajnu nagodbu manje je vjerojatno da će se </w:t>
      </w:r>
      <w:r w:rsidR="001D5824" w:rsidRPr="00D3367C">
        <w:rPr>
          <w:color w:themeColor="text1" w:val="000000"/>
          <w:lang w:val="hr-HR"/>
        </w:rPr>
        <w:t>obrt</w:t>
      </w:r>
      <w:r w:rsidR="00930E42" w:rsidRPr="00D3367C">
        <w:rPr>
          <w:color w:themeColor="text1" w:val="000000"/>
          <w:lang w:val="hr-HR"/>
        </w:rPr>
        <w:t xml:space="preserve"> </w:t>
      </w:r>
      <w:r w:rsidRPr="00D3367C">
        <w:rPr>
          <w:color w:themeColor="text1" w:val="000000"/>
          <w:lang w:val="hr-HR"/>
        </w:rPr>
        <w:t xml:space="preserve">vlastitim snagama vratiti u redovno poslovanje i otplatiti dugove.   </w:t>
      </w:r>
    </w:p>
    <w:p w:rsidRDefault="00B43067" w:rsidP="00930E42" w:rsidR="00B43067" w:rsidRPr="00D3367C">
      <w:pPr>
        <w:spacing w:lineRule="auto" w:line="360"/>
        <w:jc w:val="both"/>
        <w:rPr>
          <w:color w:themeColor="text1" w:val="000000"/>
          <w:lang w:val="hr-HR"/>
        </w:rPr>
      </w:pPr>
      <w:r w:rsidRPr="00AC4450">
        <w:rPr>
          <w:color w:themeColor="text1" w:val="000000"/>
          <w:lang w:val="hr-HR"/>
        </w:rPr>
        <w:t xml:space="preserve">S druge strane </w:t>
      </w:r>
      <w:r w:rsidR="00930E42" w:rsidRPr="00AC4450">
        <w:rPr>
          <w:color w:themeColor="text1" w:val="000000"/>
          <w:lang w:val="hr-HR"/>
        </w:rPr>
        <w:t>iz bilance na dan 31.08</w:t>
      </w:r>
      <w:r w:rsidR="001019A9" w:rsidRPr="00AC4450">
        <w:rPr>
          <w:color w:themeColor="text1" w:val="000000"/>
          <w:lang w:val="hr-HR"/>
        </w:rPr>
        <w:t>.2016.  vidljivo</w:t>
      </w:r>
      <w:r w:rsidRPr="00AC4450">
        <w:rPr>
          <w:color w:themeColor="text1" w:val="000000"/>
          <w:lang w:val="hr-HR"/>
        </w:rPr>
        <w:t xml:space="preserve"> </w:t>
      </w:r>
      <w:r w:rsidR="001019A9" w:rsidRPr="00AC4450">
        <w:rPr>
          <w:color w:themeColor="text1" w:val="000000"/>
          <w:lang w:val="hr-HR"/>
        </w:rPr>
        <w:t xml:space="preserve">je </w:t>
      </w:r>
      <w:r w:rsidRPr="00AC4450">
        <w:rPr>
          <w:color w:themeColor="text1" w:val="000000"/>
          <w:lang w:val="hr-HR"/>
        </w:rPr>
        <w:t>da je  pot</w:t>
      </w:r>
      <w:r w:rsidR="00930E42" w:rsidRPr="00AC4450">
        <w:rPr>
          <w:color w:themeColor="text1" w:val="000000"/>
          <w:lang w:val="hr-HR"/>
        </w:rPr>
        <w:t xml:space="preserve">raživanje  </w:t>
      </w:r>
      <w:r w:rsidR="00AC4450" w:rsidRPr="00AC4450">
        <w:rPr>
          <w:color w:themeColor="text1" w:val="000000"/>
          <w:lang w:val="hr-HR"/>
        </w:rPr>
        <w:t>obrta</w:t>
      </w:r>
      <w:r w:rsidR="00930E42" w:rsidRPr="00AC4450">
        <w:rPr>
          <w:color w:themeColor="text1" w:val="000000"/>
          <w:lang w:val="hr-HR"/>
        </w:rPr>
        <w:t xml:space="preserve"> ukupno 281.022</w:t>
      </w:r>
      <w:r w:rsidRPr="00AC4450">
        <w:rPr>
          <w:color w:themeColor="text1" w:val="000000"/>
          <w:lang w:val="hr-HR"/>
        </w:rPr>
        <w:t xml:space="preserve"> kn, dok su obveze </w:t>
      </w:r>
      <w:r w:rsidR="00930E42" w:rsidRPr="00AC4450">
        <w:rPr>
          <w:color w:themeColor="text1" w:val="000000"/>
          <w:lang w:val="hr-HR"/>
        </w:rPr>
        <w:t xml:space="preserve">4.648.645 </w:t>
      </w:r>
      <w:r w:rsidRPr="00AC4450">
        <w:rPr>
          <w:color w:themeColor="text1" w:val="000000"/>
          <w:lang w:val="hr-HR"/>
        </w:rPr>
        <w:t>kn</w:t>
      </w:r>
      <w:r w:rsidR="001019A9" w:rsidRPr="00AC4450">
        <w:rPr>
          <w:color w:themeColor="text1" w:val="000000"/>
          <w:lang w:val="hr-HR"/>
        </w:rPr>
        <w:t xml:space="preserve">. </w:t>
      </w:r>
      <w:r w:rsidRPr="00AC4450">
        <w:rPr>
          <w:color w:themeColor="text1" w:val="000000"/>
          <w:lang w:val="hr-HR"/>
        </w:rPr>
        <w:t xml:space="preserve">Istovremeno </w:t>
      </w:r>
      <w:r w:rsidR="001D5824" w:rsidRPr="00AC4450">
        <w:rPr>
          <w:color w:themeColor="text1" w:val="000000"/>
          <w:lang w:val="hr-HR"/>
        </w:rPr>
        <w:t>obrt</w:t>
      </w:r>
      <w:r w:rsidR="00930E42" w:rsidRPr="00AC4450">
        <w:rPr>
          <w:color w:themeColor="text1" w:val="000000"/>
          <w:lang w:val="hr-HR"/>
        </w:rPr>
        <w:t xml:space="preserve"> </w:t>
      </w:r>
      <w:r w:rsidRPr="00AC4450">
        <w:rPr>
          <w:color w:themeColor="text1" w:val="000000"/>
          <w:lang w:val="hr-HR"/>
        </w:rPr>
        <w:t xml:space="preserve">ima dugotrajnu imovinu u vrijednosti </w:t>
      </w:r>
      <w:r w:rsidR="00930E42" w:rsidRPr="00AC4450">
        <w:rPr>
          <w:color w:themeColor="text1" w:val="000000"/>
          <w:lang w:val="hr-HR"/>
        </w:rPr>
        <w:t xml:space="preserve">5.751.592 </w:t>
      </w:r>
      <w:r w:rsidRPr="00AC4450">
        <w:rPr>
          <w:color w:themeColor="text1" w:val="000000"/>
          <w:lang w:val="hr-HR"/>
        </w:rPr>
        <w:t xml:space="preserve">kn i kratkotrajnu  imovinu </w:t>
      </w:r>
      <w:r w:rsidR="00930E42" w:rsidRPr="00AC4450">
        <w:rPr>
          <w:color w:themeColor="text1" w:val="000000"/>
          <w:lang w:val="hr-HR"/>
        </w:rPr>
        <w:t xml:space="preserve">2.767.748 </w:t>
      </w:r>
      <w:r w:rsidR="00697F57" w:rsidRPr="00AC4450">
        <w:rPr>
          <w:color w:themeColor="text1" w:val="000000"/>
          <w:lang w:val="hr-HR"/>
        </w:rPr>
        <w:t>kn, što je dobra osnova za nastavak uspješnog poslovanja.</w:t>
      </w:r>
      <w:r w:rsidR="00697F57" w:rsidRPr="00D3367C">
        <w:rPr>
          <w:color w:themeColor="text1" w:val="000000"/>
          <w:lang w:val="hr-HR"/>
        </w:rPr>
        <w:t xml:space="preserve"> </w:t>
      </w:r>
    </w:p>
    <w:p w:rsidRDefault="00B43067" w:rsidP="0054036C" w:rsidR="00B43067" w:rsidRPr="00D3367C">
      <w:pPr>
        <w:spacing w:lineRule="auto" w:line="360"/>
        <w:ind w:right="142"/>
        <w:jc w:val="both"/>
        <w:rPr>
          <w:color w:themeColor="text1" w:val="000000"/>
        </w:rPr>
      </w:pPr>
    </w:p>
    <w:p w:rsidRDefault="00B43067" w:rsidP="0054036C" w:rsidR="00B43067" w:rsidRPr="00D3367C">
      <w:pPr>
        <w:spacing w:lineRule="auto" w:line="360"/>
        <w:ind w:right="142"/>
        <w:jc w:val="both"/>
        <w:rPr>
          <w:color w:themeColor="text1" w:val="000000"/>
        </w:rPr>
      </w:pPr>
    </w:p>
    <w:p w:rsidRDefault="0089744C" w:rsidP="00165F1D" w:rsidR="00647AD4" w:rsidRPr="00D3367C">
      <w:pPr>
        <w:spacing w:lineRule="auto" w:line="360"/>
        <w:ind w:right="142"/>
        <w:jc w:val="both"/>
        <w:rPr>
          <w:color w:themeColor="text1" w:val="000000"/>
        </w:rPr>
      </w:pPr>
      <w:r w:rsidRPr="00D3367C">
        <w:rPr>
          <w:color w:themeColor="text1" w:val="000000"/>
        </w:rPr>
        <w:lastRenderedPageBreak/>
        <w:t>Rezultati poslovanja dati su u računu dobiti i gubitka (</w:t>
      </w:r>
      <w:r w:rsidR="00E401FF" w:rsidRPr="00D3367C">
        <w:rPr>
          <w:color w:themeColor="text1" w:val="000000"/>
        </w:rPr>
        <w:t>3</w:t>
      </w:r>
      <w:r w:rsidR="00B11B6F" w:rsidRPr="00D3367C">
        <w:rPr>
          <w:color w:themeColor="text1" w:val="000000"/>
        </w:rPr>
        <w:t>1</w:t>
      </w:r>
      <w:r w:rsidR="00E401FF" w:rsidRPr="00D3367C">
        <w:rPr>
          <w:color w:themeColor="text1" w:val="000000"/>
        </w:rPr>
        <w:t>.</w:t>
      </w:r>
      <w:r w:rsidR="00930E42" w:rsidRPr="00D3367C">
        <w:rPr>
          <w:color w:themeColor="text1" w:val="000000"/>
        </w:rPr>
        <w:t>08</w:t>
      </w:r>
      <w:r w:rsidR="00E401FF" w:rsidRPr="00D3367C">
        <w:rPr>
          <w:color w:themeColor="text1" w:val="000000"/>
        </w:rPr>
        <w:t>.201</w:t>
      </w:r>
      <w:r w:rsidR="00AF3809" w:rsidRPr="00D3367C">
        <w:rPr>
          <w:color w:themeColor="text1" w:val="000000"/>
        </w:rPr>
        <w:t>6</w:t>
      </w:r>
      <w:r w:rsidR="00E401FF" w:rsidRPr="00D3367C">
        <w:rPr>
          <w:color w:themeColor="text1" w:val="000000"/>
        </w:rPr>
        <w:t>.</w:t>
      </w:r>
      <w:r w:rsidRPr="00D3367C">
        <w:rPr>
          <w:color w:themeColor="text1" w:val="000000"/>
        </w:rPr>
        <w:t>) u nastavku, dok grafički prikaz</w:t>
      </w:r>
      <w:r w:rsidR="00375664" w:rsidRPr="00D3367C">
        <w:rPr>
          <w:color w:themeColor="text1" w:val="000000"/>
        </w:rPr>
        <w:t xml:space="preserve">i pokazuju komparaciju prihoda i rashoda, potraživanja </w:t>
      </w:r>
      <w:r w:rsidR="00023D03" w:rsidRPr="00D3367C">
        <w:rPr>
          <w:color w:themeColor="text1" w:val="000000"/>
        </w:rPr>
        <w:t>i</w:t>
      </w:r>
      <w:r w:rsidR="00375664" w:rsidRPr="00D3367C">
        <w:rPr>
          <w:color w:themeColor="text1" w:val="000000"/>
        </w:rPr>
        <w:t xml:space="preserve"> obaveza. </w:t>
      </w:r>
    </w:p>
    <w:p w:rsidRDefault="00E527C5" w:rsidP="00165F1D" w:rsidR="00E527C5" w:rsidRPr="006C1275">
      <w:pPr>
        <w:spacing w:lineRule="auto" w:line="360"/>
        <w:ind w:right="142"/>
        <w:jc w:val="both"/>
      </w:pPr>
    </w:p>
    <w:tbl>
      <w:tblPr>
        <w:tblW w:type="dxa" w:w="9040"/>
        <w:tblInd w:type="dxa" w:w="113"/>
        <w:tblLook w:val="04A0" w:noVBand="1" w:noHBand="0" w:lastColumn="0" w:firstColumn="1" w:lastRow="0" w:firstRow="1"/>
      </w:tblPr>
      <w:tblGrid>
        <w:gridCol w:w="6400"/>
        <w:gridCol w:w="1320"/>
        <w:gridCol w:w="1320"/>
      </w:tblGrid>
      <w:tr w:rsidTr="0040445E" w:rsidR="0040445E">
        <w:trPr>
          <w:trHeight w:val="440"/>
        </w:trPr>
        <w:tc>
          <w:tcPr>
            <w:tcW w:type="dxa" w:w="6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40445E" w:rsidR="0040445E">
            <w:pPr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>Naziv pozicije</w:t>
            </w:r>
          </w:p>
        </w:tc>
        <w:tc>
          <w:tcPr>
            <w:tcW w:type="dxa" w:w="13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40445E" w:rsidR="0040445E">
            <w:pPr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b/>
                <w:bCs/>
                <w:sz w:val="16"/>
                <w:szCs w:val="16"/>
              </w:rPr>
              <w:t>Prethodna godina</w:t>
            </w:r>
          </w:p>
        </w:tc>
        <w:tc>
          <w:tcPr>
            <w:tcW w:type="dxa" w:w="13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40445E" w:rsidR="0040445E">
            <w:pPr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b/>
                <w:bCs/>
                <w:sz w:val="16"/>
                <w:szCs w:val="16"/>
              </w:rPr>
              <w:t>Tekuća godina</w:t>
            </w:r>
          </w:p>
        </w:tc>
      </w:tr>
      <w:tr w:rsidTr="0040445E" w:rsidR="0040445E">
        <w:trPr>
          <w:trHeight w:val="220"/>
        </w:trPr>
        <w:tc>
          <w:tcPr>
            <w:tcW w:type="dxa" w:w="64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445E" w:rsidR="0040445E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I. POSLOVNI PRIHODI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(112+113)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445E" w:rsidR="0040445E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2.603.349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445E" w:rsidR="0040445E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1.395.766</w:t>
            </w:r>
          </w:p>
        </w:tc>
      </w:tr>
      <w:tr w:rsidTr="0040445E" w:rsidR="0040445E">
        <w:trPr>
          <w:trHeight w:val="220"/>
        </w:trPr>
        <w:tc>
          <w:tcPr>
            <w:tcW w:type="dxa" w:w="64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445E" w:rsidR="0040445E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   1. Prihodi od prodaje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445E" w:rsidR="0040445E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2.574.986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445E" w:rsidR="0040445E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1.061.851</w:t>
            </w:r>
          </w:p>
        </w:tc>
      </w:tr>
      <w:tr w:rsidTr="0040445E" w:rsidR="0040445E">
        <w:trPr>
          <w:trHeight w:val="220"/>
        </w:trPr>
        <w:tc>
          <w:tcPr>
            <w:tcW w:type="dxa" w:w="64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445E" w:rsidR="0040445E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   2. Ostali poslovni prihodi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445E" w:rsidR="0040445E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28.363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445E" w:rsidR="0040445E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333.915</w:t>
            </w:r>
          </w:p>
        </w:tc>
      </w:tr>
      <w:tr w:rsidTr="0040445E" w:rsidR="0040445E">
        <w:trPr>
          <w:trHeight w:val="220"/>
        </w:trPr>
        <w:tc>
          <w:tcPr>
            <w:tcW w:type="dxa" w:w="64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445E" w:rsidR="0040445E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II. POSLOVNI RASHODI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(115+116+120+124+125+126+129+130)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445E" w:rsidR="0040445E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2.731.800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445E" w:rsidR="0040445E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1.581.572</w:t>
            </w:r>
          </w:p>
        </w:tc>
      </w:tr>
      <w:tr w:rsidTr="0040445E" w:rsidR="0040445E">
        <w:trPr>
          <w:trHeight w:val="220"/>
        </w:trPr>
        <w:tc>
          <w:tcPr>
            <w:tcW w:type="dxa" w:w="64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445E" w:rsidR="0040445E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    1. Promjene vrijednosti zaliha proizvodnje u tijeku i gotovih proizvoda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445E" w:rsidR="0040445E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30.558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445E" w:rsidR="0040445E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112.559</w:t>
            </w:r>
          </w:p>
        </w:tc>
      </w:tr>
      <w:tr w:rsidTr="0040445E" w:rsidR="0040445E">
        <w:trPr>
          <w:trHeight w:val="220"/>
        </w:trPr>
        <w:tc>
          <w:tcPr>
            <w:tcW w:type="dxa" w:w="64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445E" w:rsidR="0040445E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    2. Materijalni troškovi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(117 do 119)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445E" w:rsidR="0040445E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1.728.179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445E" w:rsidR="0040445E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1.012.480</w:t>
            </w:r>
          </w:p>
        </w:tc>
      </w:tr>
      <w:tr w:rsidTr="0040445E" w:rsidR="0040445E">
        <w:trPr>
          <w:trHeight w:val="220"/>
        </w:trPr>
        <w:tc>
          <w:tcPr>
            <w:tcW w:type="dxa" w:w="64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445E" w:rsidR="0040445E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   a) Troškovi sirovina i materijala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445E" w:rsidR="0040445E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1.465.054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445E" w:rsidR="0040445E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153.458</w:t>
            </w:r>
          </w:p>
        </w:tc>
      </w:tr>
      <w:tr w:rsidTr="0040445E" w:rsidR="0040445E">
        <w:trPr>
          <w:trHeight w:val="220"/>
        </w:trPr>
        <w:tc>
          <w:tcPr>
            <w:tcW w:type="dxa" w:w="64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445E" w:rsidR="0040445E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   b) Troškovi prodane robe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445E" w:rsidR="0040445E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44.312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445E" w:rsidR="0040445E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754.588</w:t>
            </w:r>
          </w:p>
        </w:tc>
      </w:tr>
      <w:tr w:rsidTr="0040445E" w:rsidR="0040445E">
        <w:trPr>
          <w:trHeight w:val="220"/>
        </w:trPr>
        <w:tc>
          <w:tcPr>
            <w:tcW w:type="dxa" w:w="64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445E" w:rsidR="0040445E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   c) Ostali vanjski troškovi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445E" w:rsidR="0040445E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218.813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445E" w:rsidR="0040445E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104.434</w:t>
            </w:r>
          </w:p>
        </w:tc>
      </w:tr>
      <w:tr w:rsidTr="0040445E" w:rsidR="0040445E">
        <w:trPr>
          <w:trHeight w:val="220"/>
        </w:trPr>
        <w:tc>
          <w:tcPr>
            <w:tcW w:type="dxa" w:w="64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445E" w:rsidR="0040445E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   3. Troškovi osoblja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(121 do 123)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445E" w:rsidR="0040445E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743.579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445E" w:rsidR="0040445E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170.210</w:t>
            </w:r>
          </w:p>
        </w:tc>
      </w:tr>
      <w:tr w:rsidTr="0040445E" w:rsidR="0040445E">
        <w:trPr>
          <w:trHeight w:val="220"/>
        </w:trPr>
        <w:tc>
          <w:tcPr>
            <w:tcW w:type="dxa" w:w="64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445E" w:rsidR="0040445E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   a) Neto plaće i nadnice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445E" w:rsidR="0040445E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497.727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445E" w:rsidR="0040445E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106.481</w:t>
            </w:r>
          </w:p>
        </w:tc>
      </w:tr>
      <w:tr w:rsidTr="0040445E" w:rsidR="0040445E">
        <w:trPr>
          <w:trHeight w:val="220"/>
        </w:trPr>
        <w:tc>
          <w:tcPr>
            <w:tcW w:type="dxa" w:w="64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445E" w:rsidR="0040445E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   b) Troškovi poreza i doprinosa iz plaća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445E" w:rsidR="0040445E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136.726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445E" w:rsidR="0040445E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38.749</w:t>
            </w:r>
          </w:p>
        </w:tc>
      </w:tr>
      <w:tr w:rsidTr="0040445E" w:rsidR="0040445E">
        <w:trPr>
          <w:trHeight w:val="220"/>
        </w:trPr>
        <w:tc>
          <w:tcPr>
            <w:tcW w:type="dxa" w:w="64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445E" w:rsidR="0040445E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   c) Doprinosi na plaće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445E" w:rsidR="0040445E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109.126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445E" w:rsidR="0040445E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24.980</w:t>
            </w:r>
          </w:p>
        </w:tc>
      </w:tr>
      <w:tr w:rsidTr="0040445E" w:rsidR="0040445E">
        <w:trPr>
          <w:trHeight w:val="220"/>
        </w:trPr>
        <w:tc>
          <w:tcPr>
            <w:tcW w:type="dxa" w:w="64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445E" w:rsidR="0040445E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   4. Amortizacija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445E" w:rsidR="0040445E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105.894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445E" w:rsidR="0040445E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86.994</w:t>
            </w:r>
          </w:p>
        </w:tc>
      </w:tr>
      <w:tr w:rsidTr="0040445E" w:rsidR="0040445E">
        <w:trPr>
          <w:trHeight w:val="220"/>
        </w:trPr>
        <w:tc>
          <w:tcPr>
            <w:tcW w:type="dxa" w:w="64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445E" w:rsidR="0040445E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   5. Ostali troškovi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445E" w:rsidR="0040445E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93.833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445E" w:rsidR="0040445E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28.700</w:t>
            </w:r>
          </w:p>
        </w:tc>
      </w:tr>
      <w:tr w:rsidTr="0040445E" w:rsidR="0040445E">
        <w:trPr>
          <w:trHeight w:val="220"/>
        </w:trPr>
        <w:tc>
          <w:tcPr>
            <w:tcW w:type="dxa" w:w="64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445E" w:rsidR="0040445E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   6. Vrijednosno usklađivanje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(127+128)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445E" w:rsidR="0040445E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445E" w:rsidR="0040445E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40445E" w:rsidR="0040445E">
        <w:trPr>
          <w:trHeight w:val="220"/>
        </w:trPr>
        <w:tc>
          <w:tcPr>
            <w:tcW w:type="dxa" w:w="64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445E" w:rsidR="0040445E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  a) dugotrajne imovine (osim financijske imovine)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445E" w:rsidR="0040445E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445E" w:rsidR="0040445E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40445E" w:rsidR="0040445E">
        <w:trPr>
          <w:trHeight w:val="220"/>
        </w:trPr>
        <w:tc>
          <w:tcPr>
            <w:tcW w:type="dxa" w:w="64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445E" w:rsidR="0040445E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  b) kratkotrajne imovine (osim financijske imovine)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445E" w:rsidR="0040445E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445E" w:rsidR="0040445E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40445E" w:rsidR="0040445E">
        <w:trPr>
          <w:trHeight w:val="220"/>
        </w:trPr>
        <w:tc>
          <w:tcPr>
            <w:tcW w:type="dxa" w:w="64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445E" w:rsidR="0040445E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   7. Rezerviranja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445E" w:rsidR="0040445E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445E" w:rsidR="0040445E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40445E" w:rsidR="0040445E">
        <w:trPr>
          <w:trHeight w:val="220"/>
        </w:trPr>
        <w:tc>
          <w:tcPr>
            <w:tcW w:type="dxa" w:w="64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445E" w:rsidR="0040445E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   8. Ostali poslovni rashodi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445E" w:rsidR="0040445E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29.757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445E" w:rsidR="0040445E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170.629</w:t>
            </w:r>
          </w:p>
        </w:tc>
      </w:tr>
      <w:tr w:rsidTr="0040445E" w:rsidR="0040445E">
        <w:trPr>
          <w:trHeight w:val="220"/>
        </w:trPr>
        <w:tc>
          <w:tcPr>
            <w:tcW w:type="dxa" w:w="64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445E" w:rsidR="0040445E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III. FINANCIJSKI PRIHODI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(132 do 136)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445E" w:rsidR="0040445E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6.521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445E" w:rsidR="0040445E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17.276</w:t>
            </w:r>
          </w:p>
        </w:tc>
      </w:tr>
      <w:tr w:rsidTr="0040445E" w:rsidR="0040445E">
        <w:trPr>
          <w:trHeight w:val="220"/>
        </w:trPr>
        <w:tc>
          <w:tcPr>
            <w:tcW w:type="dxa" w:w="64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445E" w:rsidR="0040445E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     1. Kamate, tečajne razlike, dividende i slični prihodi iz odnosa s</w:t>
            </w:r>
            <w:r>
              <w:rPr>
                <w:rFonts w:cs="MingLiU" w:eastAsia="MingLiU" w:hAnsi="MingLiU" w:ascii="MingLiU"/>
                <w:b/>
                <w:bCs/>
                <w:sz w:val="18"/>
                <w:szCs w:val="18"/>
              </w:rPr>
              <w:br/>
            </w: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         povezanim poduzetnicima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445E" w:rsidR="0040445E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445E" w:rsidR="0040445E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40445E" w:rsidR="0040445E">
        <w:trPr>
          <w:trHeight w:val="220"/>
        </w:trPr>
        <w:tc>
          <w:tcPr>
            <w:tcW w:type="dxa" w:w="64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445E" w:rsidR="0040445E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     2. Kamate, tečajne razlike, dividende, slični prihodi iz odnosa s</w:t>
            </w:r>
            <w:r>
              <w:rPr>
                <w:rFonts w:cs="MingLiU" w:eastAsia="MingLiU" w:hAnsi="MingLiU" w:ascii="MingLiU"/>
                <w:b/>
                <w:bCs/>
                <w:sz w:val="18"/>
                <w:szCs w:val="18"/>
              </w:rPr>
              <w:br/>
            </w: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          nepovezanim poduzetnicima i drugim osobama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445E" w:rsidR="0040445E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6.521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445E" w:rsidR="0040445E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17.276</w:t>
            </w:r>
          </w:p>
        </w:tc>
      </w:tr>
      <w:tr w:rsidTr="0040445E" w:rsidR="0040445E">
        <w:trPr>
          <w:trHeight w:val="220"/>
        </w:trPr>
        <w:tc>
          <w:tcPr>
            <w:tcW w:type="dxa" w:w="64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445E" w:rsidR="0040445E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     3. Dio prihoda od pridruženih poduzetnika i sudjelujućih interesa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445E" w:rsidR="0040445E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445E" w:rsidR="0040445E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40445E" w:rsidR="0040445E">
        <w:trPr>
          <w:trHeight w:val="220"/>
        </w:trPr>
        <w:tc>
          <w:tcPr>
            <w:tcW w:type="dxa" w:w="64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445E" w:rsidR="0040445E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     4. Nerealizirani dobici (prihodi) od financijske imovine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445E" w:rsidR="0040445E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445E" w:rsidR="0040445E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40445E" w:rsidR="0040445E">
        <w:trPr>
          <w:trHeight w:val="220"/>
        </w:trPr>
        <w:tc>
          <w:tcPr>
            <w:tcW w:type="dxa" w:w="64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445E" w:rsidR="0040445E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     5. Ostali financijski prihodi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445E" w:rsidR="0040445E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445E" w:rsidR="0040445E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40445E" w:rsidR="0040445E">
        <w:trPr>
          <w:trHeight w:val="220"/>
        </w:trPr>
        <w:tc>
          <w:tcPr>
            <w:tcW w:type="dxa" w:w="64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445E" w:rsidR="0040445E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IV. FINANCIJSKI RASHODI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(138 do 141)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445E" w:rsidR="0040445E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136.492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445E" w:rsidR="0040445E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79.525</w:t>
            </w:r>
          </w:p>
        </w:tc>
      </w:tr>
      <w:tr w:rsidTr="0040445E" w:rsidR="0040445E">
        <w:trPr>
          <w:trHeight w:val="220"/>
        </w:trPr>
        <w:tc>
          <w:tcPr>
            <w:tcW w:type="dxa" w:w="64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445E" w:rsidR="0040445E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    1. Kamate, tečajne razlike i drugi rashodi s povezanim poduzetnicima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445E" w:rsidR="0040445E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445E" w:rsidR="0040445E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40445E" w:rsidR="0040445E">
        <w:trPr>
          <w:trHeight w:val="220"/>
        </w:trPr>
        <w:tc>
          <w:tcPr>
            <w:tcW w:type="dxa" w:w="64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445E" w:rsidR="0040445E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    2. Kamate, tečajne razlike i drugi rashodi iz odnosa s nepovezanim</w:t>
            </w:r>
            <w:r>
              <w:rPr>
                <w:rFonts w:cs="MingLiU" w:eastAsia="MingLiU" w:hAnsi="MingLiU" w:ascii="MingLiU"/>
                <w:b/>
                <w:bCs/>
                <w:sz w:val="18"/>
                <w:szCs w:val="18"/>
              </w:rPr>
              <w:br/>
            </w: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        poduzetnicima i drugim osobama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445E" w:rsidR="0040445E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136.492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445E" w:rsidR="0040445E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79.525</w:t>
            </w:r>
          </w:p>
        </w:tc>
      </w:tr>
      <w:tr w:rsidTr="0040445E" w:rsidR="0040445E">
        <w:trPr>
          <w:trHeight w:val="220"/>
        </w:trPr>
        <w:tc>
          <w:tcPr>
            <w:tcW w:type="dxa" w:w="64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445E" w:rsidR="0040445E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    3. Nerealizirani gubici (rashodi) od financijske imovine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445E" w:rsidR="0040445E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445E" w:rsidR="0040445E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40445E" w:rsidR="0040445E">
        <w:trPr>
          <w:trHeight w:val="220"/>
        </w:trPr>
        <w:tc>
          <w:tcPr>
            <w:tcW w:type="dxa" w:w="64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445E" w:rsidR="0040445E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    4. Ostali financijski rashodi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445E" w:rsidR="0040445E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445E" w:rsidR="0040445E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40445E" w:rsidR="0040445E">
        <w:trPr>
          <w:trHeight w:val="220"/>
        </w:trPr>
        <w:tc>
          <w:tcPr>
            <w:tcW w:type="dxa" w:w="64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445E" w:rsidR="0040445E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V.    UDIO U DOBITI OD PRIDRUŽENIH PODUZETNIKA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445E" w:rsidR="0040445E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445E" w:rsidR="0040445E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40445E" w:rsidR="0040445E">
        <w:trPr>
          <w:trHeight w:val="220"/>
        </w:trPr>
        <w:tc>
          <w:tcPr>
            <w:tcW w:type="dxa" w:w="64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445E" w:rsidR="0040445E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VI.   UDIO U GUBITKU OD PRIDRUŽENIH PODUZETNIKA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445E" w:rsidR="0040445E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445E" w:rsidR="0040445E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40445E" w:rsidR="0040445E">
        <w:trPr>
          <w:trHeight w:val="220"/>
        </w:trPr>
        <w:tc>
          <w:tcPr>
            <w:tcW w:type="dxa" w:w="64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445E" w:rsidR="0040445E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>VII.  IZVANREDNI - OSTALI PRIHODI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445E" w:rsidR="0040445E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445E" w:rsidR="0040445E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10.306</w:t>
            </w:r>
          </w:p>
        </w:tc>
      </w:tr>
      <w:tr w:rsidTr="0040445E" w:rsidR="0040445E">
        <w:trPr>
          <w:trHeight w:val="220"/>
        </w:trPr>
        <w:tc>
          <w:tcPr>
            <w:tcW w:type="dxa" w:w="64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445E" w:rsidR="0040445E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>VIII. IZVANREDNI - OSTALI RASHODI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445E" w:rsidR="0040445E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445E" w:rsidR="0040445E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40445E" w:rsidR="0040445E">
        <w:trPr>
          <w:trHeight w:val="220"/>
        </w:trPr>
        <w:tc>
          <w:tcPr>
            <w:tcW w:type="dxa" w:w="64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445E" w:rsidR="0040445E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IX.  UKUPNI PRIHODI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(111+131+142 + 144)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445E" w:rsidR="0040445E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2.609.870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445E" w:rsidR="0040445E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1.423.348</w:t>
            </w:r>
          </w:p>
        </w:tc>
      </w:tr>
      <w:tr w:rsidTr="0040445E" w:rsidR="0040445E">
        <w:trPr>
          <w:trHeight w:val="220"/>
        </w:trPr>
        <w:tc>
          <w:tcPr>
            <w:tcW w:type="dxa" w:w="64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445E" w:rsidR="0040445E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X.   UKUPNI RASHODI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(114+137+143 + 145)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445E" w:rsidR="0040445E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2.868.292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445E" w:rsidR="0040445E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1.661.097</w:t>
            </w:r>
          </w:p>
        </w:tc>
      </w:tr>
      <w:tr w:rsidTr="0040445E" w:rsidR="0040445E">
        <w:trPr>
          <w:trHeight w:val="220"/>
        </w:trPr>
        <w:tc>
          <w:tcPr>
            <w:tcW w:type="dxa" w:w="64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445E" w:rsidR="0040445E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XI.  DOBIT ILI GUBITAK PRIJE OPOREZIVANJA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(146-147)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445E" w:rsidR="0040445E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-258.422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445E" w:rsidR="0040445E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-237.749</w:t>
            </w:r>
          </w:p>
        </w:tc>
      </w:tr>
      <w:tr w:rsidTr="0040445E" w:rsidR="0040445E">
        <w:trPr>
          <w:trHeight w:val="220"/>
        </w:trPr>
        <w:tc>
          <w:tcPr>
            <w:tcW w:type="dxa" w:w="64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445E" w:rsidR="0040445E">
            <w:pPr>
              <w:ind w:firstLineChars="100" w:firstLine="18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1. Dobit prije oporezivanja (146-147)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445E" w:rsidR="0040445E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445E" w:rsidR="0040445E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40445E" w:rsidR="0040445E">
        <w:trPr>
          <w:trHeight w:val="220"/>
        </w:trPr>
        <w:tc>
          <w:tcPr>
            <w:tcW w:type="dxa" w:w="64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445E" w:rsidR="0040445E">
            <w:pPr>
              <w:ind w:firstLineChars="100" w:firstLine="18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2. Gubitak prije oporezivanja (147-146)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445E" w:rsidR="0040445E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258.422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445E" w:rsidR="0040445E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237.749</w:t>
            </w:r>
          </w:p>
        </w:tc>
      </w:tr>
      <w:tr w:rsidTr="0040445E" w:rsidR="0040445E">
        <w:trPr>
          <w:trHeight w:val="220"/>
        </w:trPr>
        <w:tc>
          <w:tcPr>
            <w:tcW w:type="dxa" w:w="64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445E" w:rsidR="0040445E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>XII.  POREZ NA DOBIT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445E" w:rsidR="0040445E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445E" w:rsidR="0040445E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40445E" w:rsidR="0040445E">
        <w:trPr>
          <w:trHeight w:val="220"/>
        </w:trPr>
        <w:tc>
          <w:tcPr>
            <w:tcW w:type="dxa" w:w="64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445E" w:rsidR="0040445E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XIII. DOBIT ILI GUBITAK RAZDOBLJA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(148-151)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445E" w:rsidR="0040445E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-258.422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445E" w:rsidR="0040445E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-237.749</w:t>
            </w:r>
          </w:p>
        </w:tc>
      </w:tr>
      <w:tr w:rsidTr="0040445E" w:rsidR="0040445E">
        <w:trPr>
          <w:trHeight w:val="220"/>
        </w:trPr>
        <w:tc>
          <w:tcPr>
            <w:tcW w:type="dxa" w:w="64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445E" w:rsidR="0040445E">
            <w:pPr>
              <w:ind w:firstLineChars="100" w:firstLine="18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1. Dobit razdoblja (149-151)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445E" w:rsidR="0040445E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445E" w:rsidR="0040445E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40445E" w:rsidR="0040445E">
        <w:trPr>
          <w:trHeight w:val="220"/>
        </w:trPr>
        <w:tc>
          <w:tcPr>
            <w:tcW w:type="dxa" w:w="64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445E" w:rsidR="0040445E">
            <w:pPr>
              <w:ind w:firstLineChars="100" w:firstLine="18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2. Gubitak razdoblja (151-148)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445E" w:rsidR="0040445E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258.422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445E" w:rsidR="0040445E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237.749</w:t>
            </w:r>
          </w:p>
        </w:tc>
      </w:tr>
    </w:tbl>
    <w:p w:rsidRDefault="008A34EF" w:rsidP="00165F1D" w:rsidR="008A34EF" w:rsidRPr="006C1275">
      <w:pPr>
        <w:spacing w:lineRule="auto" w:line="360"/>
        <w:ind w:right="142"/>
        <w:jc w:val="both"/>
        <w:rPr>
          <w:color w:val="FF0000"/>
        </w:rPr>
      </w:pPr>
    </w:p>
    <w:p w:rsidRDefault="009159FE" w:rsidP="00012A88" w:rsidR="00F91B02">
      <w:pPr>
        <w:spacing w:lineRule="auto" w:line="360"/>
        <w:ind w:right="142"/>
        <w:jc w:val="center"/>
        <w:rPr>
          <w:i/>
        </w:rPr>
      </w:pPr>
      <w:r w:rsidRPr="006C1275">
        <w:rPr>
          <w:i/>
        </w:rPr>
        <w:t>Račun dobiti i gubitka</w:t>
      </w:r>
      <w:r w:rsidR="005472DC">
        <w:rPr>
          <w:i/>
        </w:rPr>
        <w:t xml:space="preserve"> </w:t>
      </w:r>
      <w:r w:rsidR="00746B6C">
        <w:rPr>
          <w:i/>
        </w:rPr>
        <w:t xml:space="preserve">na dan </w:t>
      </w:r>
      <w:r w:rsidR="00E401FF">
        <w:rPr>
          <w:i/>
        </w:rPr>
        <w:t>3</w:t>
      </w:r>
      <w:r w:rsidR="00B11B6F">
        <w:rPr>
          <w:i/>
        </w:rPr>
        <w:t>1</w:t>
      </w:r>
      <w:r w:rsidR="00E401FF">
        <w:rPr>
          <w:i/>
        </w:rPr>
        <w:t>.</w:t>
      </w:r>
      <w:r w:rsidR="00B11B6F">
        <w:rPr>
          <w:i/>
        </w:rPr>
        <w:t>0</w:t>
      </w:r>
      <w:r w:rsidR="0040445E">
        <w:rPr>
          <w:i/>
        </w:rPr>
        <w:t>8</w:t>
      </w:r>
      <w:r w:rsidR="00E401FF">
        <w:rPr>
          <w:i/>
        </w:rPr>
        <w:t>.201</w:t>
      </w:r>
      <w:r w:rsidR="00AF3809">
        <w:rPr>
          <w:i/>
        </w:rPr>
        <w:t>6</w:t>
      </w:r>
      <w:r w:rsidR="00E401FF">
        <w:rPr>
          <w:i/>
        </w:rPr>
        <w:t>.</w:t>
      </w:r>
      <w:r w:rsidR="00264BB3">
        <w:rPr>
          <w:i/>
        </w:rPr>
        <w:t xml:space="preserve"> godine.</w:t>
      </w:r>
    </w:p>
    <w:p w:rsidRDefault="00320717" w:rsidP="00264BB3" w:rsidR="00F91B02">
      <w:pPr>
        <w:spacing w:lineRule="auto" w:line="360"/>
        <w:ind w:right="142"/>
        <w:jc w:val="center"/>
        <w:rPr>
          <w:i/>
        </w:rPr>
      </w:pPr>
      <w:r>
        <w:rPr>
          <w:noProof/>
          <w:lang w:eastAsia="hr-HR" w:val="hr-HR"/>
        </w:rPr>
        <w:lastRenderedPageBreak/>
        <w:drawing>
          <wp:inline distR="0" distL="0" distB="0" distT="0">
            <wp:extent cy="2908300" cx="5666740"/>
            <wp:effectExtent b="0" r="0" t="0" l="0"/>
            <wp:docPr name="Chart 1" id="1"/>
            <wp:cNvGraphicFramePr/>
            <a:graphic>
              <a:graphicData uri="http://schemas.openxmlformats.org/drawingml/2006/chart">
                <c:chart r:id="rId25"/>
              </a:graphicData>
            </a:graphic>
          </wp:inline>
        </w:drawing>
      </w:r>
    </w:p>
    <w:p w:rsidRDefault="00320717" w:rsidP="00320717" w:rsidR="00320717">
      <w:pPr>
        <w:spacing w:lineRule="auto" w:line="360"/>
        <w:ind w:right="142"/>
        <w:jc w:val="both"/>
        <w:rPr>
          <w:i/>
        </w:rPr>
      </w:pPr>
    </w:p>
    <w:p w:rsidRDefault="0089744C" w:rsidP="00012A88" w:rsidR="008A34EF">
      <w:pPr>
        <w:spacing w:lineRule="auto" w:line="360"/>
        <w:ind w:right="142"/>
        <w:jc w:val="center"/>
        <w:rPr>
          <w:i/>
        </w:rPr>
      </w:pPr>
      <w:r w:rsidRPr="006C1275">
        <w:rPr>
          <w:i/>
        </w:rPr>
        <w:t xml:space="preserve">Grafički prikaz rezultata poslovanja </w:t>
      </w:r>
      <w:r w:rsidR="00DC6105" w:rsidRPr="006C1275">
        <w:rPr>
          <w:i/>
        </w:rPr>
        <w:t>u</w:t>
      </w:r>
      <w:r w:rsidRPr="006C1275">
        <w:rPr>
          <w:i/>
        </w:rPr>
        <w:t xml:space="preserve"> pr</w:t>
      </w:r>
      <w:r w:rsidR="00395576" w:rsidRPr="006C1275">
        <w:rPr>
          <w:i/>
        </w:rPr>
        <w:t>ethodni</w:t>
      </w:r>
      <w:r w:rsidR="00DE0810" w:rsidRPr="006C1275">
        <w:rPr>
          <w:i/>
        </w:rPr>
        <w:t xml:space="preserve">m </w:t>
      </w:r>
      <w:r w:rsidR="00395576" w:rsidRPr="006C1275">
        <w:rPr>
          <w:i/>
        </w:rPr>
        <w:t>godina</w:t>
      </w:r>
      <w:r w:rsidR="00DE0810" w:rsidRPr="006C1275">
        <w:rPr>
          <w:i/>
        </w:rPr>
        <w:t xml:space="preserve">ma </w:t>
      </w:r>
      <w:r w:rsidR="00823A12">
        <w:rPr>
          <w:i/>
        </w:rPr>
        <w:t xml:space="preserve"> poslovanja</w:t>
      </w:r>
    </w:p>
    <w:p w:rsidRDefault="00012A88" w:rsidP="00012A88" w:rsidR="00012A88" w:rsidRPr="00320717">
      <w:pPr>
        <w:spacing w:lineRule="auto" w:line="360"/>
        <w:ind w:right="142"/>
        <w:jc w:val="center"/>
        <w:rPr>
          <w:i/>
        </w:rPr>
      </w:pPr>
    </w:p>
    <w:p w:rsidRDefault="00320717" w:rsidP="00DC6105" w:rsidR="00AE2409">
      <w:pPr>
        <w:pStyle w:val="Tijeloteksta"/>
        <w:spacing w:lineRule="auto" w:line="360"/>
        <w:rPr>
          <w:rFonts w:hAnsi="Times New Roman" w:ascii="Times New Roman"/>
          <w:i/>
          <w:sz w:val="24"/>
          <w:szCs w:val="24"/>
        </w:rPr>
      </w:pPr>
      <w:r>
        <w:rPr>
          <w:noProof/>
          <w:lang w:eastAsia="hr-HR" w:val="hr-HR"/>
        </w:rPr>
        <w:drawing>
          <wp:inline distR="0" distL="0" distB="0" distT="0">
            <wp:extent cy="3102610" cx="5626735"/>
            <wp:effectExtent b="0" r="12065" t="0" l="0"/>
            <wp:docPr name="Chart 14" id="14"/>
            <wp:cNvGraphicFramePr/>
            <a:graphic>
              <a:graphicData uri="http://schemas.openxmlformats.org/drawingml/2006/chart">
                <c:chart r:id="rId26"/>
              </a:graphicData>
            </a:graphic>
          </wp:inline>
        </w:drawing>
      </w:r>
    </w:p>
    <w:p w:rsidRDefault="00012A88" w:rsidP="00012A88" w:rsidR="00012A88">
      <w:pPr>
        <w:pStyle w:val="Tijeloteksta"/>
        <w:spacing w:lineRule="auto" w:line="360"/>
        <w:jc w:val="center"/>
        <w:rPr>
          <w:rFonts w:hAnsi="Times New Roman" w:ascii="Times New Roman"/>
          <w:i/>
          <w:sz w:val="24"/>
          <w:szCs w:val="24"/>
        </w:rPr>
      </w:pPr>
    </w:p>
    <w:p w:rsidRDefault="009159FE" w:rsidP="00012A88" w:rsidR="00DC6105">
      <w:pPr>
        <w:pStyle w:val="Tijeloteksta"/>
        <w:spacing w:lineRule="auto" w:line="360"/>
        <w:jc w:val="center"/>
        <w:rPr>
          <w:rFonts w:hAnsi="Times New Roman" w:ascii="Times New Roman"/>
          <w:i/>
          <w:sz w:val="24"/>
          <w:szCs w:val="24"/>
        </w:rPr>
      </w:pPr>
      <w:r w:rsidRPr="006C1275">
        <w:rPr>
          <w:rFonts w:hAnsi="Times New Roman" w:ascii="Times New Roman"/>
          <w:i/>
          <w:sz w:val="24"/>
          <w:szCs w:val="24"/>
        </w:rPr>
        <w:t>Grafički prikaz obveza prema dobavljačima i potraživanja od kupaca</w:t>
      </w:r>
    </w:p>
    <w:p w:rsidRDefault="002518BB" w:rsidP="00DC6105" w:rsidR="002518BB">
      <w:pPr>
        <w:pStyle w:val="Tijeloteksta"/>
        <w:spacing w:lineRule="auto" w:line="360"/>
        <w:rPr>
          <w:rFonts w:hAnsi="Times New Roman" w:ascii="Times New Roman"/>
          <w:sz w:val="24"/>
          <w:szCs w:val="24"/>
          <w:lang w:val="hr-HR"/>
        </w:rPr>
      </w:pPr>
    </w:p>
    <w:p w:rsidRDefault="00375664" w:rsidP="00DC6105" w:rsidR="00375664">
      <w:pPr>
        <w:pStyle w:val="Tijeloteksta"/>
        <w:spacing w:lineRule="auto" w:line="360"/>
        <w:rPr>
          <w:rFonts w:hAnsi="Times New Roman" w:ascii="Times New Roman"/>
          <w:sz w:val="24"/>
          <w:szCs w:val="24"/>
          <w:lang w:val="hr-HR"/>
        </w:rPr>
      </w:pPr>
    </w:p>
    <w:p w:rsidRDefault="00012A88" w:rsidP="00DC6105" w:rsidR="00012A88">
      <w:pPr>
        <w:pStyle w:val="Tijeloteksta"/>
        <w:spacing w:lineRule="auto" w:line="360"/>
        <w:rPr>
          <w:rFonts w:hAnsi="Times New Roman" w:ascii="Times New Roman"/>
          <w:sz w:val="24"/>
          <w:szCs w:val="24"/>
          <w:lang w:val="hr-HR"/>
        </w:rPr>
      </w:pPr>
    </w:p>
    <w:p w:rsidRDefault="00012A88" w:rsidP="00DC6105" w:rsidR="00012A88">
      <w:pPr>
        <w:pStyle w:val="Tijeloteksta"/>
        <w:spacing w:lineRule="auto" w:line="360"/>
        <w:rPr>
          <w:rFonts w:hAnsi="Times New Roman" w:ascii="Times New Roman"/>
          <w:sz w:val="24"/>
          <w:szCs w:val="24"/>
          <w:lang w:val="hr-HR"/>
        </w:rPr>
      </w:pPr>
    </w:p>
    <w:p w:rsidRDefault="00300FF7" w:rsidP="00292BE5" w:rsidR="005472DC">
      <w:pPr>
        <w:pStyle w:val="Tijeloteksta"/>
        <w:spacing w:lineRule="auto" w:line="360"/>
        <w:rPr>
          <w:rFonts w:hAnsi="Times New Roman" w:ascii="Times New Roman"/>
          <w:sz w:val="24"/>
          <w:szCs w:val="24"/>
          <w:lang w:val="hr-HR"/>
        </w:rPr>
      </w:pPr>
      <w:r w:rsidRPr="006C1275">
        <w:rPr>
          <w:rFonts w:hAnsi="Times New Roman" w:ascii="Times New Roman"/>
          <w:sz w:val="24"/>
          <w:szCs w:val="24"/>
          <w:lang w:val="hr-HR"/>
        </w:rPr>
        <w:lastRenderedPageBreak/>
        <w:t xml:space="preserve">Sažetak </w:t>
      </w:r>
      <w:r w:rsidR="00552F88" w:rsidRPr="006C1275">
        <w:rPr>
          <w:rFonts w:hAnsi="Times New Roman" w:ascii="Times New Roman"/>
          <w:sz w:val="24"/>
          <w:szCs w:val="24"/>
          <w:lang w:val="hr-HR"/>
        </w:rPr>
        <w:t>poslovan</w:t>
      </w:r>
      <w:r w:rsidR="002518BB">
        <w:rPr>
          <w:rFonts w:hAnsi="Times New Roman" w:ascii="Times New Roman"/>
          <w:sz w:val="24"/>
          <w:szCs w:val="24"/>
          <w:lang w:val="hr-HR"/>
        </w:rPr>
        <w:t xml:space="preserve">ja </w:t>
      </w:r>
      <w:r w:rsidR="00746B6C">
        <w:rPr>
          <w:rFonts w:hAnsi="Times New Roman" w:ascii="Times New Roman"/>
          <w:sz w:val="24"/>
          <w:szCs w:val="24"/>
          <w:lang w:val="hr-HR"/>
        </w:rPr>
        <w:t>tvrtk</w:t>
      </w:r>
      <w:r w:rsidR="006A2BCB">
        <w:rPr>
          <w:rFonts w:hAnsi="Times New Roman" w:ascii="Times New Roman"/>
          <w:sz w:val="24"/>
          <w:szCs w:val="24"/>
          <w:lang w:val="hr-HR"/>
        </w:rPr>
        <w:t>e</w:t>
      </w:r>
      <w:r w:rsidR="002518BB">
        <w:rPr>
          <w:rFonts w:hAnsi="Times New Roman" w:ascii="Times New Roman"/>
          <w:sz w:val="24"/>
          <w:szCs w:val="24"/>
          <w:lang w:val="hr-HR"/>
        </w:rPr>
        <w:t xml:space="preserve"> kroz razdoblje od 201</w:t>
      </w:r>
      <w:r w:rsidR="00A42115">
        <w:rPr>
          <w:rFonts w:hAnsi="Times New Roman" w:ascii="Times New Roman"/>
          <w:sz w:val="24"/>
          <w:szCs w:val="24"/>
          <w:lang w:val="hr-HR"/>
        </w:rPr>
        <w:t>1</w:t>
      </w:r>
      <w:r w:rsidR="00552F88" w:rsidRPr="006C1275">
        <w:rPr>
          <w:rFonts w:hAnsi="Times New Roman" w:ascii="Times New Roman"/>
          <w:sz w:val="24"/>
          <w:szCs w:val="24"/>
          <w:lang w:val="hr-HR"/>
        </w:rPr>
        <w:t xml:space="preserve">. do </w:t>
      </w:r>
      <w:r w:rsidR="00E401FF">
        <w:rPr>
          <w:rFonts w:hAnsi="Times New Roman" w:ascii="Times New Roman"/>
          <w:sz w:val="24"/>
          <w:szCs w:val="24"/>
          <w:lang w:val="hr-HR"/>
        </w:rPr>
        <w:t>3</w:t>
      </w:r>
      <w:r w:rsidR="00B11B6F">
        <w:rPr>
          <w:rFonts w:hAnsi="Times New Roman" w:ascii="Times New Roman"/>
          <w:sz w:val="24"/>
          <w:szCs w:val="24"/>
          <w:lang w:val="hr-HR"/>
        </w:rPr>
        <w:t>1</w:t>
      </w:r>
      <w:r w:rsidR="00E401FF">
        <w:rPr>
          <w:rFonts w:hAnsi="Times New Roman" w:ascii="Times New Roman"/>
          <w:sz w:val="24"/>
          <w:szCs w:val="24"/>
          <w:lang w:val="hr-HR"/>
        </w:rPr>
        <w:t>.</w:t>
      </w:r>
      <w:r w:rsidR="00B11B6F">
        <w:rPr>
          <w:rFonts w:hAnsi="Times New Roman" w:ascii="Times New Roman"/>
          <w:sz w:val="24"/>
          <w:szCs w:val="24"/>
          <w:lang w:val="hr-HR"/>
        </w:rPr>
        <w:t>0</w:t>
      </w:r>
      <w:r w:rsidR="00320717">
        <w:rPr>
          <w:rFonts w:hAnsi="Times New Roman" w:ascii="Times New Roman"/>
          <w:sz w:val="24"/>
          <w:szCs w:val="24"/>
          <w:lang w:val="hr-HR"/>
        </w:rPr>
        <w:t>8</w:t>
      </w:r>
      <w:r w:rsidR="00A42115">
        <w:rPr>
          <w:rFonts w:hAnsi="Times New Roman" w:ascii="Times New Roman"/>
          <w:sz w:val="24"/>
          <w:szCs w:val="24"/>
          <w:lang w:val="hr-HR"/>
        </w:rPr>
        <w:t>.2016</w:t>
      </w:r>
      <w:r w:rsidR="00E401FF">
        <w:rPr>
          <w:rFonts w:hAnsi="Times New Roman" w:ascii="Times New Roman"/>
          <w:sz w:val="24"/>
          <w:szCs w:val="24"/>
          <w:lang w:val="hr-HR"/>
        </w:rPr>
        <w:t>.</w:t>
      </w:r>
      <w:r w:rsidRPr="006C1275">
        <w:rPr>
          <w:rFonts w:hAnsi="Times New Roman" w:ascii="Times New Roman"/>
          <w:sz w:val="24"/>
          <w:szCs w:val="24"/>
          <w:lang w:val="hr-HR"/>
        </w:rPr>
        <w:t xml:space="preserve"> nalazi se</w:t>
      </w:r>
      <w:r w:rsidR="00EB5F3A">
        <w:rPr>
          <w:rFonts w:hAnsi="Times New Roman" w:ascii="Times New Roman"/>
          <w:sz w:val="24"/>
          <w:szCs w:val="24"/>
          <w:lang w:val="hr-HR"/>
        </w:rPr>
        <w:t xml:space="preserve"> u tablici u nastavku. </w:t>
      </w:r>
    </w:p>
    <w:p w:rsidRDefault="00A51600" w:rsidP="00292BE5" w:rsidR="00C64CB7">
      <w:pPr>
        <w:pStyle w:val="Tijeloteksta"/>
        <w:spacing w:lineRule="auto" w:line="360"/>
        <w:rPr>
          <w:rFonts w:hAnsi="Times New Roman" w:ascii="Times New Roman"/>
          <w:sz w:val="24"/>
          <w:szCs w:val="24"/>
          <w:lang w:val="hr-HR"/>
        </w:rPr>
      </w:pPr>
      <w:r w:rsidRPr="00A51600">
        <w:rPr>
          <w:rFonts w:hAnsi="Times New Roman" w:ascii="Times New Roman"/>
          <w:noProof/>
          <w:sz w:val="24"/>
          <w:szCs w:val="24"/>
          <w:lang w:eastAsia="hr-HR" w:val="hr-HR"/>
        </w:rPr>
        <w:drawing>
          <wp:inline distR="0" distL="0" distB="0" distT="0">
            <wp:extent cy="1551940" cx="5666740"/>
            <wp:effectExtent b="0" r="0" t="0" l="0"/>
            <wp:docPr name="Picture 16" id="1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" id="1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y="0" x="0"/>
                      <a:ext cy="1551940" cx="5666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A1AFF" w:rsidP="00292BE5" w:rsidR="003A1AFF">
      <w:pPr>
        <w:pStyle w:val="Tijeloteksta"/>
        <w:spacing w:lineRule="auto" w:line="360"/>
        <w:rPr>
          <w:rFonts w:hAnsi="Times New Roman" w:ascii="Times New Roman"/>
          <w:sz w:val="24"/>
          <w:szCs w:val="24"/>
          <w:lang w:val="hr-HR"/>
        </w:rPr>
      </w:pPr>
    </w:p>
    <w:p w:rsidRDefault="003A1AFF" w:rsidP="00F91B02" w:rsidR="00F91B02">
      <w:pPr>
        <w:spacing w:lineRule="auto" w:line="360"/>
        <w:ind w:right="142"/>
      </w:pPr>
      <w:r>
        <w:t xml:space="preserve">U nastavku slijedi bilanca </w:t>
      </w:r>
      <w:r w:rsidR="00236ED9">
        <w:t>tvrtke na dan</w:t>
      </w:r>
      <w:r>
        <w:t xml:space="preserve"> </w:t>
      </w:r>
      <w:r w:rsidR="00E401FF">
        <w:t>3</w:t>
      </w:r>
      <w:r w:rsidR="00B11B6F">
        <w:t>1</w:t>
      </w:r>
      <w:r w:rsidR="00E401FF">
        <w:t>.</w:t>
      </w:r>
      <w:r w:rsidR="00B11B6F">
        <w:t>0</w:t>
      </w:r>
      <w:r w:rsidR="00A51600">
        <w:t>8</w:t>
      </w:r>
      <w:r w:rsidR="006C49EB">
        <w:t>.2016</w:t>
      </w:r>
      <w:r w:rsidR="00E401FF">
        <w:t>.</w:t>
      </w:r>
    </w:p>
    <w:tbl>
      <w:tblPr>
        <w:tblW w:type="dxa" w:w="9340"/>
        <w:tblInd w:type="dxa" w:w="113"/>
        <w:tblLook w:val="04A0" w:noVBand="1" w:noHBand="0" w:lastColumn="0" w:firstColumn="1" w:lastRow="0" w:firstRow="1"/>
      </w:tblPr>
      <w:tblGrid>
        <w:gridCol w:w="6700"/>
        <w:gridCol w:w="1320"/>
        <w:gridCol w:w="1320"/>
      </w:tblGrid>
      <w:tr w:rsidTr="00F549BB" w:rsidR="00F549BB">
        <w:trPr>
          <w:trHeight w:val="680"/>
        </w:trPr>
        <w:tc>
          <w:tcPr>
            <w:tcW w:type="dxa" w:w="6700"/>
            <w:tcBorders>
              <w:top w:space="0" w:sz="4" w:color="auto" w:val="single"/>
              <w:left w:space="0" w:sz="4" w:color="auto" w:val="single"/>
              <w:bottom w:space="0" w:sz="8" w:color="C0C0C0" w:val="single"/>
              <w:right w:val="nil"/>
            </w:tcBorders>
            <w:shd w:fill="C5D9F1" w:color="000000" w:val="clear"/>
            <w:vAlign w:val="center"/>
            <w:hideMark/>
          </w:tcPr>
          <w:p w:rsidRDefault="00F549BB" w:rsidR="00F549BB">
            <w:pPr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>Naziv pozicije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8" w:color="C0C0C0" w:val="single"/>
              <w:right w:val="nil"/>
            </w:tcBorders>
            <w:shd w:fill="C5D9F1" w:color="000000" w:val="clear"/>
            <w:vAlign w:val="center"/>
            <w:hideMark/>
          </w:tcPr>
          <w:p w:rsidRDefault="00F549BB" w:rsidR="00F549BB">
            <w:pPr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b/>
                <w:bCs/>
                <w:sz w:val="16"/>
                <w:szCs w:val="16"/>
              </w:rPr>
              <w:t>Prethodna godina</w:t>
            </w:r>
            <w:r>
              <w:rPr>
                <w:rFonts w:cs="Arial" w:eastAsia="Times New Roman" w:hAnsi="Arial" w:ascii="Arial"/>
                <w:b/>
                <w:bCs/>
                <w:sz w:val="16"/>
                <w:szCs w:val="16"/>
              </w:rPr>
              <w:br/>
              <w:t>(neto)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8" w:color="C0C0C0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F549BB" w:rsidR="00F549BB">
            <w:pPr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b/>
                <w:bCs/>
                <w:sz w:val="16"/>
                <w:szCs w:val="16"/>
              </w:rPr>
              <w:t>Tekuća godina</w:t>
            </w:r>
            <w:r>
              <w:rPr>
                <w:rFonts w:cs="MingLiU" w:eastAsia="MingLiU" w:hAnsi="MingLiU" w:ascii="MingLiU"/>
                <w:b/>
                <w:bCs/>
                <w:sz w:val="16"/>
                <w:szCs w:val="16"/>
              </w:rPr>
              <w:br/>
            </w:r>
            <w:r>
              <w:rPr>
                <w:rFonts w:cs="Arial" w:eastAsia="Times New Roman" w:hAnsi="Arial" w:ascii="Arial"/>
                <w:b/>
                <w:bCs/>
                <w:sz w:val="16"/>
                <w:szCs w:val="16"/>
              </w:rPr>
              <w:t>(neto)</w:t>
            </w:r>
          </w:p>
        </w:tc>
      </w:tr>
      <w:tr w:rsidTr="00F549BB" w:rsidR="00F549BB">
        <w:trPr>
          <w:trHeight w:val="260"/>
        </w:trPr>
        <w:tc>
          <w:tcPr>
            <w:tcW w:type="dxa" w:w="9340"/>
            <w:gridSpan w:val="3"/>
            <w:tcBorders>
              <w:top w:val="nil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C5D9F1" w:color="000000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>AKTIVA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>A)  POTRAŽIVANJA ZA UPISANI A NEUPLAĆENI KAPITAL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B)  DUGOTRAJNA IMOVINA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(003+010+020+029+033)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5.949.430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5.751.592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color w:val="0000D4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I. NEMATERIJALNA IMOVINA (004 do 009)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1. Izdaci za razvoj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2. Koncesije, patenti, licencije, robne i uslužne marke, softver i ostala prava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F549BB" w:rsidR="00F549BB">
        <w:trPr>
          <w:trHeight w:val="24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3. Goodwill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4. Predujmovi za nabavu nematerijalne imovine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5. Nematerijalna imovina u pripremi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6. Ostala nematerijalna imovina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color w:val="0000D4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II. MATERIJALNA IMOVINA (011 do 019)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5.922.682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5.724.844</w:t>
            </w:r>
          </w:p>
        </w:tc>
      </w:tr>
      <w:tr w:rsidTr="00F549BB" w:rsidR="00F549BB">
        <w:trPr>
          <w:trHeight w:val="24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1. Zemljište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1.338.434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1.338.434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2. Građevinski objekti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4.304.908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4.224.173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3. Postrojenja i oprema 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90.397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22.812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4. Alati, pogonski inventar i transportna imovina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188.943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139.425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5. Biološka imovina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6. Predujmovi za materijalnu imovinu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7. Materijalna imovina u pripremi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8. Ostala materijalna imovina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9. Ulaganje u nekretnine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color w:val="0000D4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III. DUGOTRAJNA FINANCIJSKA IMOVINA (021 do 028)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1. Udjeli (dionice) kod povezanih poduzetnika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2. Dani zajmovi povezanim poduzetnicima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3. Sudjelujući interesi (udjeli)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4. Zajmovi dani poduzetnicima u kojima postoje sudjelujući interesi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5. Ulaganja u vrijednosne papire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6. Dani zajmovi, depoziti i slično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7. Ostala dugotrajna financijska imovina 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8.  Ulaganja koja se obračunavaju metodom udjela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color w:val="0000D4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IV. POTRAŽIVANJA (030 do 032)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26.748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26.748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1. Potraživanja od povezanih poduzetnika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2. Potraživanja po osnovi prodaje na kredit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3. Ostala potraživanja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26.748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26.748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color w:val="0000D4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V. ODGOĐENA POREZNA IMOVINA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C)  KRATKOTRAJNA IMOVINA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(035+043+050+058)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5.444.921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2.767.748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color w:val="0000D4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I. ZALIHE (036 do 042)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4.564.282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2.484.916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1. Sirovine i materijal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1.175.490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736.212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2. Proizvodnja u tijeku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3. Gotovi proizvodi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3.353.868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1.701.715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 xml:space="preserve">   4. Trgovačka roba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46.989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5. Predujmovi za zalihe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34.924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6. Dugotrajna imovina namijenjena prodaji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7. Biološka imovina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color w:val="0000D4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II. POTRAŽIVANJA (044 do 049)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841.178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281.022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1. Potraživanja od povezanih poduzetnika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2. Potraživanja od kupaca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724.916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227.619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3. Potraživanja od sudjelujućih poduzetnika 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4. Potraživanja od zaposlenika i članova poduzetnika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4.000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23.945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5. Potraživanja od države i drugih institucija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14.177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14.626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6. Ostala potraživanja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98.085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14.832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color w:val="0000D4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III. KRATKOTRAJNA FINANCIJSKA IMOVINA (051 do 057)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21.631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510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1. Udjeli (dionice) kod povezanih poduzetnika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2. Dani zajmovi povezanim poduzetnicima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3. Sudjelujući interesi (udjeli) 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4. Zajmovi dani poduzetnicima u kojima postoje sudjelujući interesi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5. Ulaganja u vrijednosne papire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6. Dani zajmovi, depoziti i slično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21.631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510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7. Ostala financijska imovina 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color w:val="0000D4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IV. NOVAC U BANCI I BLAGAJNI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17.830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1.300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>D)  PLAĆENI TROŠKOVI BUDUĆEG RAZDOBLJA I OBRAČUNATI PRIHODI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E)  UKUPNO AKTIVA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(001+002+034+059)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11.394.351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8.519.340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>F)  IZVANBILANČNI ZAPISI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F549BB" w:rsidR="00F549BB">
        <w:trPr>
          <w:trHeight w:val="260"/>
        </w:trPr>
        <w:tc>
          <w:tcPr>
            <w:tcW w:type="dxa" w:w="934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C0C0C0" w:color="000000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</w:rPr>
              <w:t>PASIVA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A)  KAPITAL I REZERVE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(063+064+065+071+072+075+078)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4.956.613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3.870.695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color w:val="0000D4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I. TEMELJNI (UPISANI) KAPITAL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color w:val="0000D4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II. KAPITALNE REZERVE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2.433.987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2.433.987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color w:val="0000D4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III. REZERVE IZ DOBITI (066+067-068+069+070)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1. Zakonske rezerve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2. Rezerve za vlastite dionice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3. Vlastite dionice i udjeli (odbitna stavka)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4. Statutarne rezerve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5. Ostale rezerve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color w:val="0000D4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IV. REVALORIZACIJSKE REZERVE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2.592.151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2.592.151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color w:val="0000D4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V. ZADRŽANA DOBIT ILI PRENESENI GUBITAK (073-074)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188.897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-917.694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ind w:firstLineChars="100" w:firstLine="18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1. Zadržana dobit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188.897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188.897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ind w:firstLineChars="100" w:firstLine="18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2. Preneseni gubitak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1.106.591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color w:val="0000D4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VI. DOBIT ILI GUBITAK POSLOVNE GODINE (076-077)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-258.422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-237.749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ind w:firstLineChars="100" w:firstLine="18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1. Dobit poslovne godine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ind w:firstLineChars="100" w:firstLine="18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2. Gubitak poslovne godine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258.422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237.749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color w:val="0000D4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VII. MANJINSKI INTERES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B)  REZERVIRANJA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(080 do 082)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1. Rezerviranja za mirovine, otpremnine i slične obveze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2. Rezerviranja za porezne obveze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3. Druga rezerviranja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C)  DUGOROČNE OBVEZE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(084 do 092)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2.209.811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1.736.243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1. Obveze prema povezanim poduzetnicima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2. Obveze za zajmove, depozite i slično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652.376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596.298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3. Obveze prema bankama i drugim financijskim institucijama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1.557.435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1.139.945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4. Obveze za predujmove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5. Obveze prema dobavljačima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6. Obveze po vrijednosnim papirima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7. Obveze prema poduzetnicima u kojima postoje sudjelujući interesi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8. Ostale dugoročne obveze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9. Odgođena porezna obveza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D)  KRATKOROČNE OBVEZE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(094 do 105)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4.227.927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2.912.402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1. Obveze prema povezanim poduzetnicima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2. Obveze za zajmove, depozite i slično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3. Obveze prema bankama i drugim financijskim institucijama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1.110.190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1.090.690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4. Obveze za predujmove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75.745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876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 xml:space="preserve">     5. Obveze prema dobavljačima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2.509.995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1.445.340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6. Obveze po vrijednosnim papirima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7. Obveze prema poduzetnicima u kojima postoje sudjelujući interesi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8. Obveze prema zaposlenicima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305.382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140.425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9. Obveze za poreze, doprinose i slična davanja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226.615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235.071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10. Obveze s osnove udjela u rezultatu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11. Obveze po osnovi dugotrajne imovine namijenjene prodaji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12. Ostale kratkoročne obveze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>E) ODGOĐENO PLAĆANJE TROŠKOVA I PRIHOD BUDUĆEGA RAZDOBLJA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F549BB" w:rsidR="00F549BB">
        <w:trPr>
          <w:trHeight w:val="220"/>
        </w:trPr>
        <w:tc>
          <w:tcPr>
            <w:tcW w:type="dxa" w:w="6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49BB" w:rsidR="00F549BB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F) UKUPNO – PASIVA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(062+079+083+093+106)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11.394.351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F549BB" w:rsidR="00F549BB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8.519.340</w:t>
            </w:r>
          </w:p>
        </w:tc>
      </w:tr>
    </w:tbl>
    <w:p w:rsidRDefault="003A1AFF" w:rsidP="00401D60" w:rsidR="003A1AFF" w:rsidRPr="00401D60">
      <w:pPr>
        <w:spacing w:lineRule="auto" w:line="360"/>
        <w:jc w:val="both"/>
      </w:pPr>
    </w:p>
    <w:p w:rsidRDefault="00206697" w:rsidP="00BC2856" w:rsidR="000B0721" w:rsidRPr="00F549BB">
      <w:pPr>
        <w:pStyle w:val="Naslov2"/>
      </w:pPr>
      <w:bookmarkStart w:name="_Toc451235622" w:id="20"/>
      <w:bookmarkStart w:name="_Toc336148785" w:id="21"/>
      <w:bookmarkStart w:name="_Toc462747745" w:id="22"/>
      <w:bookmarkStart w:name="_Toc283111385" w:id="23"/>
      <w:bookmarkStart w:name="_Toc292093911" w:id="24"/>
      <w:r w:rsidRPr="00F549BB">
        <w:t xml:space="preserve">Opis činjenica i okolnosti iz kojih proizlazi postojanje </w:t>
      </w:r>
      <w:bookmarkEnd w:id="20"/>
      <w:r w:rsidR="000B0721" w:rsidRPr="00F549BB">
        <w:rPr>
          <w:lang w:val="en-US"/>
        </w:rPr>
        <w:t>prijeteće nesposobnosti za plaćanje</w:t>
      </w:r>
      <w:bookmarkEnd w:id="21"/>
      <w:bookmarkEnd w:id="22"/>
    </w:p>
    <w:p w:rsidRDefault="001F1575" w:rsidP="00057675" w:rsidR="001F1575">
      <w:pPr>
        <w:spacing w:lineRule="auto" w:line="360"/>
        <w:jc w:val="both"/>
      </w:pPr>
    </w:p>
    <w:p w:rsidRDefault="00FF6576" w:rsidP="00F549BB" w:rsidR="006771C9" w:rsidRPr="00F549BB">
      <w:pPr>
        <w:spacing w:lineRule="auto" w:line="360"/>
        <w:jc w:val="both"/>
        <w:rPr>
          <w:rFonts w:eastAsia="Times New Roman"/>
          <w:color w:themeColor="text1" w:val="000000"/>
        </w:rPr>
      </w:pPr>
      <w:r w:rsidRPr="00F549BB">
        <w:rPr>
          <w:color w:themeColor="text1" w:val="000000"/>
        </w:rPr>
        <w:t>Sukladno čl. 4. Stečajnog Zakon</w:t>
      </w:r>
      <w:r w:rsidR="00F549BB" w:rsidRPr="00F549BB">
        <w:rPr>
          <w:color w:themeColor="text1" w:val="000000"/>
        </w:rPr>
        <w:t xml:space="preserve">a </w:t>
      </w:r>
      <w:r w:rsidRPr="00F549BB">
        <w:rPr>
          <w:color w:themeColor="text1" w:val="000000"/>
        </w:rPr>
        <w:t>u uvjetima nastupa nelikvidnosti koje se ogleda u nemogućnost</w:t>
      </w:r>
      <w:r w:rsidR="00A7193C" w:rsidRPr="00F549BB">
        <w:rPr>
          <w:color w:themeColor="text1" w:val="000000"/>
        </w:rPr>
        <w:t xml:space="preserve">i da </w:t>
      </w:r>
      <w:r w:rsidR="00027340" w:rsidRPr="00F549BB">
        <w:rPr>
          <w:color w:themeColor="text1" w:val="000000"/>
        </w:rPr>
        <w:t xml:space="preserve">obrt </w:t>
      </w:r>
      <w:r w:rsidR="0079264C" w:rsidRPr="00F549BB">
        <w:rPr>
          <w:color w:themeColor="text1" w:val="000000"/>
        </w:rPr>
        <w:t>Juratex</w:t>
      </w:r>
      <w:r w:rsidR="005B3657" w:rsidRPr="00F549BB">
        <w:rPr>
          <w:color w:themeColor="text1" w:val="000000"/>
        </w:rPr>
        <w:t xml:space="preserve"> underwear </w:t>
      </w:r>
      <w:r w:rsidRPr="00F549BB">
        <w:rPr>
          <w:color w:themeColor="text1" w:val="000000"/>
        </w:rPr>
        <w:t>poduzetim mjerama financijskog restrukturiranja izvan po</w:t>
      </w:r>
      <w:r w:rsidR="00581940" w:rsidRPr="00F549BB">
        <w:rPr>
          <w:color w:themeColor="text1" w:val="000000"/>
        </w:rPr>
        <w:t>stupka predstečajne nagodbe sam</w:t>
      </w:r>
      <w:r w:rsidRPr="00F549BB">
        <w:rPr>
          <w:color w:themeColor="text1" w:val="000000"/>
        </w:rPr>
        <w:t xml:space="preserve"> us</w:t>
      </w:r>
      <w:r w:rsidR="006771C9" w:rsidRPr="00F549BB">
        <w:rPr>
          <w:color w:themeColor="text1" w:val="000000"/>
        </w:rPr>
        <w:t xml:space="preserve">postavi stanje likvidnosti, </w:t>
      </w:r>
      <w:r w:rsidR="005B3657" w:rsidRPr="00F549BB">
        <w:rPr>
          <w:color w:themeColor="text1" w:val="000000"/>
        </w:rPr>
        <w:t>obrt</w:t>
      </w:r>
      <w:r w:rsidR="001D5824" w:rsidRPr="00F549BB">
        <w:rPr>
          <w:color w:themeColor="text1" w:val="000000"/>
        </w:rPr>
        <w:t xml:space="preserve"> </w:t>
      </w:r>
      <w:r w:rsidRPr="00F549BB">
        <w:rPr>
          <w:color w:themeColor="text1" w:val="000000"/>
        </w:rPr>
        <w:t xml:space="preserve">pokreće postupak predstečajne nagodbe. </w:t>
      </w:r>
      <w:r w:rsidR="006771C9" w:rsidRPr="00F549BB">
        <w:rPr>
          <w:color w:themeColor="text1" w:val="000000"/>
        </w:rPr>
        <w:t>Prijeteća nesposobnost za plaćanje evidentna je, a ogleda se u činjenici da dužnik na dan 31.0</w:t>
      </w:r>
      <w:r w:rsidR="00F549BB" w:rsidRPr="00F549BB">
        <w:rPr>
          <w:color w:themeColor="text1" w:val="000000"/>
        </w:rPr>
        <w:t>8</w:t>
      </w:r>
      <w:r w:rsidR="006771C9" w:rsidRPr="00F549BB">
        <w:rPr>
          <w:color w:themeColor="text1" w:val="000000"/>
        </w:rPr>
        <w:t xml:space="preserve">.2016. ima </w:t>
      </w:r>
      <w:r w:rsidR="00DE6864" w:rsidRPr="00F549BB">
        <w:rPr>
          <w:color w:themeColor="text1" w:val="000000"/>
        </w:rPr>
        <w:t>sve</w:t>
      </w:r>
      <w:r w:rsidR="006771C9" w:rsidRPr="00F549BB">
        <w:rPr>
          <w:color w:themeColor="text1" w:val="000000"/>
        </w:rPr>
        <w:t xml:space="preserve">ukupno </w:t>
      </w:r>
      <w:r w:rsidR="00F549BB" w:rsidRPr="00F549BB">
        <w:rPr>
          <w:rFonts w:eastAsia="Times New Roman"/>
          <w:color w:themeColor="text1" w:val="000000"/>
        </w:rPr>
        <w:t xml:space="preserve">4.648.645 </w:t>
      </w:r>
      <w:r w:rsidR="00DE6864" w:rsidRPr="00F549BB">
        <w:rPr>
          <w:rFonts w:eastAsia="Times New Roman"/>
          <w:bCs/>
          <w:color w:themeColor="text1" w:val="000000"/>
        </w:rPr>
        <w:t xml:space="preserve">kn </w:t>
      </w:r>
      <w:r w:rsidR="00F549BB" w:rsidRPr="00F549BB">
        <w:rPr>
          <w:rFonts w:eastAsia="Times New Roman"/>
          <w:bCs/>
          <w:color w:themeColor="text1" w:val="000000"/>
        </w:rPr>
        <w:t xml:space="preserve">bilančnih </w:t>
      </w:r>
      <w:r w:rsidR="00DE6864" w:rsidRPr="00F549BB">
        <w:rPr>
          <w:rFonts w:eastAsia="Times New Roman"/>
          <w:bCs/>
          <w:color w:themeColor="text1" w:val="000000"/>
        </w:rPr>
        <w:t xml:space="preserve">obaveza, da je u blokadi i </w:t>
      </w:r>
      <w:r w:rsidR="00DE6864" w:rsidRPr="00AE7397">
        <w:rPr>
          <w:rFonts w:eastAsia="Times New Roman"/>
          <w:bCs/>
          <w:color w:themeColor="text1" w:val="000000"/>
        </w:rPr>
        <w:t>da ima nepodmire</w:t>
      </w:r>
      <w:r w:rsidR="00A13EA8" w:rsidRPr="00AE7397">
        <w:rPr>
          <w:rFonts w:eastAsia="Times New Roman"/>
          <w:bCs/>
          <w:color w:themeColor="text1" w:val="000000"/>
        </w:rPr>
        <w:t xml:space="preserve">nih obaveza prema </w:t>
      </w:r>
      <w:r w:rsidR="00AE7397" w:rsidRPr="00AE7397">
        <w:rPr>
          <w:rFonts w:eastAsia="Times New Roman"/>
          <w:bCs/>
          <w:color w:themeColor="text1" w:val="000000"/>
        </w:rPr>
        <w:t>zaposlenicima  u ukupnom iznosu od 140.425 kn.</w:t>
      </w:r>
    </w:p>
    <w:p w:rsidRDefault="007D4B9A" w:rsidP="00F549BB" w:rsidR="007D4B9A" w:rsidRPr="00F549BB">
      <w:pPr>
        <w:spacing w:lineRule="auto" w:line="360"/>
        <w:jc w:val="both"/>
        <w:rPr>
          <w:rFonts w:eastAsia="Times New Roman"/>
          <w:bCs/>
          <w:color w:themeColor="text1" w:val="000000"/>
        </w:rPr>
      </w:pPr>
      <w:r w:rsidRPr="00F549BB">
        <w:rPr>
          <w:rFonts w:eastAsia="Times New Roman"/>
          <w:bCs/>
          <w:color w:themeColor="text1" w:val="000000"/>
        </w:rPr>
        <w:t xml:space="preserve">Bez provedba mjera financijskog i operativnog restrukturiranja, </w:t>
      </w:r>
      <w:r w:rsidR="001D5824" w:rsidRPr="00F549BB">
        <w:rPr>
          <w:rFonts w:eastAsia="Times New Roman"/>
          <w:bCs/>
          <w:color w:themeColor="text1" w:val="000000"/>
        </w:rPr>
        <w:t xml:space="preserve">obrt   </w:t>
      </w:r>
      <w:r w:rsidRPr="00F549BB">
        <w:rPr>
          <w:rFonts w:eastAsia="Times New Roman"/>
          <w:bCs/>
          <w:color w:themeColor="text1" w:val="000000"/>
        </w:rPr>
        <w:t xml:space="preserve">neće biti u mogućnosti podmirivati obaveze u skladu sa zakonskim rokovima. </w:t>
      </w:r>
    </w:p>
    <w:p w:rsidRDefault="004001B3" w:rsidP="006771C9" w:rsidR="004001B3">
      <w:pPr>
        <w:spacing w:lineRule="auto" w:line="360"/>
        <w:rPr>
          <w:color w:val="323235"/>
        </w:rPr>
      </w:pPr>
    </w:p>
    <w:p w:rsidRDefault="001F5635" w:rsidP="006771C9" w:rsidR="00FF6576" w:rsidRPr="00F549BB">
      <w:pPr>
        <w:pStyle w:val="Naslov2"/>
      </w:pPr>
      <w:bookmarkStart w:name="_Toc462747746" w:id="25"/>
      <w:r w:rsidRPr="00F549BB">
        <w:t xml:space="preserve">Opis činjenica i okolnosti iz kojih proizlazi postojanje </w:t>
      </w:r>
      <w:r w:rsidR="00FF6576" w:rsidRPr="00F549BB">
        <w:t>postojanje uvjeta za otvaranj</w:t>
      </w:r>
      <w:r w:rsidR="008E45A2" w:rsidRPr="00F549BB">
        <w:t>e postupka predstečajne nagodbe</w:t>
      </w:r>
      <w:bookmarkEnd w:id="25"/>
    </w:p>
    <w:p w:rsidRDefault="004001B3" w:rsidP="004001B3" w:rsidR="004001B3" w:rsidRPr="004001B3">
      <w:pPr>
        <w:spacing w:lineRule="auto" w:line="360"/>
        <w:jc w:val="both"/>
      </w:pPr>
    </w:p>
    <w:p w:rsidRDefault="004001B3" w:rsidP="004001B3" w:rsidR="004001B3" w:rsidRPr="004001B3">
      <w:pPr>
        <w:spacing w:lineRule="auto" w:line="360"/>
        <w:jc w:val="both"/>
      </w:pPr>
      <w:r w:rsidRPr="004001B3">
        <w:t>Činjenice i okolnosti iz kojih proizlazi postojanje uvjeta za otvaranje postupka predsteča</w:t>
      </w:r>
      <w:r w:rsidR="008E45A2">
        <w:t xml:space="preserve">jne nagodbe dati su u nastavku. </w:t>
      </w:r>
    </w:p>
    <w:p w:rsidRDefault="004001B3" w:rsidP="004001B3" w:rsidR="004001B3" w:rsidRPr="004001B3">
      <w:pPr>
        <w:spacing w:lineRule="auto" w:line="360"/>
      </w:pPr>
    </w:p>
    <w:p w:rsidRDefault="001E7766" w:rsidP="00135183" w:rsidR="00135183">
      <w:pPr>
        <w:spacing w:lineRule="auto" w:line="360"/>
        <w:jc w:val="both"/>
      </w:pPr>
      <w:r>
        <w:rPr>
          <w:lang w:eastAsia="de-DE"/>
        </w:rPr>
        <w:t>O</w:t>
      </w:r>
      <w:r w:rsidR="00C66404">
        <w:rPr>
          <w:lang w:eastAsia="de-DE"/>
        </w:rPr>
        <w:t>hrabreni stalnim rastom prodaje</w:t>
      </w:r>
      <w:r>
        <w:rPr>
          <w:lang w:eastAsia="de-DE"/>
        </w:rPr>
        <w:t xml:space="preserve"> u 2008. godini </w:t>
      </w:r>
      <w:r w:rsidR="00C66404">
        <w:rPr>
          <w:lang w:eastAsia="de-DE"/>
        </w:rPr>
        <w:t xml:space="preserve"> i sukladno planovima za budućnost,  o</w:t>
      </w:r>
      <w:r w:rsidR="00C66404">
        <w:t xml:space="preserve">brt </w:t>
      </w:r>
      <w:r w:rsidR="00737019">
        <w:t xml:space="preserve"> </w:t>
      </w:r>
      <w:r w:rsidR="00C66404">
        <w:t xml:space="preserve">uz potporu poslovnih banaka </w:t>
      </w:r>
      <w:r w:rsidR="00737019">
        <w:t xml:space="preserve">ulazi u </w:t>
      </w:r>
      <w:r w:rsidR="0034092E">
        <w:t xml:space="preserve"> velike </w:t>
      </w:r>
      <w:r w:rsidR="00737019">
        <w:t xml:space="preserve">kapitalne </w:t>
      </w:r>
      <w:r w:rsidR="00C26748">
        <w:t>investicije ( kupnja poslovnih nekretnina i njihova dogradnja</w:t>
      </w:r>
      <w:r w:rsidR="00F712CF">
        <w:t xml:space="preserve"> te opremanje </w:t>
      </w:r>
      <w:r w:rsidR="00C26748">
        <w:t>).</w:t>
      </w:r>
      <w:r w:rsidR="00C66404">
        <w:t xml:space="preserve">  </w:t>
      </w:r>
      <w:r w:rsidR="0093067F">
        <w:t xml:space="preserve">U međuvremenu dolazi do ekonomske krize, no to se na njih ne  odražava direktno jer je posao disperziran na različita tržišta (Njemačka, Švicarska, Slovenija i Hrvatska). 2012. godine ostvarili su rast prometa od gotovo 30 % s realnim projekcijama istog takvog rasta i u 2013. godini. </w:t>
      </w:r>
    </w:p>
    <w:p w:rsidRDefault="0093067F" w:rsidP="00135183" w:rsidR="00135183">
      <w:pPr>
        <w:spacing w:lineRule="auto" w:line="360"/>
        <w:jc w:val="both"/>
      </w:pPr>
      <w:r>
        <w:lastRenderedPageBreak/>
        <w:t xml:space="preserve">Međutim, </w:t>
      </w:r>
      <w:r w:rsidR="00135183">
        <w:t>dolazi do problema sa jednim od najvećih inozemnih kupaca  ( NKD ) uslijed pronevjere veće svote novaca kod njih i otkazivanja narudžbe od 500.000 EUR. Kako su u tom trenutku sirovina i pribor</w:t>
      </w:r>
      <w:r>
        <w:t xml:space="preserve"> za navedeni posao </w:t>
      </w:r>
      <w:r w:rsidR="00135183">
        <w:t>već osigurani, dolazi do pomanjkanja obrtnih sredstava. Iako obrt pronalazi novog kupca KAUFLAND GmbH, sa narudžbama i opsegom posla koji bi idealno nadomjestio problem koji je nastao sa NKD</w:t>
      </w:r>
      <w:r w:rsidR="001E7766">
        <w:t>-</w:t>
      </w:r>
      <w:r w:rsidR="00135183">
        <w:t xml:space="preserve">om, ne uspijevaju pronaći financijera za taj posao. </w:t>
      </w:r>
    </w:p>
    <w:p w:rsidRDefault="00B741E4" w:rsidP="007C1A4A" w:rsidR="00C66404" w:rsidRPr="008849D2">
      <w:pPr>
        <w:spacing w:lineRule="auto" w:line="360"/>
        <w:ind w:right="142"/>
        <w:rPr>
          <w:color w:themeColor="text1" w:val="000000"/>
        </w:rPr>
      </w:pPr>
      <w:r w:rsidRPr="008849D2">
        <w:rPr>
          <w:color w:themeColor="text1" w:val="000000"/>
        </w:rPr>
        <w:t>Z</w:t>
      </w:r>
      <w:r w:rsidR="0093067F" w:rsidRPr="008849D2">
        <w:rPr>
          <w:color w:themeColor="text1" w:val="000000"/>
        </w:rPr>
        <w:t>bog nedostatka fina</w:t>
      </w:r>
      <w:r w:rsidRPr="008849D2">
        <w:rPr>
          <w:color w:themeColor="text1" w:val="000000"/>
        </w:rPr>
        <w:t>ncijskih sredstava ne uspijevaju</w:t>
      </w:r>
      <w:r w:rsidR="0093067F" w:rsidRPr="008849D2">
        <w:rPr>
          <w:color w:themeColor="text1" w:val="000000"/>
        </w:rPr>
        <w:t xml:space="preserve"> uredno isporučivati i nekim drugim inozemnim kupcima, a što dovodi do toga da se oni okreću drugim dobavljačima</w:t>
      </w:r>
      <w:r w:rsidR="00F712CF" w:rsidRPr="008849D2">
        <w:rPr>
          <w:color w:themeColor="text1" w:val="000000"/>
        </w:rPr>
        <w:t xml:space="preserve">. </w:t>
      </w:r>
    </w:p>
    <w:p w:rsidRDefault="00F712CF" w:rsidP="00A13EA8" w:rsidR="00F712CF" w:rsidRPr="008849D2">
      <w:pPr>
        <w:spacing w:lineRule="auto" w:line="360"/>
        <w:jc w:val="both"/>
        <w:rPr>
          <w:color w:themeColor="text1" w:val="000000"/>
        </w:rPr>
      </w:pPr>
      <w:r w:rsidRPr="00AE7397">
        <w:rPr>
          <w:color w:themeColor="text1" w:val="000000"/>
        </w:rPr>
        <w:t xml:space="preserve">Ujedno kasne u otplati obaveza prema poslovnim bankama te pokušavaju dogovoriti reprogram obaveza, no bezuspješno, iako su i </w:t>
      </w:r>
      <w:r w:rsidR="0088289D" w:rsidRPr="00AE7397">
        <w:rPr>
          <w:color w:themeColor="text1" w:val="000000"/>
        </w:rPr>
        <w:t xml:space="preserve">HBOR, HAMAG </w:t>
      </w:r>
      <w:r w:rsidRPr="00AE7397">
        <w:rPr>
          <w:color w:themeColor="text1" w:val="000000"/>
        </w:rPr>
        <w:t>bili</w:t>
      </w:r>
      <w:r w:rsidR="0088289D" w:rsidRPr="00AE7397">
        <w:rPr>
          <w:color w:themeColor="text1" w:val="000000"/>
        </w:rPr>
        <w:t xml:space="preserve"> spremne podržati </w:t>
      </w:r>
      <w:r w:rsidRPr="00AE7397">
        <w:rPr>
          <w:color w:themeColor="text1" w:val="000000"/>
        </w:rPr>
        <w:t>projekte</w:t>
      </w:r>
      <w:r w:rsidR="00AE7397" w:rsidRPr="00AE7397">
        <w:rPr>
          <w:color w:themeColor="text1" w:val="000000"/>
        </w:rPr>
        <w:t>.</w:t>
      </w:r>
      <w:r w:rsidR="00A13EA8">
        <w:rPr>
          <w:color w:themeColor="text1" w:val="000000"/>
        </w:rPr>
        <w:t xml:space="preserve"> </w:t>
      </w:r>
    </w:p>
    <w:p w:rsidRDefault="00AE7397" w:rsidP="00F712CF" w:rsidR="00F712CF" w:rsidRPr="008849D2">
      <w:pPr>
        <w:spacing w:lineRule="auto" w:line="360"/>
        <w:jc w:val="both"/>
        <w:rPr>
          <w:color w:themeColor="text1" w:val="000000"/>
        </w:rPr>
      </w:pPr>
      <w:r>
        <w:rPr>
          <w:color w:themeColor="text1" w:val="000000"/>
        </w:rPr>
        <w:t>Dalje se reda problem</w:t>
      </w:r>
      <w:r w:rsidR="00F712CF" w:rsidRPr="008849D2">
        <w:rPr>
          <w:color w:themeColor="text1" w:val="000000"/>
        </w:rPr>
        <w:t xml:space="preserve"> za problemom – ne mogu redovito isplaćivati plaće, ne mogu</w:t>
      </w:r>
      <w:r w:rsidR="0088289D" w:rsidRPr="008849D2">
        <w:rPr>
          <w:color w:themeColor="text1" w:val="000000"/>
        </w:rPr>
        <w:t xml:space="preserve"> uredno plać</w:t>
      </w:r>
      <w:r w:rsidR="00F712CF" w:rsidRPr="008849D2">
        <w:rPr>
          <w:color w:themeColor="text1" w:val="000000"/>
        </w:rPr>
        <w:t>ati dobavljačima sirovinu i sl</w:t>
      </w:r>
      <w:r w:rsidR="008A05BD">
        <w:rPr>
          <w:color w:themeColor="text1" w:val="000000"/>
        </w:rPr>
        <w:t>.</w:t>
      </w:r>
      <w:r w:rsidR="00F712CF" w:rsidRPr="008849D2">
        <w:rPr>
          <w:color w:themeColor="text1" w:val="000000"/>
        </w:rPr>
        <w:t xml:space="preserve">, dolazi do otpuštanja svih radnika, no orijentiraju se na uslužnu proizvodnju i dalje nastavljaju s radom. I onda dolazi do blokade poslovnog računa što im je posve onemogućilo koliko toliko redovno poslovanje. </w:t>
      </w:r>
    </w:p>
    <w:p w:rsidRDefault="00CF0668" w:rsidP="001F1575" w:rsidR="00CF0668" w:rsidRPr="001F1575">
      <w:pPr>
        <w:spacing w:lineRule="auto" w:line="360"/>
        <w:jc w:val="both"/>
        <w:rPr>
          <w:color w:val="FF6600"/>
        </w:rPr>
      </w:pPr>
    </w:p>
    <w:p w:rsidRDefault="00673A16" w:rsidP="000B0721" w:rsidR="00673A16" w:rsidRPr="00944571">
      <w:pPr>
        <w:pStyle w:val="Naslov2"/>
      </w:pPr>
      <w:bookmarkStart w:name="_Toc451235623" w:id="26"/>
      <w:bookmarkStart w:name="_Toc462747747" w:id="27"/>
      <w:bookmarkStart w:name="_Toc273607768" w:id="28"/>
      <w:bookmarkEnd w:id="23"/>
      <w:bookmarkEnd w:id="24"/>
      <w:r w:rsidRPr="00944571">
        <w:t>Ukupne obveze društva</w:t>
      </w:r>
      <w:bookmarkEnd w:id="26"/>
      <w:bookmarkEnd w:id="27"/>
      <w:r w:rsidRPr="00944571">
        <w:t xml:space="preserve"> </w:t>
      </w:r>
    </w:p>
    <w:p w:rsidRDefault="00FE00A5" w:rsidP="00FE00A5" w:rsidR="00FE00A5">
      <w:pPr>
        <w:spacing w:lineRule="auto" w:line="360"/>
      </w:pPr>
    </w:p>
    <w:p w:rsidRDefault="00673A16" w:rsidP="00AD7319" w:rsidR="00673A16" w:rsidRPr="00AD7319">
      <w:pPr>
        <w:spacing w:lineRule="auto" w:line="360"/>
      </w:pPr>
      <w:r>
        <w:t>Ukupne obveze društva</w:t>
      </w:r>
      <w:r w:rsidR="009073E6">
        <w:t xml:space="preserve"> </w:t>
      </w:r>
      <w:r w:rsidR="001D5824">
        <w:t xml:space="preserve">Obrt   </w:t>
      </w:r>
      <w:r w:rsidR="002A4FF6">
        <w:t xml:space="preserve">Juratex underwear underwear </w:t>
      </w:r>
      <w:r>
        <w:t xml:space="preserve">očitane iz bilance na dan </w:t>
      </w:r>
      <w:r w:rsidR="00B11B6F">
        <w:t>31</w:t>
      </w:r>
      <w:r>
        <w:t>.</w:t>
      </w:r>
      <w:r w:rsidR="00B11B6F">
        <w:t>0</w:t>
      </w:r>
      <w:r w:rsidR="008849D2">
        <w:t>8</w:t>
      </w:r>
      <w:r w:rsidR="006C3722">
        <w:t>.2016</w:t>
      </w:r>
      <w:r>
        <w:t>. godine iznose</w:t>
      </w:r>
      <w:r w:rsidR="00AD7319">
        <w:t xml:space="preserve"> </w:t>
      </w:r>
      <w:r w:rsidR="00AD7319" w:rsidRPr="00AD7319">
        <w:t xml:space="preserve">4.648.645 </w:t>
      </w:r>
      <w:r>
        <w:t xml:space="preserve"> kn</w:t>
      </w:r>
      <w:r w:rsidR="00FE00A5">
        <w:t xml:space="preserve">. </w:t>
      </w:r>
    </w:p>
    <w:p w:rsidRDefault="00673A16" w:rsidP="00AD7319" w:rsidR="00673A16">
      <w:pPr>
        <w:spacing w:lineRule="auto" w:line="360"/>
      </w:pPr>
    </w:p>
    <w:p w:rsidRDefault="00D42D4E" w:rsidP="00AD7319" w:rsidR="00D42D4E">
      <w:pPr>
        <w:spacing w:lineRule="auto" w:line="360"/>
        <w:rPr>
          <w:b/>
          <w:u w:val="single"/>
        </w:rPr>
      </w:pPr>
      <w:r w:rsidRPr="00D42D4E">
        <w:rPr>
          <w:b/>
          <w:u w:val="single"/>
        </w:rPr>
        <w:t>Neosigurani vjerovnici:</w:t>
      </w:r>
    </w:p>
    <w:p w:rsidRDefault="00012A88" w:rsidP="00AD7319" w:rsidR="00012A88" w:rsidRPr="00D42D4E">
      <w:pPr>
        <w:spacing w:lineRule="auto" w:line="360"/>
        <w:rPr>
          <w:b/>
          <w:u w:val="single"/>
        </w:rPr>
      </w:pPr>
    </w:p>
    <w:tbl>
      <w:tblPr>
        <w:tblW w:type="dxa" w:w="8941"/>
        <w:jc w:val="center"/>
        <w:tblLook w:val="04A0" w:noVBand="1" w:noHBand="0" w:lastColumn="0" w:firstColumn="1" w:lastRow="0" w:firstRow="1"/>
      </w:tblPr>
      <w:tblGrid>
        <w:gridCol w:w="718"/>
        <w:gridCol w:w="1985"/>
        <w:gridCol w:w="4316"/>
        <w:gridCol w:w="1922"/>
      </w:tblGrid>
      <w:tr w:rsidTr="00012A88" w:rsidR="00D42D4E" w:rsidRPr="0056736E">
        <w:trPr>
          <w:trHeight w:val="857"/>
          <w:jc w:val="center"/>
        </w:trPr>
        <w:tc>
          <w:tcPr>
            <w:tcW w:type="dxa" w:w="7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D42D4E" w:rsidR="00D42D4E" w:rsidRPr="0056736E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56736E">
              <w:rPr>
                <w:rFonts w:eastAsia="Times New Roman"/>
                <w:color w:val="000000"/>
                <w:sz w:val="21"/>
              </w:rPr>
              <w:t>RB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D42D4E" w:rsidR="00D42D4E" w:rsidRPr="0056736E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56736E">
              <w:rPr>
                <w:rFonts w:eastAsia="Times New Roman"/>
                <w:color w:val="000000"/>
                <w:sz w:val="21"/>
              </w:rPr>
              <w:t>OIB</w:t>
            </w:r>
          </w:p>
        </w:tc>
        <w:tc>
          <w:tcPr>
            <w:tcW w:type="dxa" w:w="43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D42D4E" w:rsidR="00D42D4E" w:rsidRPr="0056736E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56736E">
              <w:rPr>
                <w:rFonts w:eastAsia="Times New Roman"/>
                <w:color w:val="000000"/>
                <w:sz w:val="21"/>
              </w:rPr>
              <w:t>NAZIV VJEROVNIKA</w:t>
            </w:r>
          </w:p>
        </w:tc>
        <w:tc>
          <w:tcPr>
            <w:tcW w:type="dxa" w:w="19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D42D4E" w:rsidR="00D42D4E" w:rsidRPr="0056736E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56736E">
              <w:rPr>
                <w:rFonts w:eastAsia="Times New Roman"/>
                <w:color w:val="000000"/>
                <w:sz w:val="21"/>
              </w:rPr>
              <w:t>IZNOS OBVEZE</w:t>
            </w:r>
          </w:p>
        </w:tc>
      </w:tr>
      <w:tr w:rsidTr="00012A88" w:rsidR="00D42D4E" w:rsidRPr="0056736E">
        <w:trPr>
          <w:trHeight w:val="284"/>
          <w:jc w:val="center"/>
        </w:trPr>
        <w:tc>
          <w:tcPr>
            <w:tcW w:type="dxa" w:w="7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2D4E" w:rsidR="00D42D4E" w:rsidRPr="0056736E">
            <w:pPr>
              <w:jc w:val="center"/>
              <w:rPr>
                <w:rFonts w:eastAsia="Times New Roman"/>
                <w:b/>
                <w:bCs/>
                <w:color w:val="000000"/>
                <w:sz w:val="21"/>
                <w:szCs w:val="18"/>
              </w:rPr>
            </w:pPr>
            <w:r w:rsidRPr="0056736E">
              <w:rPr>
                <w:rFonts w:eastAsia="Times New Roman"/>
                <w:b/>
                <w:bCs/>
                <w:color w:val="000000"/>
                <w:sz w:val="21"/>
                <w:szCs w:val="18"/>
              </w:rPr>
              <w:t>1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</w:rPr>
            </w:pPr>
            <w:r w:rsidRPr="0056736E">
              <w:rPr>
                <w:rFonts w:eastAsia="Times New Roman"/>
                <w:color w:val="000000"/>
                <w:sz w:val="21"/>
              </w:rPr>
              <w:t>DE813270386</w:t>
            </w:r>
          </w:p>
        </w:tc>
        <w:tc>
          <w:tcPr>
            <w:tcW w:type="dxa" w:w="4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</w:rPr>
            </w:pPr>
            <w:r w:rsidRPr="0056736E">
              <w:rPr>
                <w:rFonts w:eastAsia="Times New Roman"/>
                <w:color w:val="000000"/>
                <w:sz w:val="21"/>
              </w:rPr>
              <w:t>A&amp;E textil gmbh</w:t>
            </w:r>
          </w:p>
        </w:tc>
        <w:tc>
          <w:tcPr>
            <w:tcW w:type="dxa" w:w="19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jc w:val="right"/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7.207,23</w:t>
            </w:r>
          </w:p>
        </w:tc>
      </w:tr>
      <w:tr w:rsidTr="00012A88" w:rsidR="00D42D4E" w:rsidRPr="0056736E">
        <w:trPr>
          <w:trHeight w:val="284"/>
          <w:jc w:val="center"/>
        </w:trPr>
        <w:tc>
          <w:tcPr>
            <w:tcW w:type="dxa" w:w="7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2D4E" w:rsidR="00D42D4E" w:rsidRPr="0056736E">
            <w:pPr>
              <w:jc w:val="center"/>
              <w:rPr>
                <w:rFonts w:eastAsia="Times New Roman"/>
                <w:b/>
                <w:bCs/>
                <w:color w:val="000000"/>
                <w:sz w:val="21"/>
                <w:szCs w:val="18"/>
              </w:rPr>
            </w:pPr>
            <w:r w:rsidRPr="0056736E">
              <w:rPr>
                <w:rFonts w:eastAsia="Times New Roman"/>
                <w:b/>
                <w:bCs/>
                <w:color w:val="000000"/>
                <w:sz w:val="21"/>
                <w:szCs w:val="18"/>
              </w:rPr>
              <w:t>2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</w:rPr>
            </w:pPr>
            <w:r w:rsidRPr="0056736E">
              <w:rPr>
                <w:rFonts w:eastAsia="Times New Roman"/>
                <w:color w:val="000000"/>
                <w:sz w:val="21"/>
              </w:rPr>
              <w:t>54655542852</w:t>
            </w:r>
          </w:p>
        </w:tc>
        <w:tc>
          <w:tcPr>
            <w:tcW w:type="dxa" w:w="4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</w:rPr>
            </w:pPr>
            <w:r w:rsidRPr="0056736E">
              <w:rPr>
                <w:rFonts w:eastAsia="Times New Roman"/>
                <w:color w:val="000000"/>
                <w:sz w:val="21"/>
              </w:rPr>
              <w:t>A2B Express Logistika d.o.o.</w:t>
            </w:r>
          </w:p>
        </w:tc>
        <w:tc>
          <w:tcPr>
            <w:tcW w:type="dxa" w:w="19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jc w:val="right"/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768,85</w:t>
            </w:r>
          </w:p>
        </w:tc>
      </w:tr>
      <w:tr w:rsidTr="00012A88" w:rsidR="00D42D4E" w:rsidRPr="0056736E">
        <w:trPr>
          <w:trHeight w:val="284"/>
          <w:jc w:val="center"/>
        </w:trPr>
        <w:tc>
          <w:tcPr>
            <w:tcW w:type="dxa" w:w="7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2D4E" w:rsidR="00D42D4E" w:rsidRPr="0056736E">
            <w:pPr>
              <w:jc w:val="center"/>
              <w:rPr>
                <w:rFonts w:eastAsia="Times New Roman"/>
                <w:b/>
                <w:bCs/>
                <w:color w:val="000000"/>
                <w:sz w:val="21"/>
                <w:szCs w:val="18"/>
              </w:rPr>
            </w:pPr>
            <w:r w:rsidRPr="0056736E">
              <w:rPr>
                <w:rFonts w:eastAsia="Times New Roman"/>
                <w:b/>
                <w:bCs/>
                <w:color w:val="000000"/>
                <w:sz w:val="21"/>
                <w:szCs w:val="18"/>
              </w:rPr>
              <w:t>3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</w:rPr>
            </w:pPr>
            <w:r w:rsidRPr="0056736E">
              <w:rPr>
                <w:rFonts w:eastAsia="Times New Roman"/>
                <w:color w:val="000000"/>
                <w:sz w:val="21"/>
              </w:rPr>
              <w:t>50060614918</w:t>
            </w:r>
          </w:p>
        </w:tc>
        <w:tc>
          <w:tcPr>
            <w:tcW w:type="dxa" w:w="4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</w:rPr>
            </w:pPr>
            <w:r w:rsidRPr="0056736E">
              <w:rPr>
                <w:rFonts w:eastAsia="Times New Roman"/>
                <w:color w:val="000000"/>
                <w:sz w:val="21"/>
              </w:rPr>
              <w:t>ALFACOMMERCE D.O.O..</w:t>
            </w:r>
          </w:p>
        </w:tc>
        <w:tc>
          <w:tcPr>
            <w:tcW w:type="dxa" w:w="19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jc w:val="right"/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4.931,87</w:t>
            </w:r>
          </w:p>
        </w:tc>
      </w:tr>
      <w:tr w:rsidTr="00012A88" w:rsidR="00D42D4E" w:rsidRPr="0056736E">
        <w:trPr>
          <w:trHeight w:val="284"/>
          <w:jc w:val="center"/>
        </w:trPr>
        <w:tc>
          <w:tcPr>
            <w:tcW w:type="dxa" w:w="7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2D4E" w:rsidR="00D42D4E" w:rsidRPr="0056736E">
            <w:pPr>
              <w:jc w:val="center"/>
              <w:rPr>
                <w:rFonts w:eastAsia="Times New Roman"/>
                <w:b/>
                <w:bCs/>
                <w:color w:val="000000"/>
                <w:sz w:val="21"/>
                <w:szCs w:val="18"/>
              </w:rPr>
            </w:pPr>
            <w:r w:rsidRPr="0056736E">
              <w:rPr>
                <w:rFonts w:eastAsia="Times New Roman"/>
                <w:b/>
                <w:bCs/>
                <w:color w:val="000000"/>
                <w:sz w:val="21"/>
                <w:szCs w:val="18"/>
              </w:rPr>
              <w:t>4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</w:rPr>
            </w:pPr>
            <w:r w:rsidRPr="0056736E">
              <w:rPr>
                <w:rFonts w:eastAsia="Times New Roman"/>
                <w:color w:val="000000"/>
                <w:sz w:val="21"/>
              </w:rPr>
              <w:t>SI27847560</w:t>
            </w:r>
          </w:p>
        </w:tc>
        <w:tc>
          <w:tcPr>
            <w:tcW w:type="dxa" w:w="4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</w:rPr>
            </w:pPr>
            <w:r w:rsidRPr="0056736E">
              <w:rPr>
                <w:rFonts w:eastAsia="Times New Roman"/>
                <w:color w:val="000000"/>
                <w:sz w:val="21"/>
              </w:rPr>
              <w:t>American &amp; Efird (A&amp;E Europe),sukanci d.o.o.</w:t>
            </w:r>
          </w:p>
        </w:tc>
        <w:tc>
          <w:tcPr>
            <w:tcW w:type="dxa" w:w="19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jc w:val="right"/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6.878,94</w:t>
            </w:r>
          </w:p>
        </w:tc>
      </w:tr>
      <w:tr w:rsidTr="00012A88" w:rsidR="00D42D4E" w:rsidRPr="0056736E">
        <w:trPr>
          <w:trHeight w:val="284"/>
          <w:jc w:val="center"/>
        </w:trPr>
        <w:tc>
          <w:tcPr>
            <w:tcW w:type="dxa" w:w="7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2D4E" w:rsidR="00D42D4E" w:rsidRPr="0056736E">
            <w:pPr>
              <w:jc w:val="center"/>
              <w:rPr>
                <w:rFonts w:eastAsia="Times New Roman"/>
                <w:b/>
                <w:bCs/>
                <w:color w:val="000000"/>
                <w:sz w:val="21"/>
                <w:szCs w:val="18"/>
              </w:rPr>
            </w:pPr>
            <w:r w:rsidRPr="0056736E">
              <w:rPr>
                <w:rFonts w:eastAsia="Times New Roman"/>
                <w:b/>
                <w:bCs/>
                <w:color w:val="000000"/>
                <w:sz w:val="21"/>
                <w:szCs w:val="18"/>
              </w:rPr>
              <w:t>5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</w:rPr>
            </w:pPr>
            <w:r w:rsidRPr="0056736E">
              <w:rPr>
                <w:rFonts w:eastAsia="Times New Roman"/>
                <w:color w:val="000000"/>
                <w:sz w:val="21"/>
              </w:rPr>
              <w:t>5345206421</w:t>
            </w:r>
          </w:p>
        </w:tc>
        <w:tc>
          <w:tcPr>
            <w:tcW w:type="dxa" w:w="4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</w:rPr>
            </w:pPr>
            <w:r w:rsidRPr="0056736E">
              <w:rPr>
                <w:rFonts w:eastAsia="Times New Roman"/>
                <w:color w:val="000000"/>
                <w:sz w:val="21"/>
              </w:rPr>
              <w:t>Auto centar Vasilj d.o.o.</w:t>
            </w:r>
          </w:p>
        </w:tc>
        <w:tc>
          <w:tcPr>
            <w:tcW w:type="dxa" w:w="19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jc w:val="right"/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5.415,89</w:t>
            </w:r>
          </w:p>
        </w:tc>
      </w:tr>
      <w:tr w:rsidTr="00012A88" w:rsidR="00D42D4E" w:rsidRPr="0056736E">
        <w:trPr>
          <w:trHeight w:val="284"/>
          <w:jc w:val="center"/>
        </w:trPr>
        <w:tc>
          <w:tcPr>
            <w:tcW w:type="dxa" w:w="7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2D4E" w:rsidR="00D42D4E" w:rsidRPr="0056736E">
            <w:pPr>
              <w:jc w:val="center"/>
              <w:rPr>
                <w:rFonts w:eastAsia="Times New Roman"/>
                <w:b/>
                <w:bCs/>
                <w:color w:val="000000"/>
                <w:sz w:val="21"/>
                <w:szCs w:val="18"/>
              </w:rPr>
            </w:pPr>
            <w:r w:rsidRPr="0056736E">
              <w:rPr>
                <w:rFonts w:eastAsia="Times New Roman"/>
                <w:b/>
                <w:bCs/>
                <w:color w:val="000000"/>
                <w:sz w:val="21"/>
                <w:szCs w:val="18"/>
              </w:rPr>
              <w:t>6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</w:rPr>
            </w:pPr>
            <w:r w:rsidRPr="0056736E">
              <w:rPr>
                <w:rFonts w:eastAsia="Times New Roman"/>
                <w:color w:val="000000"/>
                <w:sz w:val="21"/>
              </w:rPr>
              <w:t>61995520253</w:t>
            </w:r>
          </w:p>
        </w:tc>
        <w:tc>
          <w:tcPr>
            <w:tcW w:type="dxa" w:w="4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</w:rPr>
            </w:pPr>
            <w:r w:rsidRPr="0056736E">
              <w:rPr>
                <w:rFonts w:eastAsia="Times New Roman"/>
                <w:color w:val="000000"/>
                <w:sz w:val="21"/>
              </w:rPr>
              <w:t>Auto Kantoci d.o.o.</w:t>
            </w:r>
          </w:p>
        </w:tc>
        <w:tc>
          <w:tcPr>
            <w:tcW w:type="dxa" w:w="19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jc w:val="right"/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8.962,65</w:t>
            </w:r>
          </w:p>
        </w:tc>
      </w:tr>
      <w:tr w:rsidTr="00012A88" w:rsidR="00D42D4E" w:rsidRPr="0056736E">
        <w:trPr>
          <w:trHeight w:val="284"/>
          <w:jc w:val="center"/>
        </w:trPr>
        <w:tc>
          <w:tcPr>
            <w:tcW w:type="dxa" w:w="7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2D4E" w:rsidR="00D42D4E" w:rsidRPr="0056736E">
            <w:pPr>
              <w:jc w:val="center"/>
              <w:rPr>
                <w:rFonts w:eastAsia="Times New Roman"/>
                <w:b/>
                <w:bCs/>
                <w:color w:val="000000"/>
                <w:sz w:val="21"/>
                <w:szCs w:val="18"/>
              </w:rPr>
            </w:pPr>
            <w:r w:rsidRPr="0056736E">
              <w:rPr>
                <w:rFonts w:eastAsia="Times New Roman"/>
                <w:b/>
                <w:bCs/>
                <w:color w:val="000000"/>
                <w:sz w:val="21"/>
                <w:szCs w:val="18"/>
              </w:rPr>
              <w:t>7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</w:rPr>
            </w:pPr>
            <w:r w:rsidRPr="0056736E">
              <w:rPr>
                <w:rFonts w:eastAsia="Times New Roman"/>
                <w:color w:val="000000"/>
                <w:sz w:val="21"/>
              </w:rPr>
              <w:t>SI80442293</w:t>
            </w:r>
          </w:p>
        </w:tc>
        <w:tc>
          <w:tcPr>
            <w:tcW w:type="dxa" w:w="4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</w:rPr>
            </w:pPr>
            <w:r w:rsidRPr="0056736E">
              <w:rPr>
                <w:rFonts w:eastAsia="Times New Roman"/>
                <w:color w:val="000000"/>
                <w:sz w:val="21"/>
              </w:rPr>
              <w:t>BETI PLETIVA D.O.O.</w:t>
            </w:r>
          </w:p>
        </w:tc>
        <w:tc>
          <w:tcPr>
            <w:tcW w:type="dxa" w:w="19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jc w:val="right"/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278.454,41</w:t>
            </w:r>
          </w:p>
        </w:tc>
      </w:tr>
      <w:tr w:rsidTr="00012A88" w:rsidR="00D42D4E" w:rsidRPr="0056736E">
        <w:trPr>
          <w:trHeight w:val="284"/>
          <w:jc w:val="center"/>
        </w:trPr>
        <w:tc>
          <w:tcPr>
            <w:tcW w:type="dxa" w:w="7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2D4E" w:rsidR="00D42D4E" w:rsidRPr="0056736E">
            <w:pPr>
              <w:jc w:val="center"/>
              <w:rPr>
                <w:rFonts w:eastAsia="Times New Roman"/>
                <w:b/>
                <w:bCs/>
                <w:color w:val="000000"/>
                <w:sz w:val="21"/>
                <w:szCs w:val="18"/>
              </w:rPr>
            </w:pPr>
            <w:r w:rsidRPr="0056736E">
              <w:rPr>
                <w:rFonts w:eastAsia="Times New Roman"/>
                <w:b/>
                <w:bCs/>
                <w:color w:val="000000"/>
                <w:sz w:val="21"/>
                <w:szCs w:val="18"/>
              </w:rPr>
              <w:t>8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</w:rPr>
            </w:pPr>
            <w:r w:rsidRPr="0056736E">
              <w:rPr>
                <w:rFonts w:eastAsia="Times New Roman"/>
                <w:color w:val="000000"/>
                <w:sz w:val="21"/>
              </w:rPr>
              <w:t>DE263302142</w:t>
            </w:r>
          </w:p>
        </w:tc>
        <w:tc>
          <w:tcPr>
            <w:tcW w:type="dxa" w:w="4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</w:rPr>
            </w:pPr>
            <w:r w:rsidRPr="0056736E">
              <w:rPr>
                <w:rFonts w:eastAsia="Times New Roman"/>
                <w:color w:val="000000"/>
                <w:sz w:val="21"/>
              </w:rPr>
              <w:t>EDELWEISS MASCHENSTOFFE gmbh</w:t>
            </w:r>
          </w:p>
        </w:tc>
        <w:tc>
          <w:tcPr>
            <w:tcW w:type="dxa" w:w="19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jc w:val="right"/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223.373,45</w:t>
            </w:r>
          </w:p>
        </w:tc>
      </w:tr>
      <w:tr w:rsidTr="00012A88" w:rsidR="00D42D4E" w:rsidRPr="0056736E">
        <w:trPr>
          <w:trHeight w:val="284"/>
          <w:jc w:val="center"/>
        </w:trPr>
        <w:tc>
          <w:tcPr>
            <w:tcW w:type="dxa" w:w="7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2D4E" w:rsidR="00D42D4E" w:rsidRPr="0056736E">
            <w:pPr>
              <w:jc w:val="center"/>
              <w:rPr>
                <w:rFonts w:eastAsia="Times New Roman"/>
                <w:b/>
                <w:bCs/>
                <w:color w:val="000000"/>
                <w:sz w:val="21"/>
                <w:szCs w:val="18"/>
              </w:rPr>
            </w:pPr>
            <w:r w:rsidRPr="0056736E">
              <w:rPr>
                <w:rFonts w:eastAsia="Times New Roman"/>
                <w:b/>
                <w:bCs/>
                <w:color w:val="000000"/>
                <w:sz w:val="21"/>
                <w:szCs w:val="18"/>
              </w:rPr>
              <w:t>9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</w:rPr>
            </w:pPr>
            <w:r w:rsidRPr="0056736E">
              <w:rPr>
                <w:rFonts w:eastAsia="Times New Roman"/>
                <w:color w:val="000000"/>
                <w:sz w:val="21"/>
              </w:rPr>
              <w:t>SI87026244</w:t>
            </w:r>
          </w:p>
        </w:tc>
        <w:tc>
          <w:tcPr>
            <w:tcW w:type="dxa" w:w="4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</w:rPr>
            </w:pPr>
            <w:r w:rsidRPr="0056736E">
              <w:rPr>
                <w:rFonts w:eastAsia="Times New Roman"/>
                <w:color w:val="000000"/>
                <w:sz w:val="21"/>
              </w:rPr>
              <w:t>ETIKETA TISKARNA D.D.</w:t>
            </w:r>
          </w:p>
        </w:tc>
        <w:tc>
          <w:tcPr>
            <w:tcW w:type="dxa" w:w="19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jc w:val="right"/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8.600,75</w:t>
            </w:r>
          </w:p>
        </w:tc>
      </w:tr>
      <w:tr w:rsidTr="00012A88" w:rsidR="00D42D4E" w:rsidRPr="0056736E">
        <w:trPr>
          <w:trHeight w:val="284"/>
          <w:jc w:val="center"/>
        </w:trPr>
        <w:tc>
          <w:tcPr>
            <w:tcW w:type="dxa" w:w="7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2D4E" w:rsidR="00D42D4E" w:rsidRPr="0056736E">
            <w:pPr>
              <w:jc w:val="center"/>
              <w:rPr>
                <w:rFonts w:eastAsia="Times New Roman"/>
                <w:b/>
                <w:bCs/>
                <w:color w:val="000000"/>
                <w:sz w:val="21"/>
                <w:szCs w:val="18"/>
              </w:rPr>
            </w:pPr>
            <w:r w:rsidRPr="0056736E">
              <w:rPr>
                <w:rFonts w:eastAsia="Times New Roman"/>
                <w:b/>
                <w:bCs/>
                <w:color w:val="000000"/>
                <w:sz w:val="21"/>
                <w:szCs w:val="18"/>
              </w:rPr>
              <w:t>10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</w:rPr>
            </w:pPr>
            <w:r w:rsidRPr="0056736E">
              <w:rPr>
                <w:rFonts w:eastAsia="Times New Roman"/>
                <w:color w:val="000000"/>
                <w:sz w:val="21"/>
              </w:rPr>
              <w:t>85821130368</w:t>
            </w:r>
          </w:p>
        </w:tc>
        <w:tc>
          <w:tcPr>
            <w:tcW w:type="dxa" w:w="4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</w:rPr>
            </w:pPr>
            <w:r w:rsidRPr="0056736E">
              <w:rPr>
                <w:rFonts w:eastAsia="Times New Roman"/>
                <w:color w:val="000000"/>
                <w:sz w:val="21"/>
              </w:rPr>
              <w:t>Financijska agencija</w:t>
            </w:r>
          </w:p>
        </w:tc>
        <w:tc>
          <w:tcPr>
            <w:tcW w:type="dxa" w:w="19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jc w:val="right"/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100,00</w:t>
            </w:r>
          </w:p>
        </w:tc>
      </w:tr>
      <w:tr w:rsidTr="00012A88" w:rsidR="00D42D4E" w:rsidRPr="0056736E">
        <w:trPr>
          <w:trHeight w:val="284"/>
          <w:jc w:val="center"/>
        </w:trPr>
        <w:tc>
          <w:tcPr>
            <w:tcW w:type="dxa" w:w="7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2D4E" w:rsidR="00D42D4E" w:rsidRPr="0056736E">
            <w:pPr>
              <w:jc w:val="center"/>
              <w:rPr>
                <w:rFonts w:eastAsia="Times New Roman"/>
                <w:b/>
                <w:bCs/>
                <w:color w:val="000000"/>
                <w:sz w:val="21"/>
                <w:szCs w:val="18"/>
              </w:rPr>
            </w:pPr>
            <w:r w:rsidRPr="0056736E">
              <w:rPr>
                <w:rFonts w:eastAsia="Times New Roman"/>
                <w:b/>
                <w:bCs/>
                <w:color w:val="000000"/>
                <w:sz w:val="21"/>
                <w:szCs w:val="18"/>
              </w:rPr>
              <w:t>11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80556554</w:t>
            </w:r>
          </w:p>
        </w:tc>
        <w:tc>
          <w:tcPr>
            <w:tcW w:type="dxa" w:w="4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Friva Vital d.o.o.</w:t>
            </w:r>
          </w:p>
        </w:tc>
        <w:tc>
          <w:tcPr>
            <w:tcW w:type="dxa" w:w="19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jc w:val="right"/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15.631,94</w:t>
            </w:r>
          </w:p>
        </w:tc>
      </w:tr>
      <w:tr w:rsidTr="00012A88" w:rsidR="00D42D4E" w:rsidRPr="0056736E">
        <w:trPr>
          <w:trHeight w:val="284"/>
          <w:jc w:val="center"/>
        </w:trPr>
        <w:tc>
          <w:tcPr>
            <w:tcW w:type="dxa" w:w="7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2D4E" w:rsidR="00D42D4E" w:rsidRPr="0056736E">
            <w:pPr>
              <w:jc w:val="center"/>
              <w:rPr>
                <w:rFonts w:eastAsia="Times New Roman"/>
                <w:b/>
                <w:bCs/>
                <w:color w:val="000000"/>
                <w:sz w:val="21"/>
                <w:szCs w:val="18"/>
              </w:rPr>
            </w:pPr>
            <w:r w:rsidRPr="0056736E">
              <w:rPr>
                <w:rFonts w:eastAsia="Times New Roman"/>
                <w:b/>
                <w:bCs/>
                <w:color w:val="000000"/>
                <w:sz w:val="21"/>
                <w:szCs w:val="18"/>
              </w:rPr>
              <w:lastRenderedPageBreak/>
              <w:t>12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74554924553</w:t>
            </w:r>
          </w:p>
        </w:tc>
        <w:tc>
          <w:tcPr>
            <w:tcW w:type="dxa" w:w="4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 xml:space="preserve">GALEB D.D.  </w:t>
            </w:r>
          </w:p>
        </w:tc>
        <w:tc>
          <w:tcPr>
            <w:tcW w:type="dxa" w:w="19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jc w:val="right"/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80.009,06</w:t>
            </w:r>
          </w:p>
        </w:tc>
      </w:tr>
      <w:tr w:rsidTr="00012A88" w:rsidR="00D42D4E" w:rsidRPr="0056736E">
        <w:trPr>
          <w:trHeight w:val="284"/>
          <w:jc w:val="center"/>
        </w:trPr>
        <w:tc>
          <w:tcPr>
            <w:tcW w:type="dxa" w:w="7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2D4E" w:rsidR="00D42D4E" w:rsidRPr="0056736E">
            <w:pPr>
              <w:jc w:val="center"/>
              <w:rPr>
                <w:rFonts w:eastAsia="Times New Roman"/>
                <w:b/>
                <w:bCs/>
                <w:color w:val="000000"/>
                <w:sz w:val="21"/>
                <w:szCs w:val="18"/>
              </w:rPr>
            </w:pPr>
            <w:r w:rsidRPr="0056736E">
              <w:rPr>
                <w:rFonts w:eastAsia="Times New Roman"/>
                <w:b/>
                <w:bCs/>
                <w:color w:val="000000"/>
                <w:sz w:val="21"/>
                <w:szCs w:val="18"/>
              </w:rPr>
              <w:t>13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ATU39668409</w:t>
            </w:r>
          </w:p>
        </w:tc>
        <w:tc>
          <w:tcPr>
            <w:tcW w:type="dxa" w:w="4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GLASTEX Handelsellschaft m.b.bH.</w:t>
            </w:r>
          </w:p>
        </w:tc>
        <w:tc>
          <w:tcPr>
            <w:tcW w:type="dxa" w:w="19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jc w:val="right"/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8.401,70</w:t>
            </w:r>
          </w:p>
        </w:tc>
      </w:tr>
      <w:tr w:rsidTr="00012A88" w:rsidR="00D42D4E" w:rsidRPr="0056736E">
        <w:trPr>
          <w:trHeight w:val="284"/>
          <w:jc w:val="center"/>
        </w:trPr>
        <w:tc>
          <w:tcPr>
            <w:tcW w:type="dxa" w:w="7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2D4E" w:rsidR="00D42D4E" w:rsidRPr="0056736E">
            <w:pPr>
              <w:jc w:val="center"/>
              <w:rPr>
                <w:rFonts w:eastAsia="Times New Roman"/>
                <w:b/>
                <w:bCs/>
                <w:color w:val="000000"/>
                <w:sz w:val="21"/>
                <w:szCs w:val="18"/>
              </w:rPr>
            </w:pPr>
            <w:r w:rsidRPr="0056736E">
              <w:rPr>
                <w:rFonts w:eastAsia="Times New Roman"/>
                <w:b/>
                <w:bCs/>
                <w:color w:val="000000"/>
                <w:sz w:val="21"/>
                <w:szCs w:val="18"/>
              </w:rPr>
              <w:t>14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3774142645</w:t>
            </w:r>
          </w:p>
        </w:tc>
        <w:tc>
          <w:tcPr>
            <w:tcW w:type="dxa" w:w="4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GRAFOKOR D.O.O.</w:t>
            </w:r>
          </w:p>
        </w:tc>
        <w:tc>
          <w:tcPr>
            <w:tcW w:type="dxa" w:w="19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jc w:val="right"/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51.019,32</w:t>
            </w:r>
          </w:p>
        </w:tc>
      </w:tr>
      <w:tr w:rsidTr="00012A88" w:rsidR="00D42D4E" w:rsidRPr="0056736E">
        <w:trPr>
          <w:trHeight w:val="284"/>
          <w:jc w:val="center"/>
        </w:trPr>
        <w:tc>
          <w:tcPr>
            <w:tcW w:type="dxa" w:w="7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2D4E" w:rsidR="00D42D4E" w:rsidRPr="0056736E">
            <w:pPr>
              <w:jc w:val="center"/>
              <w:rPr>
                <w:rFonts w:eastAsia="Times New Roman"/>
                <w:b/>
                <w:bCs/>
                <w:color w:val="000000"/>
                <w:sz w:val="21"/>
                <w:szCs w:val="18"/>
              </w:rPr>
            </w:pPr>
            <w:r w:rsidRPr="0056736E">
              <w:rPr>
                <w:rFonts w:eastAsia="Times New Roman"/>
                <w:b/>
                <w:bCs/>
                <w:color w:val="000000"/>
                <w:sz w:val="21"/>
                <w:szCs w:val="18"/>
              </w:rPr>
              <w:t>15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03365973101</w:t>
            </w:r>
          </w:p>
        </w:tc>
        <w:tc>
          <w:tcPr>
            <w:tcW w:type="dxa" w:w="4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GS1 Croatia</w:t>
            </w:r>
          </w:p>
        </w:tc>
        <w:tc>
          <w:tcPr>
            <w:tcW w:type="dxa" w:w="19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jc w:val="right"/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2.700,00</w:t>
            </w:r>
          </w:p>
        </w:tc>
      </w:tr>
      <w:tr w:rsidTr="00012A88" w:rsidR="00D42D4E" w:rsidRPr="0056736E">
        <w:trPr>
          <w:trHeight w:val="284"/>
          <w:jc w:val="center"/>
        </w:trPr>
        <w:tc>
          <w:tcPr>
            <w:tcW w:type="dxa" w:w="7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2D4E" w:rsidR="00D42D4E" w:rsidRPr="0056736E">
            <w:pPr>
              <w:jc w:val="center"/>
              <w:rPr>
                <w:rFonts w:eastAsia="Times New Roman"/>
                <w:b/>
                <w:bCs/>
                <w:color w:val="000000"/>
                <w:sz w:val="21"/>
                <w:szCs w:val="18"/>
              </w:rPr>
            </w:pPr>
            <w:r w:rsidRPr="0056736E">
              <w:rPr>
                <w:rFonts w:eastAsia="Times New Roman"/>
                <w:b/>
                <w:bCs/>
                <w:color w:val="000000"/>
                <w:sz w:val="21"/>
                <w:szCs w:val="18"/>
              </w:rPr>
              <w:t>16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17101881288</w:t>
            </w:r>
          </w:p>
        </w:tc>
        <w:tc>
          <w:tcPr>
            <w:tcW w:type="dxa" w:w="4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Hakadesch d.o.o.</w:t>
            </w:r>
          </w:p>
        </w:tc>
        <w:tc>
          <w:tcPr>
            <w:tcW w:type="dxa" w:w="19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jc w:val="right"/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7.138,72</w:t>
            </w:r>
          </w:p>
        </w:tc>
      </w:tr>
      <w:tr w:rsidTr="00012A88" w:rsidR="00D42D4E" w:rsidRPr="0056736E">
        <w:trPr>
          <w:trHeight w:val="284"/>
          <w:jc w:val="center"/>
        </w:trPr>
        <w:tc>
          <w:tcPr>
            <w:tcW w:type="dxa" w:w="7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2D4E" w:rsidR="00D42D4E" w:rsidRPr="0056736E">
            <w:pPr>
              <w:jc w:val="center"/>
              <w:rPr>
                <w:rFonts w:eastAsia="Times New Roman"/>
                <w:b/>
                <w:bCs/>
                <w:color w:val="000000"/>
                <w:sz w:val="21"/>
                <w:szCs w:val="18"/>
              </w:rPr>
            </w:pPr>
            <w:r w:rsidRPr="0056736E">
              <w:rPr>
                <w:rFonts w:eastAsia="Times New Roman"/>
                <w:b/>
                <w:bCs/>
                <w:color w:val="000000"/>
                <w:sz w:val="21"/>
                <w:szCs w:val="18"/>
              </w:rPr>
              <w:t>17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70405603813</w:t>
            </w:r>
          </w:p>
        </w:tc>
        <w:tc>
          <w:tcPr>
            <w:tcW w:type="dxa" w:w="4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Herc-Šped d.o.o.</w:t>
            </w:r>
          </w:p>
        </w:tc>
        <w:tc>
          <w:tcPr>
            <w:tcW w:type="dxa" w:w="19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jc w:val="right"/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15.995,52</w:t>
            </w:r>
          </w:p>
        </w:tc>
      </w:tr>
      <w:tr w:rsidTr="00012A88" w:rsidR="00D42D4E" w:rsidRPr="0056736E">
        <w:trPr>
          <w:trHeight w:val="284"/>
          <w:jc w:val="center"/>
        </w:trPr>
        <w:tc>
          <w:tcPr>
            <w:tcW w:type="dxa" w:w="7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2D4E" w:rsidR="00D42D4E" w:rsidRPr="0056736E">
            <w:pPr>
              <w:jc w:val="center"/>
              <w:rPr>
                <w:rFonts w:eastAsia="Times New Roman"/>
                <w:b/>
                <w:bCs/>
                <w:color w:val="000000"/>
                <w:sz w:val="21"/>
                <w:szCs w:val="18"/>
              </w:rPr>
            </w:pPr>
            <w:r w:rsidRPr="0056736E">
              <w:rPr>
                <w:rFonts w:eastAsia="Times New Roman"/>
                <w:b/>
                <w:bCs/>
                <w:color w:val="000000"/>
                <w:sz w:val="21"/>
                <w:szCs w:val="18"/>
              </w:rPr>
              <w:t>18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85514716931</w:t>
            </w:r>
          </w:p>
        </w:tc>
        <w:tc>
          <w:tcPr>
            <w:tcW w:type="dxa" w:w="4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Intereuropa, logističke usluge d.o.o.</w:t>
            </w:r>
          </w:p>
        </w:tc>
        <w:tc>
          <w:tcPr>
            <w:tcW w:type="dxa" w:w="19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jc w:val="right"/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700,00</w:t>
            </w:r>
          </w:p>
        </w:tc>
      </w:tr>
      <w:tr w:rsidTr="00012A88" w:rsidR="00D42D4E" w:rsidRPr="0056736E">
        <w:trPr>
          <w:trHeight w:val="284"/>
          <w:jc w:val="center"/>
        </w:trPr>
        <w:tc>
          <w:tcPr>
            <w:tcW w:type="dxa" w:w="7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2D4E" w:rsidR="00D42D4E" w:rsidRPr="0056736E">
            <w:pPr>
              <w:jc w:val="center"/>
              <w:rPr>
                <w:rFonts w:eastAsia="Times New Roman"/>
                <w:b/>
                <w:bCs/>
                <w:color w:val="000000"/>
                <w:sz w:val="21"/>
                <w:szCs w:val="18"/>
              </w:rPr>
            </w:pPr>
            <w:r w:rsidRPr="0056736E">
              <w:rPr>
                <w:rFonts w:eastAsia="Times New Roman"/>
                <w:b/>
                <w:bCs/>
                <w:color w:val="000000"/>
                <w:sz w:val="21"/>
                <w:szCs w:val="18"/>
              </w:rPr>
              <w:t>19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99459456097</w:t>
            </w:r>
          </w:p>
        </w:tc>
        <w:tc>
          <w:tcPr>
            <w:tcW w:type="dxa" w:w="4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KIMATEKS d.o.o.</w:t>
            </w:r>
          </w:p>
        </w:tc>
        <w:tc>
          <w:tcPr>
            <w:tcW w:type="dxa" w:w="19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jc w:val="right"/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2.785,70</w:t>
            </w:r>
          </w:p>
        </w:tc>
      </w:tr>
      <w:tr w:rsidTr="00012A88" w:rsidR="00D42D4E" w:rsidRPr="0056736E">
        <w:trPr>
          <w:trHeight w:val="284"/>
          <w:jc w:val="center"/>
        </w:trPr>
        <w:tc>
          <w:tcPr>
            <w:tcW w:type="dxa" w:w="7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2D4E" w:rsidR="00D42D4E" w:rsidRPr="0056736E">
            <w:pPr>
              <w:jc w:val="center"/>
              <w:rPr>
                <w:rFonts w:eastAsia="Times New Roman"/>
                <w:b/>
                <w:bCs/>
                <w:color w:val="000000"/>
                <w:sz w:val="21"/>
                <w:szCs w:val="18"/>
              </w:rPr>
            </w:pPr>
            <w:r w:rsidRPr="0056736E">
              <w:rPr>
                <w:rFonts w:eastAsia="Times New Roman"/>
                <w:b/>
                <w:bCs/>
                <w:color w:val="000000"/>
                <w:sz w:val="21"/>
                <w:szCs w:val="18"/>
              </w:rPr>
              <w:t>20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17055681355</w:t>
            </w:r>
          </w:p>
        </w:tc>
        <w:tc>
          <w:tcPr>
            <w:tcW w:type="dxa" w:w="4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KOMUNALAC d.o.o.</w:t>
            </w:r>
          </w:p>
        </w:tc>
        <w:tc>
          <w:tcPr>
            <w:tcW w:type="dxa" w:w="19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jc w:val="right"/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15.282,76</w:t>
            </w:r>
          </w:p>
        </w:tc>
      </w:tr>
      <w:tr w:rsidTr="00012A88" w:rsidR="00D42D4E" w:rsidRPr="0056736E">
        <w:trPr>
          <w:trHeight w:val="284"/>
          <w:jc w:val="center"/>
        </w:trPr>
        <w:tc>
          <w:tcPr>
            <w:tcW w:type="dxa" w:w="7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2D4E" w:rsidR="00D42D4E" w:rsidRPr="0056736E">
            <w:pPr>
              <w:jc w:val="center"/>
              <w:rPr>
                <w:rFonts w:eastAsia="Times New Roman"/>
                <w:b/>
                <w:bCs/>
                <w:color w:val="000000"/>
                <w:sz w:val="21"/>
                <w:szCs w:val="18"/>
              </w:rPr>
            </w:pPr>
            <w:r w:rsidRPr="0056736E">
              <w:rPr>
                <w:rFonts w:eastAsia="Times New Roman"/>
                <w:b/>
                <w:bCs/>
                <w:color w:val="000000"/>
                <w:sz w:val="21"/>
                <w:szCs w:val="18"/>
              </w:rPr>
              <w:t>21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41412434131</w:t>
            </w:r>
          </w:p>
        </w:tc>
        <w:tc>
          <w:tcPr>
            <w:tcW w:type="dxa" w:w="4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KOMUNALAC d.o.o. Gradsko komunalno poduzeće</w:t>
            </w:r>
          </w:p>
        </w:tc>
        <w:tc>
          <w:tcPr>
            <w:tcW w:type="dxa" w:w="19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jc w:val="right"/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4.782,97</w:t>
            </w:r>
          </w:p>
        </w:tc>
      </w:tr>
      <w:tr w:rsidTr="00012A88" w:rsidR="00D42D4E" w:rsidRPr="0056736E">
        <w:trPr>
          <w:trHeight w:val="284"/>
          <w:jc w:val="center"/>
        </w:trPr>
        <w:tc>
          <w:tcPr>
            <w:tcW w:type="dxa" w:w="7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2D4E" w:rsidR="00D42D4E" w:rsidRPr="0056736E">
            <w:pPr>
              <w:jc w:val="center"/>
              <w:rPr>
                <w:rFonts w:eastAsia="Times New Roman"/>
                <w:b/>
                <w:bCs/>
                <w:color w:val="000000"/>
                <w:sz w:val="21"/>
                <w:szCs w:val="18"/>
              </w:rPr>
            </w:pPr>
            <w:r w:rsidRPr="0056736E">
              <w:rPr>
                <w:rFonts w:eastAsia="Times New Roman"/>
                <w:b/>
                <w:bCs/>
                <w:color w:val="000000"/>
                <w:sz w:val="21"/>
                <w:szCs w:val="18"/>
              </w:rPr>
              <w:t>22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29955634590</w:t>
            </w:r>
          </w:p>
        </w:tc>
        <w:tc>
          <w:tcPr>
            <w:tcW w:type="dxa" w:w="4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KONZUM d.d.</w:t>
            </w:r>
          </w:p>
        </w:tc>
        <w:tc>
          <w:tcPr>
            <w:tcW w:type="dxa" w:w="19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jc w:val="right"/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165.963,08</w:t>
            </w:r>
          </w:p>
        </w:tc>
      </w:tr>
      <w:tr w:rsidTr="00012A88" w:rsidR="00D42D4E" w:rsidRPr="0056736E">
        <w:trPr>
          <w:trHeight w:val="284"/>
          <w:jc w:val="center"/>
        </w:trPr>
        <w:tc>
          <w:tcPr>
            <w:tcW w:type="dxa" w:w="7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2D4E" w:rsidR="00D42D4E" w:rsidRPr="0056736E">
            <w:pPr>
              <w:jc w:val="center"/>
              <w:rPr>
                <w:rFonts w:eastAsia="Times New Roman"/>
                <w:b/>
                <w:bCs/>
                <w:color w:val="000000"/>
                <w:sz w:val="21"/>
                <w:szCs w:val="18"/>
              </w:rPr>
            </w:pPr>
            <w:r w:rsidRPr="0056736E">
              <w:rPr>
                <w:rFonts w:eastAsia="Times New Roman"/>
                <w:b/>
                <w:bCs/>
                <w:color w:val="000000"/>
                <w:sz w:val="21"/>
                <w:szCs w:val="18"/>
              </w:rPr>
              <w:t>23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91253708777</w:t>
            </w:r>
          </w:p>
        </w:tc>
        <w:tc>
          <w:tcPr>
            <w:tcW w:type="dxa" w:w="4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KSENIJA obrt za proizv.i prodaju teks.proizvoda</w:t>
            </w:r>
          </w:p>
        </w:tc>
        <w:tc>
          <w:tcPr>
            <w:tcW w:type="dxa" w:w="19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jc w:val="right"/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6.829,24</w:t>
            </w:r>
          </w:p>
        </w:tc>
      </w:tr>
      <w:tr w:rsidTr="00012A88" w:rsidR="00D42D4E" w:rsidRPr="0056736E">
        <w:trPr>
          <w:trHeight w:val="284"/>
          <w:jc w:val="center"/>
        </w:trPr>
        <w:tc>
          <w:tcPr>
            <w:tcW w:type="dxa" w:w="7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2D4E" w:rsidR="00D42D4E" w:rsidRPr="0056736E">
            <w:pPr>
              <w:jc w:val="center"/>
              <w:rPr>
                <w:rFonts w:eastAsia="Times New Roman"/>
                <w:b/>
                <w:bCs/>
                <w:color w:val="000000"/>
                <w:sz w:val="21"/>
                <w:szCs w:val="18"/>
              </w:rPr>
            </w:pPr>
            <w:r w:rsidRPr="0056736E">
              <w:rPr>
                <w:rFonts w:eastAsia="Times New Roman"/>
                <w:b/>
                <w:bCs/>
                <w:color w:val="000000"/>
                <w:sz w:val="21"/>
                <w:szCs w:val="18"/>
              </w:rPr>
              <w:t>24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93039509752</w:t>
            </w:r>
          </w:p>
        </w:tc>
        <w:tc>
          <w:tcPr>
            <w:tcW w:type="dxa" w:w="4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Laus International d.o.o.</w:t>
            </w:r>
          </w:p>
        </w:tc>
        <w:tc>
          <w:tcPr>
            <w:tcW w:type="dxa" w:w="19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jc w:val="right"/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1.370,33</w:t>
            </w:r>
          </w:p>
        </w:tc>
      </w:tr>
      <w:tr w:rsidTr="00012A88" w:rsidR="00D42D4E" w:rsidRPr="0056736E">
        <w:trPr>
          <w:trHeight w:val="284"/>
          <w:jc w:val="center"/>
        </w:trPr>
        <w:tc>
          <w:tcPr>
            <w:tcW w:type="dxa" w:w="7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2D4E" w:rsidR="00D42D4E" w:rsidRPr="0056736E">
            <w:pPr>
              <w:jc w:val="center"/>
              <w:rPr>
                <w:rFonts w:eastAsia="Times New Roman"/>
                <w:b/>
                <w:bCs/>
                <w:color w:val="000000"/>
                <w:sz w:val="21"/>
                <w:szCs w:val="18"/>
              </w:rPr>
            </w:pPr>
            <w:r w:rsidRPr="0056736E">
              <w:rPr>
                <w:rFonts w:eastAsia="Times New Roman"/>
                <w:b/>
                <w:bCs/>
                <w:color w:val="000000"/>
                <w:sz w:val="21"/>
                <w:szCs w:val="18"/>
              </w:rPr>
              <w:t>25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15856331916</w:t>
            </w:r>
          </w:p>
        </w:tc>
        <w:tc>
          <w:tcPr>
            <w:tcW w:type="dxa" w:w="4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KUM TRADE ENGINEERING</w:t>
            </w:r>
          </w:p>
        </w:tc>
        <w:tc>
          <w:tcPr>
            <w:tcW w:type="dxa" w:w="19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jc w:val="right"/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2.719,11</w:t>
            </w:r>
          </w:p>
        </w:tc>
      </w:tr>
      <w:tr w:rsidTr="00012A88" w:rsidR="00D42D4E" w:rsidRPr="0056736E">
        <w:trPr>
          <w:trHeight w:val="284"/>
          <w:jc w:val="center"/>
        </w:trPr>
        <w:tc>
          <w:tcPr>
            <w:tcW w:type="dxa" w:w="7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2D4E" w:rsidR="00D42D4E" w:rsidRPr="0056736E">
            <w:pPr>
              <w:jc w:val="center"/>
              <w:rPr>
                <w:rFonts w:eastAsia="Times New Roman"/>
                <w:b/>
                <w:bCs/>
                <w:color w:val="000000"/>
                <w:sz w:val="21"/>
                <w:szCs w:val="18"/>
              </w:rPr>
            </w:pPr>
            <w:r w:rsidRPr="0056736E">
              <w:rPr>
                <w:rFonts w:eastAsia="Times New Roman"/>
                <w:b/>
                <w:bCs/>
                <w:color w:val="000000"/>
                <w:sz w:val="21"/>
                <w:szCs w:val="18"/>
              </w:rPr>
              <w:t>26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22684209153</w:t>
            </w:r>
          </w:p>
        </w:tc>
        <w:tc>
          <w:tcPr>
            <w:tcW w:type="dxa" w:w="4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Maisa etikete d.o.o.</w:t>
            </w:r>
          </w:p>
        </w:tc>
        <w:tc>
          <w:tcPr>
            <w:tcW w:type="dxa" w:w="19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jc w:val="right"/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5.017,78</w:t>
            </w:r>
          </w:p>
        </w:tc>
      </w:tr>
      <w:tr w:rsidTr="00012A88" w:rsidR="00D42D4E" w:rsidRPr="0056736E">
        <w:trPr>
          <w:trHeight w:val="284"/>
          <w:jc w:val="center"/>
        </w:trPr>
        <w:tc>
          <w:tcPr>
            <w:tcW w:type="dxa" w:w="7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2D4E" w:rsidR="00D42D4E" w:rsidRPr="0056736E">
            <w:pPr>
              <w:jc w:val="center"/>
              <w:rPr>
                <w:rFonts w:eastAsia="Times New Roman"/>
                <w:b/>
                <w:bCs/>
                <w:color w:val="000000"/>
                <w:sz w:val="21"/>
                <w:szCs w:val="18"/>
              </w:rPr>
            </w:pPr>
            <w:r w:rsidRPr="0056736E">
              <w:rPr>
                <w:rFonts w:eastAsia="Times New Roman"/>
                <w:b/>
                <w:bCs/>
                <w:color w:val="000000"/>
                <w:sz w:val="21"/>
                <w:szCs w:val="18"/>
              </w:rPr>
              <w:t>27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SI73194591</w:t>
            </w:r>
          </w:p>
        </w:tc>
        <w:tc>
          <w:tcPr>
            <w:tcW w:type="dxa" w:w="4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MAKO MM d.o.o.</w:t>
            </w:r>
          </w:p>
        </w:tc>
        <w:tc>
          <w:tcPr>
            <w:tcW w:type="dxa" w:w="19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jc w:val="right"/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282.424,31</w:t>
            </w:r>
          </w:p>
        </w:tc>
      </w:tr>
      <w:tr w:rsidTr="00012A88" w:rsidR="00D42D4E" w:rsidRPr="0056736E">
        <w:trPr>
          <w:trHeight w:val="284"/>
          <w:jc w:val="center"/>
        </w:trPr>
        <w:tc>
          <w:tcPr>
            <w:tcW w:type="dxa" w:w="7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2D4E" w:rsidR="00D42D4E" w:rsidRPr="0056736E">
            <w:pPr>
              <w:jc w:val="center"/>
              <w:rPr>
                <w:rFonts w:eastAsia="Times New Roman"/>
                <w:b/>
                <w:bCs/>
                <w:color w:val="000000"/>
                <w:sz w:val="21"/>
                <w:szCs w:val="18"/>
              </w:rPr>
            </w:pPr>
            <w:r w:rsidRPr="0056736E">
              <w:rPr>
                <w:rFonts w:eastAsia="Times New Roman"/>
                <w:b/>
                <w:bCs/>
                <w:color w:val="000000"/>
                <w:sz w:val="21"/>
                <w:szCs w:val="18"/>
              </w:rPr>
              <w:t>28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89740937554</w:t>
            </w:r>
          </w:p>
        </w:tc>
        <w:tc>
          <w:tcPr>
            <w:tcW w:type="dxa" w:w="4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MaRCo d.o.o.</w:t>
            </w:r>
          </w:p>
        </w:tc>
        <w:tc>
          <w:tcPr>
            <w:tcW w:type="dxa" w:w="19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jc w:val="right"/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248,13</w:t>
            </w:r>
          </w:p>
        </w:tc>
      </w:tr>
      <w:tr w:rsidTr="00012A88" w:rsidR="00D42D4E" w:rsidRPr="0056736E">
        <w:trPr>
          <w:trHeight w:val="284"/>
          <w:jc w:val="center"/>
        </w:trPr>
        <w:tc>
          <w:tcPr>
            <w:tcW w:type="dxa" w:w="7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2D4E" w:rsidR="00D42D4E" w:rsidRPr="0056736E">
            <w:pPr>
              <w:jc w:val="center"/>
              <w:rPr>
                <w:rFonts w:eastAsia="Times New Roman"/>
                <w:b/>
                <w:bCs/>
                <w:color w:val="000000"/>
                <w:sz w:val="21"/>
                <w:szCs w:val="18"/>
              </w:rPr>
            </w:pPr>
            <w:r w:rsidRPr="0056736E">
              <w:rPr>
                <w:rFonts w:eastAsia="Times New Roman"/>
                <w:b/>
                <w:bCs/>
                <w:color w:val="000000"/>
                <w:sz w:val="21"/>
                <w:szCs w:val="18"/>
              </w:rPr>
              <w:t>29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IT01085080032</w:t>
            </w:r>
          </w:p>
        </w:tc>
        <w:tc>
          <w:tcPr>
            <w:tcW w:type="dxa" w:w="4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MICHELE LETIZIA s.p.a.</w:t>
            </w:r>
          </w:p>
        </w:tc>
        <w:tc>
          <w:tcPr>
            <w:tcW w:type="dxa" w:w="19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jc w:val="right"/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20.418,83</w:t>
            </w:r>
          </w:p>
        </w:tc>
      </w:tr>
      <w:tr w:rsidTr="00012A88" w:rsidR="00D42D4E" w:rsidRPr="0056736E">
        <w:trPr>
          <w:trHeight w:val="284"/>
          <w:jc w:val="center"/>
        </w:trPr>
        <w:tc>
          <w:tcPr>
            <w:tcW w:type="dxa" w:w="7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2D4E" w:rsidR="00D42D4E" w:rsidRPr="0056736E">
            <w:pPr>
              <w:jc w:val="center"/>
              <w:rPr>
                <w:rFonts w:eastAsia="Times New Roman"/>
                <w:b/>
                <w:bCs/>
                <w:color w:val="000000"/>
                <w:sz w:val="21"/>
                <w:szCs w:val="18"/>
              </w:rPr>
            </w:pPr>
            <w:r w:rsidRPr="0056736E">
              <w:rPr>
                <w:rFonts w:eastAsia="Times New Roman"/>
                <w:b/>
                <w:bCs/>
                <w:color w:val="000000"/>
                <w:sz w:val="21"/>
                <w:szCs w:val="18"/>
              </w:rPr>
              <w:t>30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42538269607</w:t>
            </w:r>
          </w:p>
        </w:tc>
        <w:tc>
          <w:tcPr>
            <w:tcW w:type="dxa" w:w="4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Odvjetnik Bolt Dubravka</w:t>
            </w:r>
          </w:p>
        </w:tc>
        <w:tc>
          <w:tcPr>
            <w:tcW w:type="dxa" w:w="19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jc w:val="right"/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4.500,00</w:t>
            </w:r>
          </w:p>
        </w:tc>
      </w:tr>
      <w:tr w:rsidTr="00012A88" w:rsidR="00D42D4E" w:rsidRPr="0056736E">
        <w:trPr>
          <w:trHeight w:val="284"/>
          <w:jc w:val="center"/>
        </w:trPr>
        <w:tc>
          <w:tcPr>
            <w:tcW w:type="dxa" w:w="7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2D4E" w:rsidR="00D42D4E" w:rsidRPr="0056736E">
            <w:pPr>
              <w:jc w:val="center"/>
              <w:rPr>
                <w:rFonts w:eastAsia="Times New Roman"/>
                <w:b/>
                <w:bCs/>
                <w:color w:val="000000"/>
                <w:sz w:val="21"/>
                <w:szCs w:val="18"/>
              </w:rPr>
            </w:pPr>
            <w:r w:rsidRPr="0056736E">
              <w:rPr>
                <w:rFonts w:eastAsia="Times New Roman"/>
                <w:b/>
                <w:bCs/>
                <w:color w:val="000000"/>
                <w:sz w:val="21"/>
                <w:szCs w:val="18"/>
              </w:rPr>
              <w:t>31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13082265751</w:t>
            </w:r>
          </w:p>
        </w:tc>
        <w:tc>
          <w:tcPr>
            <w:tcW w:type="dxa" w:w="4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OPĆINA GOLA</w:t>
            </w:r>
          </w:p>
        </w:tc>
        <w:tc>
          <w:tcPr>
            <w:tcW w:type="dxa" w:w="19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jc w:val="right"/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9.000,00</w:t>
            </w:r>
          </w:p>
        </w:tc>
      </w:tr>
      <w:tr w:rsidTr="00012A88" w:rsidR="00D42D4E" w:rsidRPr="0056736E">
        <w:trPr>
          <w:trHeight w:val="284"/>
          <w:jc w:val="center"/>
        </w:trPr>
        <w:tc>
          <w:tcPr>
            <w:tcW w:type="dxa" w:w="7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2D4E" w:rsidR="00D42D4E" w:rsidRPr="0056736E">
            <w:pPr>
              <w:jc w:val="center"/>
              <w:rPr>
                <w:rFonts w:eastAsia="Times New Roman"/>
                <w:b/>
                <w:bCs/>
                <w:color w:val="000000"/>
                <w:sz w:val="21"/>
                <w:szCs w:val="18"/>
              </w:rPr>
            </w:pPr>
            <w:r w:rsidRPr="0056736E">
              <w:rPr>
                <w:rFonts w:eastAsia="Times New Roman"/>
                <w:b/>
                <w:bCs/>
                <w:color w:val="000000"/>
                <w:sz w:val="21"/>
                <w:szCs w:val="18"/>
              </w:rPr>
              <w:t>32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14077801735</w:t>
            </w:r>
          </w:p>
        </w:tc>
        <w:tc>
          <w:tcPr>
            <w:tcW w:type="dxa" w:w="4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Ort za prijevoz i usluge P.P.V. TEAM vl. Zdenka P.</w:t>
            </w:r>
          </w:p>
        </w:tc>
        <w:tc>
          <w:tcPr>
            <w:tcW w:type="dxa" w:w="19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jc w:val="right"/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36.276,71</w:t>
            </w:r>
          </w:p>
        </w:tc>
      </w:tr>
      <w:tr w:rsidTr="00012A88" w:rsidR="00D42D4E" w:rsidRPr="0056736E">
        <w:trPr>
          <w:trHeight w:val="284"/>
          <w:jc w:val="center"/>
        </w:trPr>
        <w:tc>
          <w:tcPr>
            <w:tcW w:type="dxa" w:w="7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2D4E" w:rsidR="00D42D4E" w:rsidRPr="0056736E">
            <w:pPr>
              <w:jc w:val="center"/>
              <w:rPr>
                <w:rFonts w:eastAsia="Times New Roman"/>
                <w:b/>
                <w:bCs/>
                <w:color w:val="000000"/>
                <w:sz w:val="21"/>
                <w:szCs w:val="18"/>
              </w:rPr>
            </w:pPr>
            <w:r w:rsidRPr="0056736E">
              <w:rPr>
                <w:rFonts w:eastAsia="Times New Roman"/>
                <w:b/>
                <w:bCs/>
                <w:color w:val="000000"/>
                <w:sz w:val="21"/>
                <w:szCs w:val="18"/>
              </w:rPr>
              <w:t>33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HR2106955340019</w:t>
            </w:r>
          </w:p>
        </w:tc>
        <w:tc>
          <w:tcPr>
            <w:tcW w:type="dxa" w:w="4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PLASTAM obrt za izradu plastične ambalaže</w:t>
            </w:r>
          </w:p>
        </w:tc>
        <w:tc>
          <w:tcPr>
            <w:tcW w:type="dxa" w:w="19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jc w:val="right"/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3.590,00</w:t>
            </w:r>
          </w:p>
        </w:tc>
      </w:tr>
      <w:tr w:rsidTr="00012A88" w:rsidR="00D42D4E" w:rsidRPr="0056736E">
        <w:trPr>
          <w:trHeight w:val="284"/>
          <w:jc w:val="center"/>
        </w:trPr>
        <w:tc>
          <w:tcPr>
            <w:tcW w:type="dxa" w:w="7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2D4E" w:rsidR="00D42D4E" w:rsidRPr="0056736E">
            <w:pPr>
              <w:jc w:val="center"/>
              <w:rPr>
                <w:rFonts w:eastAsia="Times New Roman"/>
                <w:b/>
                <w:bCs/>
                <w:color w:val="000000"/>
                <w:sz w:val="21"/>
                <w:szCs w:val="18"/>
              </w:rPr>
            </w:pPr>
            <w:r w:rsidRPr="0056736E">
              <w:rPr>
                <w:rFonts w:eastAsia="Times New Roman"/>
                <w:b/>
                <w:bCs/>
                <w:color w:val="000000"/>
                <w:sz w:val="21"/>
                <w:szCs w:val="18"/>
              </w:rPr>
              <w:t>34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64655340358</w:t>
            </w:r>
          </w:p>
        </w:tc>
        <w:tc>
          <w:tcPr>
            <w:tcW w:type="dxa" w:w="4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PREDIONICA KLANJEC d.o.o.</w:t>
            </w:r>
          </w:p>
        </w:tc>
        <w:tc>
          <w:tcPr>
            <w:tcW w:type="dxa" w:w="19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jc w:val="right"/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39.820,92</w:t>
            </w:r>
          </w:p>
        </w:tc>
      </w:tr>
      <w:tr w:rsidTr="00012A88" w:rsidR="00D42D4E" w:rsidRPr="0056736E">
        <w:trPr>
          <w:trHeight w:val="284"/>
          <w:jc w:val="center"/>
        </w:trPr>
        <w:tc>
          <w:tcPr>
            <w:tcW w:type="dxa" w:w="7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2D4E" w:rsidR="00D42D4E" w:rsidRPr="0056736E">
            <w:pPr>
              <w:jc w:val="center"/>
              <w:rPr>
                <w:rFonts w:eastAsia="Times New Roman"/>
                <w:b/>
                <w:bCs/>
                <w:color w:val="000000"/>
                <w:sz w:val="21"/>
                <w:szCs w:val="18"/>
              </w:rPr>
            </w:pPr>
            <w:r w:rsidRPr="0056736E">
              <w:rPr>
                <w:rFonts w:eastAsia="Times New Roman"/>
                <w:b/>
                <w:bCs/>
                <w:color w:val="000000"/>
                <w:sz w:val="21"/>
                <w:szCs w:val="18"/>
              </w:rPr>
              <w:t>35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87603735332</w:t>
            </w:r>
          </w:p>
        </w:tc>
        <w:tc>
          <w:tcPr>
            <w:tcW w:type="dxa" w:w="4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PRO NATURA D.O.O.</w:t>
            </w:r>
          </w:p>
        </w:tc>
        <w:tc>
          <w:tcPr>
            <w:tcW w:type="dxa" w:w="19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jc w:val="right"/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2.317,79</w:t>
            </w:r>
          </w:p>
        </w:tc>
      </w:tr>
      <w:tr w:rsidTr="00012A88" w:rsidR="00D42D4E" w:rsidRPr="0056736E">
        <w:trPr>
          <w:trHeight w:val="284"/>
          <w:jc w:val="center"/>
        </w:trPr>
        <w:tc>
          <w:tcPr>
            <w:tcW w:type="dxa" w:w="7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2D4E" w:rsidR="00D42D4E" w:rsidRPr="0056736E">
            <w:pPr>
              <w:jc w:val="center"/>
              <w:rPr>
                <w:rFonts w:eastAsia="Times New Roman"/>
                <w:b/>
                <w:bCs/>
                <w:color w:val="000000"/>
                <w:sz w:val="21"/>
                <w:szCs w:val="18"/>
              </w:rPr>
            </w:pPr>
            <w:r w:rsidRPr="0056736E">
              <w:rPr>
                <w:rFonts w:eastAsia="Times New Roman"/>
                <w:b/>
                <w:bCs/>
                <w:color w:val="000000"/>
                <w:sz w:val="21"/>
                <w:szCs w:val="18"/>
              </w:rPr>
              <w:t>36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54734307869</w:t>
            </w:r>
          </w:p>
        </w:tc>
        <w:tc>
          <w:tcPr>
            <w:tcW w:type="dxa" w:w="4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Proadeo d.o.o.</w:t>
            </w:r>
          </w:p>
        </w:tc>
        <w:tc>
          <w:tcPr>
            <w:tcW w:type="dxa" w:w="19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jc w:val="right"/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5.000,00</w:t>
            </w:r>
          </w:p>
        </w:tc>
      </w:tr>
      <w:tr w:rsidTr="00012A88" w:rsidR="00D42D4E" w:rsidRPr="0056736E">
        <w:trPr>
          <w:trHeight w:val="284"/>
          <w:jc w:val="center"/>
        </w:trPr>
        <w:tc>
          <w:tcPr>
            <w:tcW w:type="dxa" w:w="7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2D4E" w:rsidR="00D42D4E" w:rsidRPr="0056736E">
            <w:pPr>
              <w:jc w:val="center"/>
              <w:rPr>
                <w:rFonts w:eastAsia="Times New Roman"/>
                <w:b/>
                <w:bCs/>
                <w:color w:val="000000"/>
                <w:sz w:val="21"/>
                <w:szCs w:val="18"/>
              </w:rPr>
            </w:pPr>
            <w:r w:rsidRPr="0056736E">
              <w:rPr>
                <w:rFonts w:eastAsia="Times New Roman"/>
                <w:b/>
                <w:bCs/>
                <w:color w:val="000000"/>
                <w:sz w:val="21"/>
                <w:szCs w:val="18"/>
              </w:rPr>
              <w:t>37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43354566311</w:t>
            </w:r>
          </w:p>
        </w:tc>
        <w:tc>
          <w:tcPr>
            <w:tcW w:type="dxa" w:w="4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RHEA D.O.O.</w:t>
            </w:r>
          </w:p>
        </w:tc>
        <w:tc>
          <w:tcPr>
            <w:tcW w:type="dxa" w:w="19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jc w:val="right"/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220,30</w:t>
            </w:r>
          </w:p>
        </w:tc>
      </w:tr>
      <w:tr w:rsidTr="00012A88" w:rsidR="00D42D4E" w:rsidRPr="0056736E">
        <w:trPr>
          <w:trHeight w:val="284"/>
          <w:jc w:val="center"/>
        </w:trPr>
        <w:tc>
          <w:tcPr>
            <w:tcW w:type="dxa" w:w="7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2D4E" w:rsidR="00D42D4E" w:rsidRPr="0056736E">
            <w:pPr>
              <w:jc w:val="center"/>
              <w:rPr>
                <w:rFonts w:eastAsia="Times New Roman"/>
                <w:b/>
                <w:bCs/>
                <w:color w:val="000000"/>
                <w:sz w:val="21"/>
                <w:szCs w:val="18"/>
              </w:rPr>
            </w:pPr>
            <w:r w:rsidRPr="0056736E">
              <w:rPr>
                <w:rFonts w:eastAsia="Times New Roman"/>
                <w:b/>
                <w:bCs/>
                <w:color w:val="000000"/>
                <w:sz w:val="21"/>
                <w:szCs w:val="18"/>
              </w:rPr>
              <w:t>38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51003352330</w:t>
            </w:r>
          </w:p>
        </w:tc>
        <w:tc>
          <w:tcPr>
            <w:tcW w:type="dxa" w:w="4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Schenker d.o.o.</w:t>
            </w:r>
          </w:p>
        </w:tc>
        <w:tc>
          <w:tcPr>
            <w:tcW w:type="dxa" w:w="19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jc w:val="right"/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2.810,09</w:t>
            </w:r>
          </w:p>
        </w:tc>
      </w:tr>
      <w:tr w:rsidTr="00012A88" w:rsidR="00D42D4E" w:rsidRPr="0056736E">
        <w:trPr>
          <w:trHeight w:val="284"/>
          <w:jc w:val="center"/>
        </w:trPr>
        <w:tc>
          <w:tcPr>
            <w:tcW w:type="dxa" w:w="7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2D4E" w:rsidR="00D42D4E" w:rsidRPr="0056736E">
            <w:pPr>
              <w:jc w:val="center"/>
              <w:rPr>
                <w:rFonts w:eastAsia="Times New Roman"/>
                <w:b/>
                <w:bCs/>
                <w:color w:val="000000"/>
                <w:sz w:val="21"/>
                <w:szCs w:val="18"/>
              </w:rPr>
            </w:pPr>
            <w:r w:rsidRPr="0056736E">
              <w:rPr>
                <w:rFonts w:eastAsia="Times New Roman"/>
                <w:b/>
                <w:bCs/>
                <w:color w:val="000000"/>
                <w:sz w:val="21"/>
                <w:szCs w:val="18"/>
              </w:rPr>
              <w:t>39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33699314523</w:t>
            </w:r>
          </w:p>
        </w:tc>
        <w:tc>
          <w:tcPr>
            <w:tcW w:type="dxa" w:w="4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Mladen Sinković, vlasnik obrta "TRANSPORT I TRGOVINA SINKOVIĆ"</w:t>
            </w:r>
          </w:p>
        </w:tc>
        <w:tc>
          <w:tcPr>
            <w:tcW w:type="dxa" w:w="19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jc w:val="right"/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32.789,44</w:t>
            </w:r>
          </w:p>
        </w:tc>
      </w:tr>
      <w:tr w:rsidTr="00012A88" w:rsidR="00D42D4E" w:rsidRPr="0056736E">
        <w:trPr>
          <w:trHeight w:val="463"/>
          <w:jc w:val="center"/>
        </w:trPr>
        <w:tc>
          <w:tcPr>
            <w:tcW w:type="dxa" w:w="7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2D4E" w:rsidR="00D42D4E" w:rsidRPr="0056736E">
            <w:pPr>
              <w:jc w:val="center"/>
              <w:rPr>
                <w:rFonts w:eastAsia="Times New Roman"/>
                <w:b/>
                <w:bCs/>
                <w:color w:val="000000"/>
                <w:sz w:val="21"/>
                <w:szCs w:val="18"/>
              </w:rPr>
            </w:pPr>
            <w:r w:rsidRPr="0056736E">
              <w:rPr>
                <w:rFonts w:eastAsia="Times New Roman"/>
                <w:b/>
                <w:bCs/>
                <w:color w:val="000000"/>
                <w:sz w:val="21"/>
                <w:szCs w:val="18"/>
              </w:rPr>
              <w:t>40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68836331653</w:t>
            </w:r>
          </w:p>
        </w:tc>
        <w:tc>
          <w:tcPr>
            <w:tcW w:type="dxa" w:w="4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br/>
              <w:t>ANA PAVLIĆ, vlasnica obrta "SITOTISAK RAKLA"</w:t>
            </w:r>
          </w:p>
        </w:tc>
        <w:tc>
          <w:tcPr>
            <w:tcW w:type="dxa" w:w="19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jc w:val="right"/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87,50</w:t>
            </w:r>
          </w:p>
        </w:tc>
      </w:tr>
      <w:tr w:rsidTr="00012A88" w:rsidR="00D42D4E" w:rsidRPr="0056736E">
        <w:trPr>
          <w:trHeight w:val="284"/>
          <w:jc w:val="center"/>
        </w:trPr>
        <w:tc>
          <w:tcPr>
            <w:tcW w:type="dxa" w:w="7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2D4E" w:rsidR="00D42D4E" w:rsidRPr="0056736E">
            <w:pPr>
              <w:jc w:val="center"/>
              <w:rPr>
                <w:rFonts w:eastAsia="Times New Roman"/>
                <w:b/>
                <w:bCs/>
                <w:color w:val="000000"/>
                <w:sz w:val="21"/>
                <w:szCs w:val="18"/>
              </w:rPr>
            </w:pPr>
            <w:r w:rsidRPr="0056736E">
              <w:rPr>
                <w:rFonts w:eastAsia="Times New Roman"/>
                <w:b/>
                <w:bCs/>
                <w:color w:val="000000"/>
                <w:sz w:val="21"/>
                <w:szCs w:val="18"/>
              </w:rPr>
              <w:t>41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EL094301005</w:t>
            </w:r>
          </w:p>
        </w:tc>
        <w:tc>
          <w:tcPr>
            <w:tcW w:type="dxa" w:w="4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SOULIS-KUEHNIS A.G.</w:t>
            </w:r>
          </w:p>
        </w:tc>
        <w:tc>
          <w:tcPr>
            <w:tcW w:type="dxa" w:w="19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jc w:val="right"/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52.812,37</w:t>
            </w:r>
          </w:p>
        </w:tc>
      </w:tr>
      <w:tr w:rsidTr="00012A88" w:rsidR="00D42D4E" w:rsidRPr="0056736E">
        <w:trPr>
          <w:trHeight w:val="284"/>
          <w:jc w:val="center"/>
        </w:trPr>
        <w:tc>
          <w:tcPr>
            <w:tcW w:type="dxa" w:w="7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2D4E" w:rsidR="00D42D4E" w:rsidRPr="0056736E">
            <w:pPr>
              <w:jc w:val="center"/>
              <w:rPr>
                <w:rFonts w:eastAsia="Times New Roman"/>
                <w:b/>
                <w:bCs/>
                <w:color w:val="000000"/>
                <w:sz w:val="21"/>
                <w:szCs w:val="18"/>
              </w:rPr>
            </w:pPr>
            <w:r w:rsidRPr="0056736E">
              <w:rPr>
                <w:rFonts w:eastAsia="Times New Roman"/>
                <w:b/>
                <w:bCs/>
                <w:color w:val="000000"/>
                <w:sz w:val="21"/>
                <w:szCs w:val="18"/>
              </w:rPr>
              <w:t>42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82099312853</w:t>
            </w:r>
          </w:p>
        </w:tc>
        <w:tc>
          <w:tcPr>
            <w:tcW w:type="dxa" w:w="4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ŠIVANOL PROMET d.o.o.</w:t>
            </w:r>
          </w:p>
        </w:tc>
        <w:tc>
          <w:tcPr>
            <w:tcW w:type="dxa" w:w="19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jc w:val="right"/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1.866,00</w:t>
            </w:r>
          </w:p>
        </w:tc>
      </w:tr>
      <w:tr w:rsidTr="00012A88" w:rsidR="00D42D4E" w:rsidRPr="0056736E">
        <w:trPr>
          <w:trHeight w:val="284"/>
          <w:jc w:val="center"/>
        </w:trPr>
        <w:tc>
          <w:tcPr>
            <w:tcW w:type="dxa" w:w="7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2D4E" w:rsidR="00D42D4E" w:rsidRPr="0056736E">
            <w:pPr>
              <w:jc w:val="center"/>
              <w:rPr>
                <w:rFonts w:eastAsia="Times New Roman"/>
                <w:b/>
                <w:bCs/>
                <w:color w:val="000000"/>
                <w:sz w:val="21"/>
                <w:szCs w:val="18"/>
              </w:rPr>
            </w:pPr>
            <w:r w:rsidRPr="0056736E">
              <w:rPr>
                <w:rFonts w:eastAsia="Times New Roman"/>
                <w:b/>
                <w:bCs/>
                <w:color w:val="000000"/>
                <w:sz w:val="21"/>
                <w:szCs w:val="18"/>
              </w:rPr>
              <w:t>43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75917721668</w:t>
            </w:r>
          </w:p>
        </w:tc>
        <w:tc>
          <w:tcPr>
            <w:tcW w:type="dxa" w:w="4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Tisak d.d.</w:t>
            </w:r>
          </w:p>
        </w:tc>
        <w:tc>
          <w:tcPr>
            <w:tcW w:type="dxa" w:w="19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jc w:val="right"/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1.078,10</w:t>
            </w:r>
          </w:p>
        </w:tc>
      </w:tr>
      <w:tr w:rsidTr="00012A88" w:rsidR="00D42D4E" w:rsidRPr="0056736E">
        <w:trPr>
          <w:trHeight w:val="284"/>
          <w:jc w:val="center"/>
        </w:trPr>
        <w:tc>
          <w:tcPr>
            <w:tcW w:type="dxa" w:w="7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2D4E" w:rsidR="00D42D4E" w:rsidRPr="0056736E">
            <w:pPr>
              <w:jc w:val="center"/>
              <w:rPr>
                <w:rFonts w:eastAsia="Times New Roman"/>
                <w:b/>
                <w:bCs/>
                <w:color w:val="000000"/>
                <w:sz w:val="21"/>
                <w:szCs w:val="18"/>
              </w:rPr>
            </w:pPr>
            <w:r w:rsidRPr="0056736E">
              <w:rPr>
                <w:rFonts w:eastAsia="Times New Roman"/>
                <w:b/>
                <w:bCs/>
                <w:color w:val="000000"/>
                <w:sz w:val="21"/>
                <w:szCs w:val="18"/>
              </w:rPr>
              <w:t>44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58216381969</w:t>
            </w:r>
          </w:p>
        </w:tc>
        <w:tc>
          <w:tcPr>
            <w:tcW w:type="dxa" w:w="4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Convel d.o.o. - obaveza za primljeni predujam</w:t>
            </w:r>
          </w:p>
        </w:tc>
        <w:tc>
          <w:tcPr>
            <w:tcW w:type="dxa" w:w="19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jc w:val="right"/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876,25</w:t>
            </w:r>
          </w:p>
        </w:tc>
      </w:tr>
      <w:tr w:rsidTr="00012A88" w:rsidR="00D42D4E" w:rsidRPr="0056736E">
        <w:trPr>
          <w:trHeight w:val="284"/>
          <w:jc w:val="center"/>
        </w:trPr>
        <w:tc>
          <w:tcPr>
            <w:tcW w:type="dxa" w:w="7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2D4E" w:rsidR="00D42D4E" w:rsidRPr="0056736E">
            <w:pPr>
              <w:jc w:val="center"/>
              <w:rPr>
                <w:rFonts w:eastAsia="Times New Roman"/>
                <w:b/>
                <w:bCs/>
                <w:color w:val="000000"/>
                <w:sz w:val="21"/>
                <w:szCs w:val="18"/>
              </w:rPr>
            </w:pPr>
            <w:r w:rsidRPr="0056736E">
              <w:rPr>
                <w:rFonts w:eastAsia="Times New Roman"/>
                <w:b/>
                <w:bCs/>
                <w:color w:val="000000"/>
                <w:sz w:val="21"/>
                <w:szCs w:val="18"/>
              </w:rPr>
              <w:t>45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18683136487</w:t>
            </w:r>
          </w:p>
        </w:tc>
        <w:tc>
          <w:tcPr>
            <w:tcW w:type="dxa" w:w="4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Republika Hrvatska, Ministarstvo financija  - Porezna uprava</w:t>
            </w:r>
          </w:p>
        </w:tc>
        <w:tc>
          <w:tcPr>
            <w:tcW w:type="dxa" w:w="19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jc w:val="right"/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237.505,48</w:t>
            </w:r>
          </w:p>
        </w:tc>
      </w:tr>
      <w:tr w:rsidTr="00012A88" w:rsidR="00D42D4E" w:rsidRPr="0056736E">
        <w:trPr>
          <w:trHeight w:val="284"/>
          <w:jc w:val="center"/>
        </w:trPr>
        <w:tc>
          <w:tcPr>
            <w:tcW w:type="dxa" w:w="7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2D4E" w:rsidR="00D42D4E" w:rsidRPr="0056736E">
            <w:pPr>
              <w:jc w:val="center"/>
              <w:rPr>
                <w:rFonts w:eastAsia="Times New Roman"/>
                <w:b/>
                <w:bCs/>
                <w:color w:val="000000"/>
                <w:sz w:val="21"/>
                <w:szCs w:val="18"/>
              </w:rPr>
            </w:pPr>
            <w:r w:rsidRPr="0056736E">
              <w:rPr>
                <w:rFonts w:eastAsia="Times New Roman"/>
                <w:b/>
                <w:bCs/>
                <w:color w:val="000000"/>
                <w:sz w:val="21"/>
                <w:szCs w:val="18"/>
              </w:rPr>
              <w:t>46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76767369197</w:t>
            </w:r>
          </w:p>
        </w:tc>
        <w:tc>
          <w:tcPr>
            <w:tcW w:type="dxa" w:w="4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Republika Hrvatska, Ministarstvo poljoprivrede</w:t>
            </w:r>
          </w:p>
        </w:tc>
        <w:tc>
          <w:tcPr>
            <w:tcW w:type="dxa" w:w="19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 w:rsidRPr="0056736E">
            <w:pPr>
              <w:jc w:val="right"/>
              <w:rPr>
                <w:rFonts w:eastAsia="Times New Roman"/>
                <w:color w:val="000000"/>
                <w:sz w:val="21"/>
                <w:szCs w:val="20"/>
              </w:rPr>
            </w:pPr>
            <w:r w:rsidRPr="0056736E">
              <w:rPr>
                <w:rFonts w:eastAsia="Times New Roman"/>
                <w:color w:val="000000"/>
                <w:sz w:val="21"/>
                <w:szCs w:val="20"/>
              </w:rPr>
              <w:t>5.930,84</w:t>
            </w:r>
          </w:p>
        </w:tc>
      </w:tr>
      <w:tr w:rsidTr="00012A88" w:rsidR="00D42D4E" w:rsidRPr="0056736E">
        <w:trPr>
          <w:trHeight w:val="284"/>
          <w:jc w:val="center"/>
        </w:trPr>
        <w:tc>
          <w:tcPr>
            <w:tcW w:type="dxa" w:w="7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</w:rPr>
            </w:pPr>
            <w:r w:rsidRPr="0056736E">
              <w:rPr>
                <w:rFonts w:eastAsia="Times New Roman"/>
                <w:color w:val="000000"/>
                <w:sz w:val="21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</w:rPr>
            </w:pPr>
            <w:r w:rsidRPr="0056736E">
              <w:rPr>
                <w:rFonts w:eastAsia="Times New Roman"/>
                <w:color w:val="000000"/>
                <w:sz w:val="21"/>
              </w:rPr>
              <w:t> </w:t>
            </w:r>
          </w:p>
        </w:tc>
        <w:tc>
          <w:tcPr>
            <w:tcW w:type="dxa" w:w="4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D42D4E" w:rsidR="00D42D4E" w:rsidRPr="0056736E">
            <w:pPr>
              <w:rPr>
                <w:rFonts w:eastAsia="Times New Roman"/>
                <w:color w:val="000000"/>
                <w:sz w:val="21"/>
              </w:rPr>
            </w:pPr>
            <w:r w:rsidRPr="0056736E">
              <w:rPr>
                <w:rFonts w:eastAsia="Times New Roman"/>
                <w:color w:val="000000"/>
                <w:sz w:val="21"/>
              </w:rPr>
              <w:t>Ukupno:</w:t>
            </w:r>
          </w:p>
        </w:tc>
        <w:tc>
          <w:tcPr>
            <w:tcW w:type="dxa" w:w="19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D42D4E" w:rsidR="00D42D4E" w:rsidRPr="0056736E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56736E">
              <w:rPr>
                <w:rFonts w:eastAsia="Times New Roman"/>
                <w:color w:val="000000"/>
                <w:sz w:val="21"/>
              </w:rPr>
              <w:t>1.670.614,33</w:t>
            </w:r>
          </w:p>
        </w:tc>
      </w:tr>
    </w:tbl>
    <w:p w:rsidRDefault="0056736E" w:rsidP="00AD7319" w:rsidR="0056736E">
      <w:pPr>
        <w:spacing w:lineRule="auto" w:line="360"/>
      </w:pPr>
    </w:p>
    <w:p w:rsidRDefault="00D42D4E" w:rsidP="00AD7319" w:rsidR="00D42D4E">
      <w:pPr>
        <w:spacing w:lineRule="auto" w:line="360"/>
        <w:rPr>
          <w:b/>
          <w:u w:val="single"/>
        </w:rPr>
      </w:pPr>
      <w:r w:rsidRPr="00D42D4E">
        <w:rPr>
          <w:b/>
          <w:u w:val="single"/>
        </w:rPr>
        <w:t>Razlučna prava:</w:t>
      </w:r>
    </w:p>
    <w:p w:rsidRDefault="00012A88" w:rsidP="00AD7319" w:rsidR="00012A88" w:rsidRPr="00D42D4E">
      <w:pPr>
        <w:spacing w:lineRule="auto" w:line="360"/>
        <w:rPr>
          <w:b/>
          <w:u w:val="single"/>
        </w:rPr>
      </w:pPr>
    </w:p>
    <w:tbl>
      <w:tblPr>
        <w:tblW w:type="dxa" w:w="8784"/>
        <w:tblInd w:type="dxa" w:w="113"/>
        <w:tblLook w:val="04A0" w:noVBand="1" w:noHBand="0" w:lastColumn="0" w:firstColumn="1" w:lastRow="0" w:firstRow="1"/>
      </w:tblPr>
      <w:tblGrid>
        <w:gridCol w:w="723"/>
        <w:gridCol w:w="1539"/>
        <w:gridCol w:w="3970"/>
        <w:gridCol w:w="2552"/>
      </w:tblGrid>
      <w:tr w:rsidTr="00012A88" w:rsidR="00D42D4E">
        <w:trPr>
          <w:trHeight w:val="960"/>
        </w:trPr>
        <w:tc>
          <w:tcPr>
            <w:tcW w:type="dxa" w:w="7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D42D4E" w:rsidR="00D42D4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lastRenderedPageBreak/>
              <w:t>RB</w:t>
            </w:r>
          </w:p>
        </w:tc>
        <w:tc>
          <w:tcPr>
            <w:tcW w:type="dxa" w:w="153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D42D4E" w:rsidR="00D42D4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OIB</w:t>
            </w:r>
          </w:p>
        </w:tc>
        <w:tc>
          <w:tcPr>
            <w:tcW w:type="dxa" w:w="397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D42D4E" w:rsidR="00D42D4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NAZIV VJEROVNIKA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D42D4E" w:rsidR="00D42D4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IZNOS OBVEZE</w:t>
            </w:r>
          </w:p>
        </w:tc>
      </w:tr>
      <w:tr w:rsidTr="00012A88" w:rsidR="00D42D4E">
        <w:trPr>
          <w:trHeight w:val="320"/>
        </w:trPr>
        <w:tc>
          <w:tcPr>
            <w:tcW w:type="dxa" w:w="7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2D4E" w:rsidR="00D42D4E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47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53056966535</w:t>
            </w:r>
          </w:p>
        </w:tc>
        <w:tc>
          <w:tcPr>
            <w:tcW w:type="dxa" w:w="39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Raiffeisen bank Austrija d.d. </w:t>
            </w: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1.375.785,63</w:t>
            </w:r>
          </w:p>
        </w:tc>
      </w:tr>
      <w:tr w:rsidTr="00012A88" w:rsidR="00D42D4E">
        <w:trPr>
          <w:trHeight w:val="320"/>
        </w:trPr>
        <w:tc>
          <w:tcPr>
            <w:tcW w:type="dxa" w:w="7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2D4E" w:rsidR="00D42D4E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48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69326397242</w:t>
            </w:r>
          </w:p>
        </w:tc>
        <w:tc>
          <w:tcPr>
            <w:tcW w:type="dxa" w:w="39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Societe Generale Splitska banka d.d. </w:t>
            </w: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743.323,00</w:t>
            </w:r>
          </w:p>
        </w:tc>
      </w:tr>
      <w:tr w:rsidTr="00012A88" w:rsidR="00D42D4E">
        <w:trPr>
          <w:trHeight w:val="320"/>
        </w:trPr>
        <w:tc>
          <w:tcPr>
            <w:tcW w:type="dxa" w:w="7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2D4E" w:rsidR="00D42D4E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49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DE811939031</w:t>
            </w:r>
          </w:p>
        </w:tc>
        <w:tc>
          <w:tcPr>
            <w:tcW w:type="dxa" w:w="39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TVU GARNVETRIEB GMBH </w:t>
            </w: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596.199,89</w:t>
            </w:r>
          </w:p>
        </w:tc>
      </w:tr>
      <w:tr w:rsidTr="00012A88" w:rsidR="00D42D4E">
        <w:trPr>
          <w:trHeight w:val="320"/>
        </w:trPr>
        <w:tc>
          <w:tcPr>
            <w:tcW w:type="dxa" w:w="7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D42D4E" w:rsidR="00D42D4E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D42D4E" w:rsidR="00D42D4E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type="dxa" w:w="39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D42D4E" w:rsidR="00D42D4E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Ukupno:</w:t>
            </w: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D42D4E" w:rsidR="00D42D4E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2.715.308,52</w:t>
            </w:r>
          </w:p>
        </w:tc>
      </w:tr>
    </w:tbl>
    <w:p w:rsidRDefault="00F614EF" w:rsidP="00AD7319" w:rsidR="00F614EF">
      <w:pPr>
        <w:spacing w:lineRule="auto" w:line="360"/>
      </w:pPr>
    </w:p>
    <w:p w:rsidRDefault="00D42D4E" w:rsidP="00AD7319" w:rsidR="00D42D4E">
      <w:pPr>
        <w:spacing w:lineRule="auto" w:line="360"/>
        <w:rPr>
          <w:b/>
          <w:u w:val="single"/>
        </w:rPr>
      </w:pPr>
      <w:r w:rsidRPr="00D42D4E">
        <w:rPr>
          <w:b/>
          <w:u w:val="single"/>
        </w:rPr>
        <w:t>Izlučna prava:</w:t>
      </w:r>
    </w:p>
    <w:p w:rsidRDefault="00012A88" w:rsidP="00AD7319" w:rsidR="00012A88" w:rsidRPr="00D42D4E">
      <w:pPr>
        <w:spacing w:lineRule="auto" w:line="360"/>
        <w:rPr>
          <w:b/>
          <w:u w:val="single"/>
        </w:rPr>
      </w:pPr>
    </w:p>
    <w:tbl>
      <w:tblPr>
        <w:tblW w:type="dxa" w:w="7955"/>
        <w:tblInd w:type="dxa" w:w="113"/>
        <w:tblLook w:val="04A0" w:noVBand="1" w:noHBand="0" w:lastColumn="0" w:firstColumn="1" w:lastRow="0" w:firstRow="1"/>
      </w:tblPr>
      <w:tblGrid>
        <w:gridCol w:w="723"/>
        <w:gridCol w:w="1472"/>
        <w:gridCol w:w="3644"/>
        <w:gridCol w:w="2116"/>
      </w:tblGrid>
      <w:tr w:rsidTr="00D42D4E" w:rsidR="00D42D4E">
        <w:trPr>
          <w:trHeight w:val="960"/>
        </w:trPr>
        <w:tc>
          <w:tcPr>
            <w:tcW w:type="dxa" w:w="7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D42D4E" w:rsidR="00D42D4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RB</w:t>
            </w:r>
          </w:p>
        </w:tc>
        <w:tc>
          <w:tcPr>
            <w:tcW w:type="dxa" w:w="14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D42D4E" w:rsidR="00D42D4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OIB</w:t>
            </w:r>
          </w:p>
        </w:tc>
        <w:tc>
          <w:tcPr>
            <w:tcW w:type="dxa" w:w="36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D42D4E" w:rsidR="00D42D4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NAZIV VJEROVNIKA</w:t>
            </w:r>
          </w:p>
        </w:tc>
        <w:tc>
          <w:tcPr>
            <w:tcW w:type="dxa" w:w="21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D42D4E" w:rsidR="00D42D4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IZNOS OBVEZE</w:t>
            </w:r>
          </w:p>
        </w:tc>
      </w:tr>
      <w:tr w:rsidTr="00D42D4E" w:rsidR="00D42D4E">
        <w:trPr>
          <w:trHeight w:val="320"/>
        </w:trPr>
        <w:tc>
          <w:tcPr>
            <w:tcW w:type="dxa" w:w="7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2D4E" w:rsidR="00D42D4E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50</w:t>
            </w:r>
          </w:p>
        </w:tc>
        <w:tc>
          <w:tcPr>
            <w:tcW w:type="dxa" w:w="1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90275854576</w:t>
            </w:r>
          </w:p>
        </w:tc>
        <w:tc>
          <w:tcPr>
            <w:tcW w:type="dxa" w:w="3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Porsche Leasing d.o.o. UGOVOR 65917</w:t>
            </w:r>
          </w:p>
        </w:tc>
        <w:tc>
          <w:tcPr>
            <w:tcW w:type="dxa" w:w="2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8.875,64</w:t>
            </w:r>
          </w:p>
        </w:tc>
      </w:tr>
      <w:tr w:rsidTr="00D42D4E" w:rsidR="00D42D4E">
        <w:trPr>
          <w:trHeight w:val="320"/>
        </w:trPr>
        <w:tc>
          <w:tcPr>
            <w:tcW w:type="dxa" w:w="7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2D4E" w:rsidR="00D42D4E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51</w:t>
            </w:r>
          </w:p>
        </w:tc>
        <w:tc>
          <w:tcPr>
            <w:tcW w:type="dxa" w:w="1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90275854576</w:t>
            </w:r>
          </w:p>
        </w:tc>
        <w:tc>
          <w:tcPr>
            <w:tcW w:type="dxa" w:w="3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Porsche Leasing d.o.o. UGOVOR 65916</w:t>
            </w:r>
          </w:p>
        </w:tc>
        <w:tc>
          <w:tcPr>
            <w:tcW w:type="dxa" w:w="2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2D4E" w:rsidR="00D42D4E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113.421,51</w:t>
            </w:r>
          </w:p>
        </w:tc>
      </w:tr>
      <w:tr w:rsidTr="00D42D4E" w:rsidR="00D42D4E">
        <w:trPr>
          <w:trHeight w:val="320"/>
        </w:trPr>
        <w:tc>
          <w:tcPr>
            <w:tcW w:type="dxa" w:w="7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D42D4E" w:rsidR="00D42D4E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type="dxa" w:w="1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D42D4E" w:rsidR="00D42D4E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type="dxa" w:w="3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D42D4E" w:rsidR="00D42D4E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Ukupno:</w:t>
            </w:r>
          </w:p>
        </w:tc>
        <w:tc>
          <w:tcPr>
            <w:tcW w:type="dxa" w:w="2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D42D4E" w:rsidR="00D42D4E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122.297,15</w:t>
            </w:r>
          </w:p>
        </w:tc>
      </w:tr>
    </w:tbl>
    <w:p w:rsidRDefault="00D42D4E" w:rsidP="00AD7319" w:rsidR="00D42D4E">
      <w:pPr>
        <w:spacing w:lineRule="auto" w:line="360"/>
      </w:pPr>
    </w:p>
    <w:p w:rsidRDefault="00D42D4E" w:rsidP="00AD7319" w:rsidR="00D42D4E">
      <w:pPr>
        <w:spacing w:lineRule="auto" w:line="360"/>
        <w:rPr>
          <w:b/>
          <w:u w:val="single"/>
        </w:rPr>
      </w:pPr>
      <w:r w:rsidRPr="00D42D4E">
        <w:rPr>
          <w:b/>
          <w:u w:val="single"/>
        </w:rPr>
        <w:t>Prioritetne tražbine (pla</w:t>
      </w:r>
      <w:r w:rsidR="00977DF1">
        <w:rPr>
          <w:b/>
          <w:u w:val="single"/>
        </w:rPr>
        <w:t>ć</w:t>
      </w:r>
      <w:r w:rsidRPr="00D42D4E">
        <w:rPr>
          <w:b/>
          <w:u w:val="single"/>
        </w:rPr>
        <w:t>e radnika):</w:t>
      </w:r>
    </w:p>
    <w:p w:rsidRDefault="00012A88" w:rsidP="00AD7319" w:rsidR="00012A88" w:rsidRPr="00D42D4E">
      <w:pPr>
        <w:spacing w:lineRule="auto" w:line="360"/>
        <w:rPr>
          <w:b/>
          <w:u w:val="single"/>
        </w:rPr>
      </w:pPr>
    </w:p>
    <w:tbl>
      <w:tblPr>
        <w:tblW w:type="dxa" w:w="6580"/>
        <w:tblInd w:type="dxa" w:w="113"/>
        <w:tblLook w:val="04A0" w:noVBand="1" w:noHBand="0" w:lastColumn="0" w:firstColumn="1" w:lastRow="0" w:firstRow="1"/>
      </w:tblPr>
      <w:tblGrid>
        <w:gridCol w:w="1340"/>
        <w:gridCol w:w="1340"/>
        <w:gridCol w:w="2220"/>
        <w:gridCol w:w="1680"/>
      </w:tblGrid>
      <w:tr w:rsidTr="00D42D4E" w:rsidR="00D42D4E">
        <w:trPr>
          <w:trHeight w:val="320"/>
        </w:trPr>
        <w:tc>
          <w:tcPr>
            <w:tcW w:type="dxa" w:w="13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D42D4E" w:rsidR="00D42D4E">
            <w:pPr>
              <w:jc w:val="center"/>
              <w:rPr>
                <w:rFonts w:eastAsia="Times New Roman" w:hAnsi="Calibri" w:ascii="Calibri"/>
              </w:rPr>
            </w:pPr>
            <w:r>
              <w:rPr>
                <w:rFonts w:eastAsia="Times New Roman" w:hAnsi="Calibri" w:ascii="Calibri"/>
              </w:rPr>
              <w:t>RB</w:t>
            </w:r>
          </w:p>
        </w:tc>
        <w:tc>
          <w:tcPr>
            <w:tcW w:type="dxa" w:w="13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D42D4E" w:rsidR="00D42D4E">
            <w:pPr>
              <w:jc w:val="center"/>
              <w:rPr>
                <w:rFonts w:eastAsia="Times New Roman" w:hAnsi="Calibri" w:ascii="Calibri"/>
              </w:rPr>
            </w:pPr>
            <w:r>
              <w:rPr>
                <w:rFonts w:eastAsia="Times New Roman" w:hAnsi="Calibri" w:ascii="Calibri"/>
              </w:rPr>
              <w:t>OIB</w:t>
            </w:r>
          </w:p>
        </w:tc>
        <w:tc>
          <w:tcPr>
            <w:tcW w:type="dxa" w:w="22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D42D4E" w:rsidR="00D42D4E">
            <w:pPr>
              <w:jc w:val="center"/>
              <w:rPr>
                <w:rFonts w:eastAsia="Times New Roman" w:hAnsi="Calibri" w:ascii="Calibri"/>
              </w:rPr>
            </w:pPr>
            <w:r>
              <w:rPr>
                <w:rFonts w:eastAsia="Times New Roman" w:hAnsi="Calibri" w:ascii="Calibri"/>
              </w:rPr>
              <w:t>Ime i prezime radnika</w:t>
            </w:r>
          </w:p>
        </w:tc>
        <w:tc>
          <w:tcPr>
            <w:tcW w:type="dxa" w:w="16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D42D4E" w:rsidR="00D42D4E">
            <w:pPr>
              <w:jc w:val="center"/>
              <w:rPr>
                <w:rFonts w:eastAsia="Times New Roman" w:hAnsi="Calibri" w:ascii="Calibri"/>
              </w:rPr>
            </w:pPr>
            <w:r>
              <w:rPr>
                <w:rFonts w:eastAsia="Times New Roman" w:hAnsi="Calibri" w:ascii="Calibri"/>
              </w:rPr>
              <w:t>Iznos obveze</w:t>
            </w:r>
          </w:p>
        </w:tc>
      </w:tr>
      <w:tr w:rsidTr="00D42D4E" w:rsidR="00D42D4E">
        <w:trPr>
          <w:trHeight w:val="320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2D4E" w:rsidR="00D42D4E">
            <w:pPr>
              <w:jc w:val="center"/>
              <w:rPr>
                <w:rFonts w:eastAsia="Times New Roman" w:hAnsi="Calibri" w:ascii="Calibri"/>
                <w:b/>
                <w:bCs/>
                <w:sz w:val="18"/>
                <w:szCs w:val="18"/>
              </w:rPr>
            </w:pPr>
            <w:r>
              <w:rPr>
                <w:rFonts w:eastAsia="Times New Roman" w:hAnsi="Calibri" w:ascii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2D4E" w:rsidR="00D42D4E">
            <w:pPr>
              <w:jc w:val="center"/>
              <w:rPr>
                <w:rFonts w:eastAsia="Times New Roman" w:hAnsi="Calibri" w:ascii="Calibri"/>
                <w:sz w:val="18"/>
                <w:szCs w:val="18"/>
              </w:rPr>
            </w:pPr>
            <w:r>
              <w:rPr>
                <w:rFonts w:eastAsia="Times New Roman" w:hAnsi="Calibri" w:ascii="Calibri"/>
                <w:sz w:val="18"/>
                <w:szCs w:val="18"/>
              </w:rPr>
              <w:t>29766598870</w:t>
            </w:r>
          </w:p>
        </w:tc>
        <w:tc>
          <w:tcPr>
            <w:tcW w:type="dxa" w:w="2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2D4E" w:rsidR="00D42D4E">
            <w:pPr>
              <w:rPr>
                <w:rFonts w:eastAsia="Times New Roman" w:hAnsi="Calibri" w:ascii="Calibri"/>
                <w:color w:val="000000"/>
                <w:sz w:val="20"/>
                <w:szCs w:val="20"/>
              </w:rPr>
            </w:pPr>
            <w:r>
              <w:rPr>
                <w:rFonts w:eastAsia="Times New Roman" w:hAnsi="Calibri" w:ascii="Calibri"/>
                <w:color w:val="000000"/>
                <w:sz w:val="20"/>
                <w:szCs w:val="20"/>
              </w:rPr>
              <w:t>Nevenka Lozanov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2D4E" w:rsidR="00D42D4E">
            <w:pPr>
              <w:jc w:val="right"/>
              <w:rPr>
                <w:rFonts w:eastAsia="Times New Roman" w:hAnsi="Calibri" w:ascii="Calibri"/>
                <w:color w:val="000000"/>
                <w:sz w:val="20"/>
                <w:szCs w:val="20"/>
              </w:rPr>
            </w:pPr>
            <w:r>
              <w:rPr>
                <w:rFonts w:eastAsia="Times New Roman" w:hAnsi="Calibri" w:ascii="Calibri"/>
                <w:color w:val="000000"/>
                <w:sz w:val="20"/>
                <w:szCs w:val="20"/>
              </w:rPr>
              <w:t>3.686,75</w:t>
            </w:r>
          </w:p>
        </w:tc>
      </w:tr>
      <w:tr w:rsidTr="00D42D4E" w:rsidR="00D42D4E">
        <w:trPr>
          <w:trHeight w:val="320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2D4E" w:rsidR="00D42D4E">
            <w:pPr>
              <w:jc w:val="center"/>
              <w:rPr>
                <w:rFonts w:eastAsia="Times New Roman" w:hAnsi="Calibri" w:ascii="Calibri"/>
                <w:b/>
                <w:bCs/>
                <w:sz w:val="18"/>
                <w:szCs w:val="18"/>
              </w:rPr>
            </w:pPr>
            <w:r>
              <w:rPr>
                <w:rFonts w:eastAsia="Times New Roman" w:hAnsi="Calibri" w:ascii="Calibr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2D4E" w:rsidR="00D42D4E">
            <w:pPr>
              <w:jc w:val="center"/>
              <w:rPr>
                <w:rFonts w:eastAsia="Times New Roman" w:hAnsi="Calibri" w:ascii="Calibri"/>
                <w:sz w:val="18"/>
                <w:szCs w:val="18"/>
              </w:rPr>
            </w:pPr>
            <w:r>
              <w:rPr>
                <w:rFonts w:eastAsia="Times New Roman" w:hAnsi="Calibri" w:ascii="Calibri"/>
                <w:sz w:val="18"/>
                <w:szCs w:val="18"/>
              </w:rPr>
              <w:t>35294193226</w:t>
            </w:r>
          </w:p>
        </w:tc>
        <w:tc>
          <w:tcPr>
            <w:tcW w:type="dxa" w:w="2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2D4E" w:rsidR="00D42D4E">
            <w:pPr>
              <w:rPr>
                <w:rFonts w:eastAsia="Times New Roman" w:hAnsi="Calibri" w:ascii="Calibri"/>
                <w:color w:val="000000"/>
                <w:sz w:val="20"/>
                <w:szCs w:val="20"/>
              </w:rPr>
            </w:pPr>
            <w:r>
              <w:rPr>
                <w:rFonts w:eastAsia="Times New Roman" w:hAnsi="Calibri" w:ascii="Calibri"/>
                <w:color w:val="000000"/>
                <w:sz w:val="20"/>
                <w:szCs w:val="20"/>
              </w:rPr>
              <w:t>Željkica Vitelić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2D4E" w:rsidR="00D42D4E">
            <w:pPr>
              <w:jc w:val="right"/>
              <w:rPr>
                <w:rFonts w:eastAsia="Times New Roman" w:hAnsi="Calibri" w:ascii="Calibri"/>
                <w:color w:val="000000"/>
                <w:sz w:val="20"/>
                <w:szCs w:val="20"/>
              </w:rPr>
            </w:pPr>
            <w:r>
              <w:rPr>
                <w:rFonts w:eastAsia="Times New Roman" w:hAnsi="Calibri" w:ascii="Calibri"/>
                <w:color w:val="000000"/>
                <w:sz w:val="20"/>
                <w:szCs w:val="20"/>
              </w:rPr>
              <w:t>3.160,60</w:t>
            </w:r>
          </w:p>
        </w:tc>
      </w:tr>
      <w:tr w:rsidTr="00D42D4E" w:rsidR="00D42D4E">
        <w:trPr>
          <w:trHeight w:val="320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2D4E" w:rsidR="00D42D4E">
            <w:pPr>
              <w:jc w:val="center"/>
              <w:rPr>
                <w:rFonts w:eastAsia="Times New Roman" w:hAnsi="Calibri" w:ascii="Calibri"/>
                <w:b/>
                <w:bCs/>
                <w:sz w:val="18"/>
                <w:szCs w:val="18"/>
              </w:rPr>
            </w:pPr>
            <w:r>
              <w:rPr>
                <w:rFonts w:eastAsia="Times New Roman" w:hAnsi="Calibri" w:ascii="Calibr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2D4E" w:rsidR="00D42D4E">
            <w:pPr>
              <w:jc w:val="center"/>
              <w:rPr>
                <w:rFonts w:eastAsia="Times New Roman" w:hAnsi="Calibri" w:ascii="Calibri"/>
                <w:sz w:val="18"/>
                <w:szCs w:val="18"/>
              </w:rPr>
            </w:pPr>
            <w:r>
              <w:rPr>
                <w:rFonts w:eastAsia="Times New Roman" w:hAnsi="Calibri" w:ascii="Calibri"/>
                <w:sz w:val="18"/>
                <w:szCs w:val="18"/>
              </w:rPr>
              <w:t>89410833727</w:t>
            </w:r>
          </w:p>
        </w:tc>
        <w:tc>
          <w:tcPr>
            <w:tcW w:type="dxa" w:w="2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2D4E" w:rsidR="00D42D4E">
            <w:pPr>
              <w:rPr>
                <w:rFonts w:eastAsia="Times New Roman" w:hAnsi="Calibri" w:ascii="Calibri"/>
                <w:color w:val="000000"/>
                <w:sz w:val="20"/>
                <w:szCs w:val="20"/>
              </w:rPr>
            </w:pPr>
            <w:r>
              <w:rPr>
                <w:rFonts w:eastAsia="Times New Roman" w:hAnsi="Calibri" w:ascii="Calibri"/>
                <w:color w:val="000000"/>
                <w:sz w:val="20"/>
                <w:szCs w:val="20"/>
              </w:rPr>
              <w:t>Marina Široki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2D4E" w:rsidR="00D42D4E">
            <w:pPr>
              <w:jc w:val="right"/>
              <w:rPr>
                <w:rFonts w:eastAsia="Times New Roman" w:hAnsi="Calibri" w:ascii="Calibri"/>
                <w:color w:val="000000"/>
                <w:sz w:val="20"/>
                <w:szCs w:val="20"/>
              </w:rPr>
            </w:pPr>
            <w:r>
              <w:rPr>
                <w:rFonts w:eastAsia="Times New Roman" w:hAnsi="Calibri" w:ascii="Calibri"/>
                <w:color w:val="000000"/>
                <w:sz w:val="20"/>
                <w:szCs w:val="20"/>
              </w:rPr>
              <w:t>3.218,54</w:t>
            </w:r>
          </w:p>
        </w:tc>
      </w:tr>
      <w:tr w:rsidTr="00D42D4E" w:rsidR="00D42D4E">
        <w:trPr>
          <w:trHeight w:val="320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2D4E" w:rsidR="00D42D4E">
            <w:pPr>
              <w:jc w:val="center"/>
              <w:rPr>
                <w:rFonts w:eastAsia="Times New Roman" w:hAnsi="Calibri" w:ascii="Calibri"/>
                <w:b/>
                <w:bCs/>
                <w:sz w:val="18"/>
                <w:szCs w:val="18"/>
              </w:rPr>
            </w:pPr>
            <w:r>
              <w:rPr>
                <w:rFonts w:eastAsia="Times New Roman" w:hAnsi="Calibri" w:ascii="Calibri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2D4E" w:rsidR="00D42D4E">
            <w:pPr>
              <w:jc w:val="center"/>
              <w:rPr>
                <w:rFonts w:eastAsia="Times New Roman" w:hAnsi="Calibri" w:ascii="Calibri"/>
                <w:sz w:val="18"/>
                <w:szCs w:val="18"/>
              </w:rPr>
            </w:pPr>
            <w:r>
              <w:rPr>
                <w:rFonts w:eastAsia="Times New Roman" w:hAnsi="Calibri" w:ascii="Calibri"/>
                <w:sz w:val="18"/>
                <w:szCs w:val="18"/>
              </w:rPr>
              <w:t>2954975946</w:t>
            </w:r>
          </w:p>
        </w:tc>
        <w:tc>
          <w:tcPr>
            <w:tcW w:type="dxa" w:w="2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2D4E" w:rsidR="00D42D4E">
            <w:pPr>
              <w:rPr>
                <w:rFonts w:eastAsia="Times New Roman" w:hAnsi="Calibri" w:ascii="Calibri"/>
                <w:color w:val="000000"/>
                <w:sz w:val="20"/>
                <w:szCs w:val="20"/>
              </w:rPr>
            </w:pPr>
            <w:r>
              <w:rPr>
                <w:rFonts w:eastAsia="Times New Roman" w:hAnsi="Calibri" w:ascii="Calibri"/>
                <w:color w:val="000000"/>
                <w:sz w:val="20"/>
                <w:szCs w:val="20"/>
              </w:rPr>
              <w:t>Andrijana Halavuk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2D4E" w:rsidR="00D42D4E">
            <w:pPr>
              <w:jc w:val="right"/>
              <w:rPr>
                <w:rFonts w:eastAsia="Times New Roman" w:hAnsi="Calibri" w:ascii="Calibri"/>
                <w:color w:val="000000"/>
                <w:sz w:val="20"/>
                <w:szCs w:val="20"/>
              </w:rPr>
            </w:pPr>
            <w:r>
              <w:rPr>
                <w:rFonts w:eastAsia="Times New Roman" w:hAnsi="Calibri" w:ascii="Calibri"/>
                <w:color w:val="000000"/>
                <w:sz w:val="20"/>
                <w:szCs w:val="20"/>
              </w:rPr>
              <w:t>3.847,27</w:t>
            </w:r>
          </w:p>
        </w:tc>
      </w:tr>
      <w:tr w:rsidTr="00D42D4E" w:rsidR="00D42D4E">
        <w:trPr>
          <w:trHeight w:val="320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2D4E" w:rsidR="00D42D4E">
            <w:pPr>
              <w:jc w:val="center"/>
              <w:rPr>
                <w:rFonts w:eastAsia="Times New Roman" w:hAnsi="Calibri" w:ascii="Calibri"/>
                <w:b/>
                <w:bCs/>
                <w:sz w:val="18"/>
                <w:szCs w:val="18"/>
              </w:rPr>
            </w:pPr>
            <w:r>
              <w:rPr>
                <w:rFonts w:eastAsia="Times New Roman" w:hAnsi="Calibri" w:ascii="Calibr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2D4E" w:rsidR="00D42D4E">
            <w:pPr>
              <w:jc w:val="center"/>
              <w:rPr>
                <w:rFonts w:eastAsia="Times New Roman" w:hAnsi="Calibri" w:ascii="Calibri"/>
                <w:sz w:val="18"/>
                <w:szCs w:val="18"/>
              </w:rPr>
            </w:pPr>
            <w:r>
              <w:rPr>
                <w:rFonts w:eastAsia="Times New Roman" w:hAnsi="Calibri" w:ascii="Calibri"/>
                <w:sz w:val="18"/>
                <w:szCs w:val="18"/>
              </w:rPr>
              <w:t>3472354207</w:t>
            </w:r>
          </w:p>
        </w:tc>
        <w:tc>
          <w:tcPr>
            <w:tcW w:type="dxa" w:w="2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2D4E" w:rsidR="00D42D4E">
            <w:pPr>
              <w:rPr>
                <w:rFonts w:eastAsia="Times New Roman" w:hAnsi="Calibri" w:ascii="Calibri"/>
                <w:color w:val="000000"/>
                <w:sz w:val="20"/>
                <w:szCs w:val="20"/>
              </w:rPr>
            </w:pPr>
            <w:r>
              <w:rPr>
                <w:rFonts w:eastAsia="Times New Roman" w:hAnsi="Calibri" w:ascii="Calibri"/>
                <w:color w:val="000000"/>
                <w:sz w:val="20"/>
                <w:szCs w:val="20"/>
              </w:rPr>
              <w:t>Marijana Košćak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2D4E" w:rsidR="00D42D4E">
            <w:pPr>
              <w:jc w:val="right"/>
              <w:rPr>
                <w:rFonts w:eastAsia="Times New Roman" w:hAnsi="Calibri" w:ascii="Calibri"/>
                <w:color w:val="000000"/>
                <w:sz w:val="20"/>
                <w:szCs w:val="20"/>
              </w:rPr>
            </w:pPr>
            <w:r>
              <w:rPr>
                <w:rFonts w:eastAsia="Times New Roman" w:hAnsi="Calibri" w:ascii="Calibri"/>
                <w:color w:val="000000"/>
                <w:sz w:val="20"/>
                <w:szCs w:val="20"/>
              </w:rPr>
              <w:t>3.847,28</w:t>
            </w:r>
          </w:p>
        </w:tc>
      </w:tr>
      <w:tr w:rsidTr="00D42D4E" w:rsidR="00D42D4E">
        <w:trPr>
          <w:trHeight w:val="320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2D4E" w:rsidR="00D42D4E">
            <w:pPr>
              <w:jc w:val="center"/>
              <w:rPr>
                <w:rFonts w:eastAsia="Times New Roman" w:hAnsi="Calibri" w:ascii="Calibri"/>
                <w:b/>
                <w:bCs/>
                <w:sz w:val="18"/>
                <w:szCs w:val="18"/>
              </w:rPr>
            </w:pPr>
            <w:r>
              <w:rPr>
                <w:rFonts w:eastAsia="Times New Roman" w:hAnsi="Calibri" w:ascii="Calibri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2D4E" w:rsidR="00D42D4E">
            <w:pPr>
              <w:jc w:val="center"/>
              <w:rPr>
                <w:rFonts w:eastAsia="Times New Roman" w:hAnsi="Calibri" w:ascii="Calibri"/>
                <w:sz w:val="18"/>
                <w:szCs w:val="18"/>
              </w:rPr>
            </w:pPr>
            <w:r>
              <w:rPr>
                <w:rFonts w:eastAsia="Times New Roman" w:hAnsi="Calibri" w:ascii="Calibri"/>
                <w:sz w:val="18"/>
                <w:szCs w:val="18"/>
              </w:rPr>
              <w:t>19366591925</w:t>
            </w:r>
          </w:p>
        </w:tc>
        <w:tc>
          <w:tcPr>
            <w:tcW w:type="dxa" w:w="2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2D4E" w:rsidR="00D42D4E">
            <w:pPr>
              <w:rPr>
                <w:rFonts w:eastAsia="Times New Roman" w:hAnsi="Calibri" w:ascii="Calibri"/>
                <w:color w:val="000000"/>
                <w:sz w:val="20"/>
                <w:szCs w:val="20"/>
              </w:rPr>
            </w:pPr>
            <w:r>
              <w:rPr>
                <w:rFonts w:eastAsia="Times New Roman" w:hAnsi="Calibri" w:ascii="Calibri"/>
                <w:color w:val="000000"/>
                <w:sz w:val="20"/>
                <w:szCs w:val="20"/>
              </w:rPr>
              <w:t>Marija Halavuk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2D4E" w:rsidR="00D42D4E">
            <w:pPr>
              <w:jc w:val="right"/>
              <w:rPr>
                <w:rFonts w:eastAsia="Times New Roman" w:hAnsi="Calibri" w:ascii="Calibri"/>
                <w:color w:val="000000"/>
                <w:sz w:val="20"/>
                <w:szCs w:val="20"/>
              </w:rPr>
            </w:pPr>
            <w:r>
              <w:rPr>
                <w:rFonts w:eastAsia="Times New Roman" w:hAnsi="Calibri" w:ascii="Calibri"/>
                <w:color w:val="000000"/>
                <w:sz w:val="20"/>
                <w:szCs w:val="20"/>
              </w:rPr>
              <w:t>3.847,28</w:t>
            </w:r>
          </w:p>
        </w:tc>
      </w:tr>
      <w:tr w:rsidTr="00D42D4E" w:rsidR="00D42D4E">
        <w:trPr>
          <w:trHeight w:val="320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2D4E" w:rsidR="00D42D4E">
            <w:pPr>
              <w:jc w:val="center"/>
              <w:rPr>
                <w:rFonts w:eastAsia="Times New Roman" w:hAnsi="Calibri" w:ascii="Calibri"/>
                <w:b/>
                <w:bCs/>
                <w:sz w:val="18"/>
                <w:szCs w:val="18"/>
              </w:rPr>
            </w:pPr>
            <w:r>
              <w:rPr>
                <w:rFonts w:eastAsia="Times New Roman" w:hAnsi="Calibri" w:ascii="Calibri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2D4E" w:rsidR="00D42D4E">
            <w:pPr>
              <w:jc w:val="center"/>
              <w:rPr>
                <w:rFonts w:eastAsia="Times New Roman" w:hAnsi="Calibri" w:ascii="Calibri"/>
                <w:sz w:val="18"/>
                <w:szCs w:val="18"/>
              </w:rPr>
            </w:pPr>
            <w:r>
              <w:rPr>
                <w:rFonts w:eastAsia="Times New Roman" w:hAnsi="Calibri" w:ascii="Calibri"/>
                <w:sz w:val="18"/>
                <w:szCs w:val="18"/>
              </w:rPr>
              <w:t>28212186104</w:t>
            </w:r>
          </w:p>
        </w:tc>
        <w:tc>
          <w:tcPr>
            <w:tcW w:type="dxa" w:w="2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2D4E" w:rsidR="00D42D4E">
            <w:pPr>
              <w:rPr>
                <w:rFonts w:eastAsia="Times New Roman" w:hAnsi="Calibri" w:ascii="Calibri"/>
                <w:color w:val="000000"/>
                <w:sz w:val="20"/>
                <w:szCs w:val="20"/>
              </w:rPr>
            </w:pPr>
            <w:r>
              <w:rPr>
                <w:rFonts w:eastAsia="Times New Roman" w:hAnsi="Calibri" w:ascii="Calibri"/>
                <w:color w:val="000000"/>
                <w:sz w:val="20"/>
                <w:szCs w:val="20"/>
              </w:rPr>
              <w:t>Irena Bošnjak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2D4E" w:rsidR="00D42D4E">
            <w:pPr>
              <w:jc w:val="right"/>
              <w:rPr>
                <w:rFonts w:eastAsia="Times New Roman" w:hAnsi="Calibri" w:ascii="Calibri"/>
                <w:color w:val="000000"/>
                <w:sz w:val="20"/>
                <w:szCs w:val="20"/>
              </w:rPr>
            </w:pPr>
            <w:r>
              <w:rPr>
                <w:rFonts w:eastAsia="Times New Roman" w:hAnsi="Calibri" w:ascii="Calibri"/>
                <w:color w:val="000000"/>
                <w:sz w:val="20"/>
                <w:szCs w:val="20"/>
              </w:rPr>
              <w:t>2.212,88</w:t>
            </w:r>
          </w:p>
        </w:tc>
      </w:tr>
      <w:tr w:rsidTr="00D42D4E" w:rsidR="00D42D4E">
        <w:trPr>
          <w:trHeight w:val="320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2D4E" w:rsidR="00D42D4E">
            <w:pPr>
              <w:jc w:val="center"/>
              <w:rPr>
                <w:rFonts w:eastAsia="Times New Roman" w:hAnsi="Calibri" w:ascii="Calibri"/>
                <w:b/>
                <w:bCs/>
                <w:sz w:val="18"/>
                <w:szCs w:val="18"/>
              </w:rPr>
            </w:pPr>
            <w:r>
              <w:rPr>
                <w:rFonts w:eastAsia="Times New Roman" w:hAnsi="Calibri" w:ascii="Calibri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2D4E" w:rsidR="00D42D4E">
            <w:pPr>
              <w:jc w:val="center"/>
              <w:rPr>
                <w:rFonts w:eastAsia="Times New Roman" w:hAnsi="Calibri" w:ascii="Calibri"/>
                <w:sz w:val="18"/>
                <w:szCs w:val="18"/>
              </w:rPr>
            </w:pPr>
            <w:r>
              <w:rPr>
                <w:rFonts w:eastAsia="Times New Roman" w:hAnsi="Calibri" w:ascii="Calibri"/>
                <w:sz w:val="18"/>
                <w:szCs w:val="18"/>
              </w:rPr>
              <w:t>32597136452</w:t>
            </w:r>
          </w:p>
        </w:tc>
        <w:tc>
          <w:tcPr>
            <w:tcW w:type="dxa" w:w="2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2D4E" w:rsidR="00D42D4E">
            <w:pPr>
              <w:rPr>
                <w:rFonts w:eastAsia="Times New Roman" w:hAnsi="Calibri" w:ascii="Calibri"/>
                <w:color w:val="000000"/>
                <w:sz w:val="20"/>
                <w:szCs w:val="20"/>
              </w:rPr>
            </w:pPr>
            <w:r>
              <w:rPr>
                <w:rFonts w:eastAsia="Times New Roman" w:hAnsi="Calibri" w:ascii="Calibri"/>
                <w:color w:val="000000"/>
                <w:sz w:val="20"/>
                <w:szCs w:val="20"/>
              </w:rPr>
              <w:t>Tatjana Vešliga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2D4E" w:rsidR="00D42D4E">
            <w:pPr>
              <w:jc w:val="right"/>
              <w:rPr>
                <w:rFonts w:eastAsia="Times New Roman" w:hAnsi="Calibri" w:ascii="Calibri"/>
                <w:color w:val="000000"/>
                <w:sz w:val="20"/>
                <w:szCs w:val="20"/>
              </w:rPr>
            </w:pPr>
            <w:r>
              <w:rPr>
                <w:rFonts w:eastAsia="Times New Roman" w:hAnsi="Calibri" w:ascii="Calibri"/>
                <w:color w:val="000000"/>
                <w:sz w:val="20"/>
                <w:szCs w:val="20"/>
              </w:rPr>
              <w:t>6.422,16</w:t>
            </w:r>
          </w:p>
        </w:tc>
      </w:tr>
      <w:tr w:rsidTr="00D42D4E" w:rsidR="00D42D4E">
        <w:trPr>
          <w:trHeight w:val="320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2D4E" w:rsidR="00D42D4E">
            <w:pPr>
              <w:jc w:val="center"/>
              <w:rPr>
                <w:rFonts w:eastAsia="Times New Roman" w:hAnsi="Calibri" w:ascii="Calibri"/>
                <w:b/>
                <w:bCs/>
                <w:sz w:val="18"/>
                <w:szCs w:val="18"/>
              </w:rPr>
            </w:pPr>
            <w:r>
              <w:rPr>
                <w:rFonts w:eastAsia="Times New Roman" w:hAnsi="Calibri" w:ascii="Calibri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2D4E" w:rsidR="00D42D4E">
            <w:pPr>
              <w:jc w:val="center"/>
              <w:rPr>
                <w:rFonts w:eastAsia="Times New Roman" w:hAnsi="Calibri" w:ascii="Calibri"/>
                <w:sz w:val="18"/>
                <w:szCs w:val="18"/>
              </w:rPr>
            </w:pPr>
            <w:r>
              <w:rPr>
                <w:rFonts w:eastAsia="Times New Roman" w:hAnsi="Calibri" w:ascii="Calibri"/>
                <w:sz w:val="18"/>
                <w:szCs w:val="18"/>
              </w:rPr>
              <w:t>88429849981</w:t>
            </w:r>
          </w:p>
        </w:tc>
        <w:tc>
          <w:tcPr>
            <w:tcW w:type="dxa" w:w="2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2D4E" w:rsidR="00D42D4E">
            <w:pPr>
              <w:rPr>
                <w:rFonts w:eastAsia="Times New Roman" w:hAnsi="Calibri" w:ascii="Calibri"/>
                <w:color w:val="000000"/>
                <w:sz w:val="20"/>
                <w:szCs w:val="20"/>
              </w:rPr>
            </w:pPr>
            <w:r>
              <w:rPr>
                <w:rFonts w:eastAsia="Times New Roman" w:hAnsi="Calibri" w:ascii="Calibri"/>
                <w:color w:val="000000"/>
                <w:sz w:val="20"/>
                <w:szCs w:val="20"/>
              </w:rPr>
              <w:t>Ivanka Buha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2D4E" w:rsidR="00D42D4E">
            <w:pPr>
              <w:jc w:val="right"/>
              <w:rPr>
                <w:rFonts w:eastAsia="Times New Roman" w:hAnsi="Calibri" w:ascii="Calibri"/>
                <w:color w:val="000000"/>
                <w:sz w:val="20"/>
                <w:szCs w:val="20"/>
              </w:rPr>
            </w:pPr>
            <w:r>
              <w:rPr>
                <w:rFonts w:eastAsia="Times New Roman" w:hAnsi="Calibri" w:ascii="Calibri"/>
                <w:color w:val="000000"/>
                <w:sz w:val="20"/>
                <w:szCs w:val="20"/>
              </w:rPr>
              <w:t>6.108,20</w:t>
            </w:r>
          </w:p>
        </w:tc>
      </w:tr>
      <w:tr w:rsidTr="00D42D4E" w:rsidR="00D42D4E">
        <w:trPr>
          <w:trHeight w:val="320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2D4E" w:rsidR="00D42D4E">
            <w:pPr>
              <w:jc w:val="center"/>
              <w:rPr>
                <w:rFonts w:eastAsia="Times New Roman" w:hAnsi="Calibri" w:ascii="Calibri"/>
                <w:b/>
                <w:bCs/>
                <w:sz w:val="18"/>
                <w:szCs w:val="18"/>
              </w:rPr>
            </w:pPr>
            <w:r>
              <w:rPr>
                <w:rFonts w:eastAsia="Times New Roman" w:hAnsi="Calibri" w:ascii="Calibri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2D4E" w:rsidR="00D42D4E">
            <w:pPr>
              <w:jc w:val="center"/>
              <w:rPr>
                <w:rFonts w:eastAsia="Times New Roman" w:hAnsi="Calibri" w:ascii="Calibri"/>
                <w:sz w:val="18"/>
                <w:szCs w:val="18"/>
              </w:rPr>
            </w:pPr>
            <w:r>
              <w:rPr>
                <w:rFonts w:eastAsia="Times New Roman" w:hAnsi="Calibri" w:ascii="Calibri"/>
                <w:sz w:val="18"/>
                <w:szCs w:val="18"/>
              </w:rPr>
              <w:t>76788138210</w:t>
            </w:r>
          </w:p>
        </w:tc>
        <w:tc>
          <w:tcPr>
            <w:tcW w:type="dxa" w:w="2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2D4E" w:rsidR="00D42D4E">
            <w:pPr>
              <w:rPr>
                <w:rFonts w:eastAsia="Times New Roman" w:hAnsi="Calibri" w:ascii="Calibri"/>
                <w:color w:val="000000"/>
                <w:sz w:val="20"/>
                <w:szCs w:val="20"/>
              </w:rPr>
            </w:pPr>
            <w:r>
              <w:rPr>
                <w:rFonts w:eastAsia="Times New Roman" w:hAnsi="Calibri" w:ascii="Calibri"/>
                <w:color w:val="000000"/>
                <w:sz w:val="20"/>
                <w:szCs w:val="20"/>
              </w:rPr>
              <w:t>Štefica Bašić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2D4E" w:rsidR="00D42D4E">
            <w:pPr>
              <w:jc w:val="right"/>
              <w:rPr>
                <w:rFonts w:eastAsia="Times New Roman" w:hAnsi="Calibri" w:ascii="Calibri"/>
                <w:color w:val="000000"/>
                <w:sz w:val="20"/>
                <w:szCs w:val="20"/>
              </w:rPr>
            </w:pPr>
            <w:r>
              <w:rPr>
                <w:rFonts w:eastAsia="Times New Roman" w:hAnsi="Calibri" w:ascii="Calibri"/>
                <w:color w:val="000000"/>
                <w:sz w:val="20"/>
                <w:szCs w:val="20"/>
              </w:rPr>
              <w:t>6.108,20</w:t>
            </w:r>
          </w:p>
        </w:tc>
      </w:tr>
      <w:tr w:rsidTr="00D42D4E" w:rsidR="00D42D4E">
        <w:trPr>
          <w:trHeight w:val="320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2D4E" w:rsidR="00D42D4E">
            <w:pPr>
              <w:jc w:val="center"/>
              <w:rPr>
                <w:rFonts w:eastAsia="Times New Roman" w:hAnsi="Calibri" w:ascii="Calibri"/>
                <w:b/>
                <w:bCs/>
                <w:sz w:val="18"/>
                <w:szCs w:val="18"/>
              </w:rPr>
            </w:pPr>
            <w:r>
              <w:rPr>
                <w:rFonts w:eastAsia="Times New Roman" w:hAnsi="Calibri" w:ascii="Calibri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2D4E" w:rsidR="00D42D4E">
            <w:pPr>
              <w:jc w:val="center"/>
              <w:rPr>
                <w:rFonts w:eastAsia="Times New Roman" w:hAnsi="Calibri" w:ascii="Calibri"/>
                <w:sz w:val="18"/>
                <w:szCs w:val="18"/>
              </w:rPr>
            </w:pPr>
            <w:r>
              <w:rPr>
                <w:rFonts w:eastAsia="Times New Roman" w:hAnsi="Calibri" w:ascii="Calibri"/>
                <w:sz w:val="18"/>
                <w:szCs w:val="18"/>
              </w:rPr>
              <w:t>53547764092</w:t>
            </w:r>
          </w:p>
        </w:tc>
        <w:tc>
          <w:tcPr>
            <w:tcW w:type="dxa" w:w="2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2D4E" w:rsidR="00D42D4E">
            <w:pPr>
              <w:rPr>
                <w:rFonts w:eastAsia="Times New Roman" w:hAnsi="Calibri" w:ascii="Calibri"/>
                <w:color w:val="000000"/>
                <w:sz w:val="20"/>
                <w:szCs w:val="20"/>
              </w:rPr>
            </w:pPr>
            <w:r>
              <w:rPr>
                <w:rFonts w:eastAsia="Times New Roman" w:hAnsi="Calibri" w:ascii="Calibri"/>
                <w:color w:val="000000"/>
                <w:sz w:val="20"/>
                <w:szCs w:val="20"/>
              </w:rPr>
              <w:t>Ružica Srdar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2D4E" w:rsidR="00D42D4E">
            <w:pPr>
              <w:jc w:val="right"/>
              <w:rPr>
                <w:rFonts w:eastAsia="Times New Roman" w:hAnsi="Calibri" w:ascii="Calibri"/>
                <w:color w:val="000000"/>
                <w:sz w:val="20"/>
                <w:szCs w:val="20"/>
              </w:rPr>
            </w:pPr>
            <w:r>
              <w:rPr>
                <w:rFonts w:eastAsia="Times New Roman" w:hAnsi="Calibri" w:ascii="Calibri"/>
                <w:color w:val="000000"/>
                <w:sz w:val="20"/>
                <w:szCs w:val="20"/>
              </w:rPr>
              <w:t>6.108,20</w:t>
            </w:r>
          </w:p>
        </w:tc>
      </w:tr>
      <w:tr w:rsidTr="00D42D4E" w:rsidR="00D42D4E">
        <w:trPr>
          <w:trHeight w:val="320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2D4E" w:rsidR="00D42D4E">
            <w:pPr>
              <w:jc w:val="center"/>
              <w:rPr>
                <w:rFonts w:eastAsia="Times New Roman" w:hAnsi="Calibri" w:ascii="Calibri"/>
                <w:b/>
                <w:bCs/>
                <w:sz w:val="18"/>
                <w:szCs w:val="18"/>
              </w:rPr>
            </w:pPr>
            <w:r>
              <w:rPr>
                <w:rFonts w:eastAsia="Times New Roman" w:hAnsi="Calibri" w:ascii="Calibri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2D4E" w:rsidR="00D42D4E">
            <w:pPr>
              <w:jc w:val="center"/>
              <w:rPr>
                <w:rFonts w:eastAsia="Times New Roman" w:hAnsi="Calibri" w:ascii="Calibri"/>
                <w:sz w:val="18"/>
                <w:szCs w:val="18"/>
              </w:rPr>
            </w:pPr>
            <w:r>
              <w:rPr>
                <w:rFonts w:eastAsia="Times New Roman" w:hAnsi="Calibri" w:ascii="Calibri"/>
                <w:sz w:val="18"/>
                <w:szCs w:val="18"/>
              </w:rPr>
              <w:t>98905698856</w:t>
            </w:r>
          </w:p>
        </w:tc>
        <w:tc>
          <w:tcPr>
            <w:tcW w:type="dxa" w:w="2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2D4E" w:rsidR="00D42D4E">
            <w:pPr>
              <w:rPr>
                <w:rFonts w:eastAsia="Times New Roman" w:hAnsi="Calibri" w:ascii="Calibri"/>
                <w:color w:val="000000"/>
                <w:sz w:val="20"/>
                <w:szCs w:val="20"/>
              </w:rPr>
            </w:pPr>
            <w:r>
              <w:rPr>
                <w:rFonts w:eastAsia="Times New Roman" w:hAnsi="Calibri" w:ascii="Calibri"/>
                <w:color w:val="000000"/>
                <w:sz w:val="20"/>
                <w:szCs w:val="20"/>
              </w:rPr>
              <w:t>Štefica Guliš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2D4E" w:rsidR="00D42D4E">
            <w:pPr>
              <w:jc w:val="right"/>
              <w:rPr>
                <w:rFonts w:eastAsia="Times New Roman" w:hAnsi="Calibri" w:ascii="Calibri"/>
                <w:color w:val="000000"/>
                <w:sz w:val="20"/>
                <w:szCs w:val="20"/>
              </w:rPr>
            </w:pPr>
            <w:r>
              <w:rPr>
                <w:rFonts w:eastAsia="Times New Roman" w:hAnsi="Calibri" w:ascii="Calibri"/>
                <w:color w:val="000000"/>
                <w:sz w:val="20"/>
                <w:szCs w:val="20"/>
              </w:rPr>
              <w:t>6.188,56</w:t>
            </w:r>
          </w:p>
        </w:tc>
      </w:tr>
      <w:tr w:rsidTr="00D42D4E" w:rsidR="00D42D4E">
        <w:trPr>
          <w:trHeight w:val="320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2D4E" w:rsidR="00D42D4E">
            <w:pPr>
              <w:jc w:val="center"/>
              <w:rPr>
                <w:rFonts w:eastAsia="Times New Roman" w:hAnsi="Calibri" w:ascii="Calibri"/>
                <w:b/>
                <w:bCs/>
                <w:sz w:val="18"/>
                <w:szCs w:val="18"/>
              </w:rPr>
            </w:pPr>
            <w:r>
              <w:rPr>
                <w:rFonts w:eastAsia="Times New Roman" w:hAnsi="Calibri" w:ascii="Calibri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2D4E" w:rsidR="00D42D4E">
            <w:pPr>
              <w:jc w:val="center"/>
              <w:rPr>
                <w:rFonts w:eastAsia="Times New Roman" w:hAnsi="Calibri" w:ascii="Calibri"/>
                <w:sz w:val="18"/>
                <w:szCs w:val="18"/>
              </w:rPr>
            </w:pPr>
            <w:r>
              <w:rPr>
                <w:rFonts w:eastAsia="Times New Roman" w:hAnsi="Calibri" w:ascii="Calibri"/>
                <w:sz w:val="18"/>
                <w:szCs w:val="18"/>
              </w:rPr>
              <w:t>10043185363</w:t>
            </w:r>
          </w:p>
        </w:tc>
        <w:tc>
          <w:tcPr>
            <w:tcW w:type="dxa" w:w="2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2D4E" w:rsidR="00D42D4E">
            <w:pPr>
              <w:rPr>
                <w:rFonts w:eastAsia="Times New Roman" w:hAnsi="Calibri" w:ascii="Calibri"/>
                <w:color w:val="000000"/>
                <w:sz w:val="20"/>
                <w:szCs w:val="20"/>
              </w:rPr>
            </w:pPr>
            <w:r>
              <w:rPr>
                <w:rFonts w:eastAsia="Times New Roman" w:hAnsi="Calibri" w:ascii="Calibri"/>
                <w:color w:val="000000"/>
                <w:sz w:val="20"/>
                <w:szCs w:val="20"/>
              </w:rPr>
              <w:t>Jadranka Vojnović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2D4E" w:rsidR="00D42D4E">
            <w:pPr>
              <w:jc w:val="right"/>
              <w:rPr>
                <w:rFonts w:eastAsia="Times New Roman" w:hAnsi="Calibri" w:ascii="Calibri"/>
                <w:sz w:val="20"/>
                <w:szCs w:val="20"/>
              </w:rPr>
            </w:pPr>
            <w:r>
              <w:rPr>
                <w:rFonts w:eastAsia="Times New Roman" w:hAnsi="Calibri" w:ascii="Calibri"/>
                <w:sz w:val="20"/>
                <w:szCs w:val="20"/>
              </w:rPr>
              <w:t>38.000,00</w:t>
            </w:r>
          </w:p>
        </w:tc>
      </w:tr>
      <w:tr w:rsidTr="00D42D4E" w:rsidR="00D42D4E">
        <w:trPr>
          <w:trHeight w:val="320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2D4E" w:rsidR="00D42D4E">
            <w:pPr>
              <w:jc w:val="center"/>
              <w:rPr>
                <w:rFonts w:eastAsia="Times New Roman" w:hAnsi="Calibri" w:ascii="Calibri"/>
                <w:b/>
                <w:bCs/>
                <w:sz w:val="18"/>
                <w:szCs w:val="18"/>
              </w:rPr>
            </w:pPr>
            <w:r>
              <w:rPr>
                <w:rFonts w:eastAsia="Times New Roman" w:hAnsi="Calibri" w:ascii="Calibri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2D4E" w:rsidR="00D42D4E">
            <w:pPr>
              <w:jc w:val="center"/>
              <w:rPr>
                <w:rFonts w:eastAsia="Times New Roman" w:hAnsi="Calibri" w:ascii="Calibri"/>
                <w:sz w:val="18"/>
                <w:szCs w:val="18"/>
              </w:rPr>
            </w:pPr>
            <w:r>
              <w:rPr>
                <w:rFonts w:eastAsia="Times New Roman" w:hAnsi="Calibri" w:ascii="Calibri"/>
                <w:sz w:val="18"/>
                <w:szCs w:val="18"/>
              </w:rPr>
              <w:t>14191248961</w:t>
            </w:r>
          </w:p>
        </w:tc>
        <w:tc>
          <w:tcPr>
            <w:tcW w:type="dxa" w:w="2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2D4E" w:rsidR="00D42D4E">
            <w:pPr>
              <w:rPr>
                <w:rFonts w:eastAsia="Times New Roman" w:hAnsi="Calibri" w:ascii="Calibri"/>
                <w:color w:val="000000"/>
                <w:sz w:val="20"/>
                <w:szCs w:val="20"/>
              </w:rPr>
            </w:pPr>
            <w:r>
              <w:rPr>
                <w:rFonts w:eastAsia="Times New Roman" w:hAnsi="Calibri" w:ascii="Calibri"/>
                <w:color w:val="000000"/>
                <w:sz w:val="20"/>
                <w:szCs w:val="20"/>
              </w:rPr>
              <w:t>Snježana Bratelj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2D4E" w:rsidR="00D42D4E">
            <w:pPr>
              <w:jc w:val="right"/>
              <w:rPr>
                <w:rFonts w:eastAsia="Times New Roman" w:hAnsi="Calibri" w:ascii="Calibri"/>
                <w:sz w:val="20"/>
                <w:szCs w:val="20"/>
              </w:rPr>
            </w:pPr>
            <w:r>
              <w:rPr>
                <w:rFonts w:eastAsia="Times New Roman" w:hAnsi="Calibri" w:ascii="Calibri"/>
                <w:sz w:val="20"/>
                <w:szCs w:val="20"/>
              </w:rPr>
              <w:t>7.588,56</w:t>
            </w:r>
          </w:p>
        </w:tc>
      </w:tr>
      <w:tr w:rsidTr="00D42D4E" w:rsidR="00D42D4E">
        <w:trPr>
          <w:trHeight w:val="320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2D4E" w:rsidR="00D42D4E">
            <w:pPr>
              <w:jc w:val="center"/>
              <w:rPr>
                <w:rFonts w:eastAsia="Times New Roman" w:hAnsi="Calibri" w:ascii="Calibri"/>
                <w:b/>
                <w:bCs/>
                <w:sz w:val="18"/>
                <w:szCs w:val="18"/>
              </w:rPr>
            </w:pPr>
            <w:r>
              <w:rPr>
                <w:rFonts w:eastAsia="Times New Roman" w:hAnsi="Calibri" w:ascii="Calibri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2D4E" w:rsidR="00D42D4E">
            <w:pPr>
              <w:jc w:val="center"/>
              <w:rPr>
                <w:rFonts w:eastAsia="Times New Roman" w:hAnsi="Calibri" w:ascii="Calibri"/>
                <w:sz w:val="18"/>
                <w:szCs w:val="18"/>
              </w:rPr>
            </w:pPr>
            <w:r>
              <w:rPr>
                <w:rFonts w:eastAsia="Times New Roman" w:hAnsi="Calibri" w:ascii="Calibri"/>
                <w:sz w:val="18"/>
                <w:szCs w:val="18"/>
              </w:rPr>
              <w:t>54085078733</w:t>
            </w:r>
          </w:p>
        </w:tc>
        <w:tc>
          <w:tcPr>
            <w:tcW w:type="dxa" w:w="2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2D4E" w:rsidR="00D42D4E">
            <w:pPr>
              <w:rPr>
                <w:rFonts w:eastAsia="Times New Roman" w:hAnsi="Calibri" w:ascii="Calibri"/>
                <w:color w:val="000000"/>
                <w:sz w:val="20"/>
                <w:szCs w:val="20"/>
              </w:rPr>
            </w:pPr>
            <w:r>
              <w:rPr>
                <w:rFonts w:eastAsia="Times New Roman" w:hAnsi="Calibri" w:ascii="Calibri"/>
                <w:color w:val="000000"/>
                <w:sz w:val="20"/>
                <w:szCs w:val="20"/>
              </w:rPr>
              <w:t>Juraj Vojnović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2D4E" w:rsidR="00D42D4E">
            <w:pPr>
              <w:jc w:val="right"/>
              <w:rPr>
                <w:rFonts w:eastAsia="Times New Roman" w:hAnsi="Calibri" w:ascii="Calibri"/>
                <w:sz w:val="20"/>
                <w:szCs w:val="20"/>
              </w:rPr>
            </w:pPr>
            <w:r>
              <w:rPr>
                <w:rFonts w:eastAsia="Times New Roman" w:hAnsi="Calibri" w:ascii="Calibri"/>
                <w:sz w:val="20"/>
                <w:szCs w:val="20"/>
              </w:rPr>
              <w:t>6.227,08</w:t>
            </w:r>
          </w:p>
        </w:tc>
      </w:tr>
      <w:tr w:rsidTr="00D42D4E" w:rsidR="00D42D4E">
        <w:trPr>
          <w:trHeight w:val="320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2D4E" w:rsidR="00D42D4E">
            <w:pPr>
              <w:jc w:val="center"/>
              <w:rPr>
                <w:rFonts w:eastAsia="Times New Roman" w:hAnsi="Calibri" w:ascii="Calibri"/>
                <w:b/>
                <w:bCs/>
                <w:sz w:val="18"/>
                <w:szCs w:val="18"/>
              </w:rPr>
            </w:pPr>
            <w:r>
              <w:rPr>
                <w:rFonts w:eastAsia="Times New Roman" w:hAnsi="Calibri" w:ascii="Calibri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2D4E" w:rsidR="00D42D4E">
            <w:pPr>
              <w:jc w:val="center"/>
              <w:rPr>
                <w:rFonts w:eastAsia="Times New Roman" w:hAnsi="Calibri" w:ascii="Calibri"/>
                <w:sz w:val="18"/>
                <w:szCs w:val="18"/>
              </w:rPr>
            </w:pPr>
            <w:r>
              <w:rPr>
                <w:rFonts w:eastAsia="Times New Roman" w:hAnsi="Calibri" w:ascii="Calibri"/>
                <w:sz w:val="18"/>
                <w:szCs w:val="18"/>
              </w:rPr>
              <w:t>45245324948</w:t>
            </w:r>
          </w:p>
        </w:tc>
        <w:tc>
          <w:tcPr>
            <w:tcW w:type="dxa" w:w="2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2D4E" w:rsidR="00D42D4E">
            <w:pPr>
              <w:rPr>
                <w:rFonts w:eastAsia="Times New Roman" w:hAnsi="Calibri" w:ascii="Calibri"/>
                <w:color w:val="000000"/>
                <w:sz w:val="20"/>
                <w:szCs w:val="20"/>
              </w:rPr>
            </w:pPr>
            <w:r>
              <w:rPr>
                <w:rFonts w:eastAsia="Times New Roman" w:hAnsi="Calibri" w:ascii="Calibri"/>
                <w:color w:val="000000"/>
                <w:sz w:val="20"/>
                <w:szCs w:val="20"/>
              </w:rPr>
              <w:t>Biserka Lovković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2D4E" w:rsidR="00D42D4E">
            <w:pPr>
              <w:jc w:val="right"/>
              <w:rPr>
                <w:rFonts w:eastAsia="Times New Roman" w:hAnsi="Calibri" w:ascii="Calibri"/>
                <w:sz w:val="20"/>
                <w:szCs w:val="20"/>
              </w:rPr>
            </w:pPr>
            <w:r>
              <w:rPr>
                <w:rFonts w:eastAsia="Times New Roman" w:hAnsi="Calibri" w:ascii="Calibri"/>
                <w:sz w:val="20"/>
                <w:szCs w:val="20"/>
              </w:rPr>
              <w:t>5.655,14</w:t>
            </w:r>
          </w:p>
        </w:tc>
      </w:tr>
      <w:tr w:rsidTr="00D42D4E" w:rsidR="00D42D4E">
        <w:trPr>
          <w:trHeight w:val="320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2D4E" w:rsidR="00D42D4E">
            <w:pPr>
              <w:jc w:val="center"/>
              <w:rPr>
                <w:rFonts w:eastAsia="Times New Roman" w:hAnsi="Calibri" w:ascii="Calibri"/>
                <w:b/>
                <w:bCs/>
                <w:sz w:val="18"/>
                <w:szCs w:val="18"/>
              </w:rPr>
            </w:pPr>
            <w:r>
              <w:rPr>
                <w:rFonts w:eastAsia="Times New Roman" w:hAnsi="Calibri" w:ascii="Calibri"/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2D4E" w:rsidR="00D42D4E">
            <w:pPr>
              <w:jc w:val="center"/>
              <w:rPr>
                <w:rFonts w:eastAsia="Times New Roman" w:hAnsi="Calibri" w:ascii="Calibri"/>
                <w:sz w:val="18"/>
                <w:szCs w:val="18"/>
              </w:rPr>
            </w:pPr>
            <w:r>
              <w:rPr>
                <w:rFonts w:eastAsia="Times New Roman" w:hAnsi="Calibri" w:ascii="Calibri"/>
                <w:sz w:val="18"/>
                <w:szCs w:val="18"/>
              </w:rPr>
              <w:t>80005052481</w:t>
            </w:r>
          </w:p>
        </w:tc>
        <w:tc>
          <w:tcPr>
            <w:tcW w:type="dxa" w:w="2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2D4E" w:rsidR="00D42D4E">
            <w:pPr>
              <w:rPr>
                <w:rFonts w:eastAsia="Times New Roman" w:hAnsi="Calibri" w:ascii="Calibri"/>
                <w:color w:val="000000"/>
                <w:sz w:val="20"/>
                <w:szCs w:val="20"/>
              </w:rPr>
            </w:pPr>
            <w:r>
              <w:rPr>
                <w:rFonts w:eastAsia="Times New Roman" w:hAnsi="Calibri" w:ascii="Calibri"/>
                <w:color w:val="000000"/>
                <w:sz w:val="20"/>
                <w:szCs w:val="20"/>
              </w:rPr>
              <w:t>Jelena Kolar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2D4E" w:rsidR="00D42D4E">
            <w:pPr>
              <w:jc w:val="right"/>
              <w:rPr>
                <w:rFonts w:eastAsia="Times New Roman" w:hAnsi="Calibri" w:ascii="Calibri"/>
                <w:sz w:val="20"/>
                <w:szCs w:val="20"/>
              </w:rPr>
            </w:pPr>
            <w:r>
              <w:rPr>
                <w:rFonts w:eastAsia="Times New Roman" w:hAnsi="Calibri" w:ascii="Calibri"/>
                <w:sz w:val="20"/>
                <w:szCs w:val="20"/>
              </w:rPr>
              <w:t>99,61</w:t>
            </w:r>
          </w:p>
        </w:tc>
      </w:tr>
      <w:tr w:rsidTr="00D42D4E" w:rsidR="00D42D4E">
        <w:trPr>
          <w:trHeight w:val="320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2D4E" w:rsidR="00D42D4E">
            <w:pPr>
              <w:jc w:val="center"/>
              <w:rPr>
                <w:rFonts w:eastAsia="Times New Roman" w:hAnsi="Calibri" w:ascii="Calibri"/>
                <w:b/>
                <w:bCs/>
                <w:sz w:val="18"/>
                <w:szCs w:val="18"/>
              </w:rPr>
            </w:pPr>
            <w:r>
              <w:rPr>
                <w:rFonts w:eastAsia="Times New Roman" w:hAnsi="Calibri" w:ascii="Calibri"/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2D4E" w:rsidR="00D42D4E">
            <w:pPr>
              <w:jc w:val="center"/>
              <w:rPr>
                <w:rFonts w:eastAsia="Times New Roman" w:hAnsi="Calibri" w:ascii="Calibri"/>
                <w:sz w:val="18"/>
                <w:szCs w:val="18"/>
              </w:rPr>
            </w:pPr>
            <w:r>
              <w:rPr>
                <w:rFonts w:eastAsia="Times New Roman" w:hAnsi="Calibri" w:ascii="Calibri"/>
                <w:sz w:val="18"/>
                <w:szCs w:val="18"/>
              </w:rPr>
              <w:t>81898769219</w:t>
            </w:r>
          </w:p>
        </w:tc>
        <w:tc>
          <w:tcPr>
            <w:tcW w:type="dxa" w:w="2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2D4E" w:rsidR="00D42D4E">
            <w:pPr>
              <w:rPr>
                <w:rFonts w:eastAsia="Times New Roman" w:hAnsi="Calibri" w:ascii="Calibri"/>
                <w:color w:val="000000"/>
                <w:sz w:val="20"/>
                <w:szCs w:val="20"/>
              </w:rPr>
            </w:pPr>
            <w:r>
              <w:rPr>
                <w:rFonts w:eastAsia="Times New Roman" w:hAnsi="Calibri" w:ascii="Calibri"/>
                <w:color w:val="000000"/>
                <w:sz w:val="20"/>
                <w:szCs w:val="20"/>
              </w:rPr>
              <w:t>Mirko Vojnović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2D4E" w:rsidR="00D42D4E">
            <w:pPr>
              <w:jc w:val="right"/>
              <w:rPr>
                <w:rFonts w:eastAsia="Times New Roman" w:hAnsi="Calibri" w:ascii="Calibri"/>
                <w:sz w:val="20"/>
                <w:szCs w:val="20"/>
              </w:rPr>
            </w:pPr>
            <w:r>
              <w:rPr>
                <w:rFonts w:eastAsia="Times New Roman" w:hAnsi="Calibri" w:ascii="Calibri"/>
                <w:sz w:val="20"/>
                <w:szCs w:val="20"/>
              </w:rPr>
              <w:t>28.097,76</w:t>
            </w:r>
          </w:p>
        </w:tc>
      </w:tr>
      <w:tr w:rsidTr="00D42D4E" w:rsidR="00D42D4E">
        <w:trPr>
          <w:trHeight w:val="320"/>
        </w:trPr>
        <w:tc>
          <w:tcPr>
            <w:tcW w:type="dxa" w:w="13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D42D4E" w:rsidR="00D42D4E">
            <w:pPr>
              <w:rPr>
                <w:rFonts w:eastAsia="Times New Roman" w:hAnsi="Calibri" w:ascii="Calibri"/>
              </w:rPr>
            </w:pPr>
            <w:r>
              <w:rPr>
                <w:rFonts w:eastAsia="Times New Roman" w:hAnsi="Calibri" w:ascii="Calibri"/>
              </w:rPr>
              <w:t> 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D42D4E" w:rsidR="00D42D4E">
            <w:pPr>
              <w:rPr>
                <w:rFonts w:eastAsia="Times New Roman" w:hAnsi="Calibri" w:ascii="Calibri"/>
              </w:rPr>
            </w:pPr>
            <w:r>
              <w:rPr>
                <w:rFonts w:eastAsia="Times New Roman" w:hAnsi="Calibri" w:ascii="Calibri"/>
              </w:rPr>
              <w:t> </w:t>
            </w:r>
          </w:p>
        </w:tc>
        <w:tc>
          <w:tcPr>
            <w:tcW w:type="dxa" w:w="2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D42D4E" w:rsidR="00D42D4E">
            <w:pPr>
              <w:rPr>
                <w:rFonts w:eastAsia="Times New Roman" w:hAnsi="Calibri" w:ascii="Calibri"/>
              </w:rPr>
            </w:pPr>
            <w:r>
              <w:rPr>
                <w:rFonts w:eastAsia="Times New Roman" w:hAnsi="Calibri" w:ascii="Calibri"/>
              </w:rPr>
              <w:t>Ukupno: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D42D4E" w:rsidR="00D42D4E">
            <w:pPr>
              <w:jc w:val="right"/>
              <w:rPr>
                <w:rFonts w:eastAsia="Times New Roman" w:hAnsi="Calibri" w:ascii="Calibri"/>
              </w:rPr>
            </w:pPr>
            <w:r>
              <w:rPr>
                <w:rFonts w:eastAsia="Times New Roman" w:hAnsi="Calibri" w:ascii="Calibri"/>
              </w:rPr>
              <w:t>140.424,07</w:t>
            </w:r>
          </w:p>
        </w:tc>
      </w:tr>
    </w:tbl>
    <w:p w:rsidRDefault="00977DF1" w:rsidR="00977DF1">
      <w:pPr>
        <w:rPr>
          <w:b/>
          <w:u w:val="single"/>
        </w:rPr>
      </w:pPr>
    </w:p>
    <w:p w:rsidRDefault="00977DF1" w:rsidP="00F30669" w:rsidR="00C840E5">
      <w:pPr>
        <w:spacing w:lineRule="auto" w:line="360"/>
        <w:jc w:val="both"/>
        <w:rPr>
          <w:b/>
          <w:u w:val="single"/>
        </w:rPr>
      </w:pPr>
      <w:r w:rsidRPr="00977DF1">
        <w:rPr>
          <w:b/>
          <w:u w:val="single"/>
        </w:rPr>
        <w:lastRenderedPageBreak/>
        <w:t>Vanbilančne obveze (jamstva)</w:t>
      </w:r>
    </w:p>
    <w:p w:rsidRDefault="00012A88" w:rsidP="00F30669" w:rsidR="00012A88">
      <w:pPr>
        <w:spacing w:lineRule="auto" w:line="360"/>
        <w:jc w:val="both"/>
        <w:rPr>
          <w:b/>
          <w:u w:val="single"/>
        </w:rPr>
      </w:pPr>
    </w:p>
    <w:tbl>
      <w:tblPr>
        <w:tblW w:type="dxa" w:w="7458"/>
        <w:jc w:val="center"/>
        <w:tblLook w:val="04A0" w:noVBand="1" w:noHBand="0" w:lastColumn="0" w:firstColumn="1" w:lastRow="0" w:firstRow="1"/>
      </w:tblPr>
      <w:tblGrid>
        <w:gridCol w:w="843"/>
        <w:gridCol w:w="1723"/>
        <w:gridCol w:w="2776"/>
        <w:gridCol w:w="2116"/>
      </w:tblGrid>
      <w:tr w:rsidTr="00977DF1" w:rsidR="00977DF1">
        <w:trPr>
          <w:trHeight w:val="960"/>
          <w:jc w:val="center"/>
        </w:trPr>
        <w:tc>
          <w:tcPr>
            <w:tcW w:type="dxa" w:w="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977DF1" w:rsidR="00977DF1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R.B.</w:t>
            </w:r>
          </w:p>
        </w:tc>
        <w:tc>
          <w:tcPr>
            <w:tcW w:type="dxa" w:w="17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977DF1" w:rsidR="00977DF1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OIB</w:t>
            </w:r>
          </w:p>
        </w:tc>
        <w:tc>
          <w:tcPr>
            <w:tcW w:type="dxa" w:w="27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977DF1" w:rsidR="00977DF1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NAZIV</w:t>
            </w:r>
          </w:p>
        </w:tc>
        <w:tc>
          <w:tcPr>
            <w:tcW w:type="dxa" w:w="21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77DF1" w:rsidR="00977DF1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IZNOS OBVEZE</w:t>
            </w:r>
          </w:p>
        </w:tc>
      </w:tr>
      <w:tr w:rsidTr="00977DF1" w:rsidR="00977DF1">
        <w:trPr>
          <w:trHeight w:val="320"/>
          <w:jc w:val="center"/>
        </w:trPr>
        <w:tc>
          <w:tcPr>
            <w:tcW w:type="dxa" w:w="8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77DF1" w:rsidR="00977DF1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type="dxa" w:w="1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77DF1" w:rsidR="00977DF1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47234790498</w:t>
            </w:r>
          </w:p>
        </w:tc>
        <w:tc>
          <w:tcPr>
            <w:tcW w:type="dxa" w:w="2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77DF1" w:rsidR="00977DF1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 JURA-TEKSTIL d.o.o. </w:t>
            </w:r>
          </w:p>
        </w:tc>
        <w:tc>
          <w:tcPr>
            <w:tcW w:type="dxa" w:w="2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77DF1" w:rsidR="00977DF1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1.360.050</w:t>
            </w:r>
          </w:p>
        </w:tc>
      </w:tr>
      <w:tr w:rsidTr="00977DF1" w:rsidR="00977DF1">
        <w:trPr>
          <w:trHeight w:val="320"/>
          <w:jc w:val="center"/>
        </w:trPr>
        <w:tc>
          <w:tcPr>
            <w:tcW w:type="dxa" w:w="8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77DF1" w:rsidR="00977DF1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type="dxa" w:w="1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77DF1" w:rsidP="00BF2BAE" w:rsidR="00977DF1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  <w:r w:rsidR="00BF2BAE" w:rsidRPr="00BF2BAE">
              <w:rPr>
                <w:rFonts w:eastAsia="Times New Roman"/>
                <w:color w:val="000000"/>
              </w:rPr>
              <w:t>10043185363</w:t>
            </w:r>
          </w:p>
        </w:tc>
        <w:tc>
          <w:tcPr>
            <w:tcW w:type="dxa" w:w="2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77DF1" w:rsidR="00977DF1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Jadranka Vojnović  </w:t>
            </w:r>
          </w:p>
        </w:tc>
        <w:tc>
          <w:tcPr>
            <w:tcW w:type="dxa" w:w="2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77DF1" w:rsidR="00977DF1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1.332.674</w:t>
            </w:r>
          </w:p>
        </w:tc>
      </w:tr>
      <w:tr w:rsidTr="00977DF1" w:rsidR="00977DF1">
        <w:trPr>
          <w:trHeight w:val="320"/>
          <w:jc w:val="center"/>
        </w:trPr>
        <w:tc>
          <w:tcPr>
            <w:tcW w:type="dxa" w:w="8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77DF1" w:rsidR="00977DF1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type="dxa" w:w="17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77DF1" w:rsidP="00977DF1" w:rsidR="00977DF1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81898769219</w:t>
            </w:r>
          </w:p>
        </w:tc>
        <w:tc>
          <w:tcPr>
            <w:tcW w:type="dxa" w:w="27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77DF1" w:rsidR="00977DF1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Mirko Vojnović</w:t>
            </w:r>
          </w:p>
        </w:tc>
        <w:tc>
          <w:tcPr>
            <w:tcW w:type="dxa" w:w="2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77DF1" w:rsidR="00977DF1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2.209.945</w:t>
            </w:r>
          </w:p>
        </w:tc>
      </w:tr>
      <w:tr w:rsidTr="00977DF1" w:rsidR="00977DF1">
        <w:trPr>
          <w:trHeight w:val="320"/>
          <w:jc w:val="center"/>
        </w:trPr>
        <w:tc>
          <w:tcPr>
            <w:tcW w:type="dxa" w:w="8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977DF1" w:rsidR="00977DF1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type="dxa" w:w="17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977DF1" w:rsidR="00977DF1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type="dxa" w:w="2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977DF1" w:rsidR="00977DF1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UKUPNO:</w:t>
            </w:r>
          </w:p>
        </w:tc>
        <w:tc>
          <w:tcPr>
            <w:tcW w:type="dxa" w:w="2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977DF1" w:rsidR="00977DF1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4.902.669</w:t>
            </w:r>
          </w:p>
        </w:tc>
      </w:tr>
    </w:tbl>
    <w:p w:rsidRDefault="00977DF1" w:rsidP="00F30669" w:rsidR="00977DF1" w:rsidRPr="00977DF1">
      <w:pPr>
        <w:spacing w:lineRule="auto" w:line="360"/>
        <w:jc w:val="both"/>
        <w:rPr>
          <w:b/>
          <w:u w:val="single"/>
        </w:rPr>
      </w:pPr>
    </w:p>
    <w:p w:rsidRDefault="0093238D" w:rsidR="0093238D">
      <w:pPr>
        <w:rPr>
          <w:b/>
          <w:color w:themeColor="accent1" w:val="4F81BD"/>
        </w:rPr>
      </w:pPr>
      <w:bookmarkStart w:name="_Toc451235624" w:id="29"/>
      <w:r>
        <w:br w:type="page"/>
      </w:r>
    </w:p>
    <w:p w:rsidRDefault="00865422" w:rsidP="009B53F6" w:rsidR="00B020FA" w:rsidRPr="0083773A">
      <w:pPr>
        <w:pStyle w:val="Naslov1"/>
      </w:pPr>
      <w:bookmarkStart w:name="_Toc462747748" w:id="30"/>
      <w:r w:rsidRPr="006C1275">
        <w:lastRenderedPageBreak/>
        <w:t>2</w:t>
      </w:r>
      <w:r w:rsidRPr="00944571">
        <w:t xml:space="preserve">. </w:t>
      </w:r>
      <w:r w:rsidR="006C3CF6" w:rsidRPr="00944571">
        <w:t>IZ</w:t>
      </w:r>
      <w:r w:rsidR="00922236" w:rsidRPr="00944571">
        <w:t>R</w:t>
      </w:r>
      <w:r w:rsidR="006C3CF6" w:rsidRPr="00944571">
        <w:t>AČUN MANJKA LIKVIDNIH SREDSTAVA NA DAN PRI</w:t>
      </w:r>
      <w:r w:rsidR="00F670E5" w:rsidRPr="00944571">
        <w:t xml:space="preserve">LOŽENIH FINANCIJSKIH </w:t>
      </w:r>
      <w:r w:rsidR="00F07B3D" w:rsidRPr="00944571">
        <w:t>IZVJEŠTAJA</w:t>
      </w:r>
      <w:bookmarkEnd w:id="29"/>
      <w:bookmarkEnd w:id="30"/>
      <w:r w:rsidR="00F670E5" w:rsidRPr="006C1275">
        <w:t xml:space="preserve"> </w:t>
      </w:r>
    </w:p>
    <w:bookmarkEnd w:id="8"/>
    <w:bookmarkEnd w:id="28"/>
    <w:p w:rsidRDefault="00F07B3D" w:rsidP="00F07B3D" w:rsidR="00F07B3D" w:rsidRPr="006C1275">
      <w:pPr>
        <w:pStyle w:val="Tijeloteksta"/>
        <w:spacing w:lineRule="auto" w:line="360"/>
        <w:rPr>
          <w:rFonts w:hAnsi="Times New Roman" w:ascii="Times New Roman"/>
          <w:sz w:val="24"/>
          <w:szCs w:val="24"/>
          <w:lang w:val="hr-HR"/>
        </w:rPr>
      </w:pPr>
    </w:p>
    <w:p w:rsidRDefault="00F07B3D" w:rsidP="00AD7EB7" w:rsidR="008315B3" w:rsidRPr="006C1275">
      <w:pPr>
        <w:pStyle w:val="Tijeloteksta"/>
        <w:spacing w:lineRule="auto" w:line="360"/>
        <w:rPr>
          <w:rFonts w:hAnsi="Times New Roman" w:ascii="Times New Roman"/>
          <w:sz w:val="24"/>
          <w:szCs w:val="24"/>
          <w:lang w:val="hr-HR"/>
        </w:rPr>
      </w:pPr>
      <w:r w:rsidRPr="006C1275">
        <w:rPr>
          <w:rFonts w:hAnsi="Times New Roman" w:ascii="Times New Roman"/>
          <w:sz w:val="24"/>
          <w:szCs w:val="24"/>
          <w:lang w:val="hr-HR"/>
        </w:rPr>
        <w:t xml:space="preserve">U nastavku je prikazan </w:t>
      </w:r>
      <w:r w:rsidR="001D1FCB" w:rsidRPr="006C1275">
        <w:rPr>
          <w:rFonts w:hAnsi="Times New Roman" w:ascii="Times New Roman"/>
          <w:sz w:val="24"/>
          <w:szCs w:val="24"/>
          <w:lang w:val="hr-HR"/>
        </w:rPr>
        <w:t>izračun manjka</w:t>
      </w:r>
      <w:r w:rsidRPr="006C1275">
        <w:rPr>
          <w:rFonts w:hAnsi="Times New Roman" w:ascii="Times New Roman"/>
          <w:sz w:val="24"/>
          <w:szCs w:val="24"/>
          <w:lang w:val="hr-HR"/>
        </w:rPr>
        <w:t xml:space="preserve"> likvidnih sredstava na dan </w:t>
      </w:r>
      <w:r w:rsidR="00823A12">
        <w:rPr>
          <w:rFonts w:hAnsi="Times New Roman" w:ascii="Times New Roman"/>
          <w:sz w:val="24"/>
          <w:szCs w:val="24"/>
          <w:lang w:val="hr-HR"/>
        </w:rPr>
        <w:t>3</w:t>
      </w:r>
      <w:r w:rsidR="00B11B6F">
        <w:rPr>
          <w:rFonts w:hAnsi="Times New Roman" w:ascii="Times New Roman"/>
          <w:sz w:val="24"/>
          <w:szCs w:val="24"/>
          <w:lang w:val="hr-HR"/>
        </w:rPr>
        <w:t>1</w:t>
      </w:r>
      <w:r w:rsidR="00823A12">
        <w:rPr>
          <w:rFonts w:hAnsi="Times New Roman" w:ascii="Times New Roman"/>
          <w:sz w:val="24"/>
          <w:szCs w:val="24"/>
          <w:lang w:val="hr-HR"/>
        </w:rPr>
        <w:t>.</w:t>
      </w:r>
      <w:r w:rsidR="00B11B6F">
        <w:rPr>
          <w:rFonts w:hAnsi="Times New Roman" w:ascii="Times New Roman"/>
          <w:sz w:val="24"/>
          <w:szCs w:val="24"/>
          <w:lang w:val="hr-HR"/>
        </w:rPr>
        <w:t>0</w:t>
      </w:r>
      <w:r w:rsidR="0093238D">
        <w:rPr>
          <w:rFonts w:hAnsi="Times New Roman" w:ascii="Times New Roman"/>
          <w:sz w:val="24"/>
          <w:szCs w:val="24"/>
          <w:lang w:val="hr-HR"/>
        </w:rPr>
        <w:t>8</w:t>
      </w:r>
      <w:r w:rsidR="00823A12">
        <w:rPr>
          <w:rFonts w:hAnsi="Times New Roman" w:ascii="Times New Roman"/>
          <w:sz w:val="24"/>
          <w:szCs w:val="24"/>
          <w:lang w:val="hr-HR"/>
        </w:rPr>
        <w:t>.201</w:t>
      </w:r>
      <w:r w:rsidR="008252FD">
        <w:rPr>
          <w:rFonts w:hAnsi="Times New Roman" w:ascii="Times New Roman"/>
          <w:sz w:val="24"/>
          <w:szCs w:val="24"/>
          <w:lang w:val="hr-HR"/>
        </w:rPr>
        <w:t>6</w:t>
      </w:r>
      <w:r w:rsidR="00447DDA">
        <w:rPr>
          <w:rFonts w:hAnsi="Times New Roman" w:ascii="Times New Roman"/>
          <w:sz w:val="24"/>
          <w:szCs w:val="24"/>
          <w:lang w:val="hr-HR"/>
        </w:rPr>
        <w:t>.</w:t>
      </w:r>
      <w:r w:rsidRPr="006C1275">
        <w:rPr>
          <w:rFonts w:hAnsi="Times New Roman" w:ascii="Times New Roman"/>
          <w:sz w:val="24"/>
          <w:szCs w:val="24"/>
          <w:lang w:val="hr-HR"/>
        </w:rPr>
        <w:t xml:space="preserve"> godine.</w:t>
      </w:r>
    </w:p>
    <w:p w:rsidRDefault="00095696" w:rsidP="001074D6" w:rsidR="00FF418D" w:rsidRPr="006C1275">
      <w:pPr>
        <w:rPr>
          <w:i/>
          <w:color w:val="000000"/>
        </w:rPr>
      </w:pPr>
      <w:r w:rsidRPr="006C1275">
        <w:rPr>
          <w:i/>
          <w:color w:val="000000"/>
        </w:rPr>
        <w:t xml:space="preserve"> </w:t>
      </w:r>
    </w:p>
    <w:p w:rsidRDefault="00095696" w:rsidP="001074D6" w:rsidR="00095696" w:rsidRPr="006C1275">
      <w:pPr>
        <w:rPr>
          <w:i/>
          <w:color w:val="000000"/>
        </w:rPr>
      </w:pPr>
    </w:p>
    <w:p w:rsidRDefault="00B24F36" w:rsidP="00012A88" w:rsidR="009C1CBB">
      <w:pPr>
        <w:jc w:val="center"/>
        <w:rPr>
          <w:i/>
          <w:color w:val="000000"/>
        </w:rPr>
      </w:pPr>
      <w:r>
        <w:rPr>
          <w:i/>
          <w:color w:val="000000"/>
        </w:rPr>
        <w:t xml:space="preserve">Tablica 1: </w:t>
      </w:r>
      <w:r w:rsidR="00234642" w:rsidRPr="006C1275">
        <w:rPr>
          <w:i/>
          <w:color w:val="000000"/>
        </w:rPr>
        <w:t>Izračun manjka likvidnih sredstava</w:t>
      </w:r>
    </w:p>
    <w:p w:rsidRDefault="00012A88" w:rsidP="00012A88" w:rsidR="00012A88">
      <w:pPr>
        <w:jc w:val="center"/>
        <w:rPr>
          <w:i/>
          <w:color w:val="000000"/>
        </w:rPr>
      </w:pPr>
    </w:p>
    <w:p w:rsidRDefault="00012A88" w:rsidP="00012A88" w:rsidR="00012A88" w:rsidRPr="006C1275">
      <w:pPr>
        <w:jc w:val="center"/>
        <w:rPr>
          <w:i/>
        </w:rPr>
      </w:pPr>
    </w:p>
    <w:tbl>
      <w:tblPr>
        <w:tblW w:type="dxa" w:w="6820"/>
        <w:jc w:val="center"/>
        <w:tblLook w:val="04A0" w:noVBand="1" w:noHBand="0" w:lastColumn="0" w:firstColumn="1" w:lastRow="0" w:firstRow="1"/>
      </w:tblPr>
      <w:tblGrid>
        <w:gridCol w:w="5580"/>
        <w:gridCol w:w="1240"/>
      </w:tblGrid>
      <w:tr w:rsidTr="00012A88" w:rsidR="00C63D99">
        <w:trPr>
          <w:trHeight w:val="320"/>
          <w:jc w:val="center"/>
        </w:trPr>
        <w:tc>
          <w:tcPr>
            <w:tcW w:type="dxa" w:w="55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C63D99" w:rsidR="00C63D99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Pozicija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C63D99" w:rsidR="00C63D99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Iznos</w:t>
            </w:r>
          </w:p>
        </w:tc>
      </w:tr>
      <w:tr w:rsidTr="00012A88" w:rsidR="00C63D99">
        <w:trPr>
          <w:trHeight w:val="320"/>
          <w:jc w:val="center"/>
        </w:trPr>
        <w:tc>
          <w:tcPr>
            <w:tcW w:type="dxa" w:w="5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63D99" w:rsidR="00C63D99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1. Ostala potraživanja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C63D99" w:rsidR="00C63D99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26.748</w:t>
            </w:r>
          </w:p>
        </w:tc>
      </w:tr>
      <w:tr w:rsidTr="00012A88" w:rsidR="00C63D99">
        <w:trPr>
          <w:trHeight w:val="320"/>
          <w:jc w:val="center"/>
        </w:trPr>
        <w:tc>
          <w:tcPr>
            <w:tcW w:type="dxa" w:w="5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63D99" w:rsidR="00C63D99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2. Sirovine i materijal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C63D99" w:rsidR="00C63D99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736.212</w:t>
            </w:r>
          </w:p>
        </w:tc>
      </w:tr>
      <w:tr w:rsidTr="00012A88" w:rsidR="00C63D99">
        <w:trPr>
          <w:trHeight w:val="320"/>
          <w:jc w:val="center"/>
        </w:trPr>
        <w:tc>
          <w:tcPr>
            <w:tcW w:type="dxa" w:w="5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63D99" w:rsidR="00C63D99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3. Gotovi proizvodi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C63D99" w:rsidR="00C63D99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1.701.715</w:t>
            </w:r>
          </w:p>
        </w:tc>
      </w:tr>
      <w:tr w:rsidTr="00012A88" w:rsidR="00C63D99">
        <w:trPr>
          <w:trHeight w:val="320"/>
          <w:jc w:val="center"/>
        </w:trPr>
        <w:tc>
          <w:tcPr>
            <w:tcW w:type="dxa" w:w="5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63D99" w:rsidR="00C63D99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4. Trgovačka roba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C63D99" w:rsidR="00C63D99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46.989</w:t>
            </w:r>
          </w:p>
        </w:tc>
      </w:tr>
      <w:tr w:rsidTr="00012A88" w:rsidR="00C63D99">
        <w:trPr>
          <w:trHeight w:val="320"/>
          <w:jc w:val="center"/>
        </w:trPr>
        <w:tc>
          <w:tcPr>
            <w:tcW w:type="dxa" w:w="5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63D99" w:rsidR="00C63D99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5. Potraživanja od kupaca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C63D99" w:rsidR="00C63D99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227.619</w:t>
            </w:r>
          </w:p>
        </w:tc>
      </w:tr>
      <w:tr w:rsidTr="00012A88" w:rsidR="00C63D99">
        <w:trPr>
          <w:trHeight w:val="320"/>
          <w:jc w:val="center"/>
        </w:trPr>
        <w:tc>
          <w:tcPr>
            <w:tcW w:type="dxa" w:w="5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63D99" w:rsidR="00C63D99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6. Potraživanja od zaposlenika i članova poduzetnika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C63D99" w:rsidR="00C63D99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23.945</w:t>
            </w:r>
          </w:p>
        </w:tc>
      </w:tr>
      <w:tr w:rsidTr="00012A88" w:rsidR="00C63D99">
        <w:trPr>
          <w:trHeight w:val="320"/>
          <w:jc w:val="center"/>
        </w:trPr>
        <w:tc>
          <w:tcPr>
            <w:tcW w:type="dxa" w:w="5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63D99" w:rsidR="00C63D99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7. Potraživanja od države i drugih institucija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C63D99" w:rsidR="00C63D99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14.626</w:t>
            </w:r>
          </w:p>
        </w:tc>
      </w:tr>
      <w:tr w:rsidTr="00012A88" w:rsidR="00C63D99">
        <w:trPr>
          <w:trHeight w:val="320"/>
          <w:jc w:val="center"/>
        </w:trPr>
        <w:tc>
          <w:tcPr>
            <w:tcW w:type="dxa" w:w="5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63D99" w:rsidR="00C63D99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8. Ostala potraživanja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C63D99" w:rsidR="00C63D99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14.832</w:t>
            </w:r>
          </w:p>
        </w:tc>
      </w:tr>
      <w:tr w:rsidTr="00012A88" w:rsidR="00C63D99">
        <w:trPr>
          <w:trHeight w:val="320"/>
          <w:jc w:val="center"/>
        </w:trPr>
        <w:tc>
          <w:tcPr>
            <w:tcW w:type="dxa" w:w="5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63D99" w:rsidR="00C63D99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9. Dani zajmovi, depoziti i slično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C63D99" w:rsidR="00C63D99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510</w:t>
            </w:r>
          </w:p>
        </w:tc>
      </w:tr>
      <w:tr w:rsidTr="00012A88" w:rsidR="00C63D99">
        <w:trPr>
          <w:trHeight w:val="320"/>
          <w:jc w:val="center"/>
        </w:trPr>
        <w:tc>
          <w:tcPr>
            <w:tcW w:type="dxa" w:w="5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63D99" w:rsidR="00C63D99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10. NOVAC U BANCI I BLAGAJNI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C63D99" w:rsidR="00C63D99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1.300</w:t>
            </w:r>
          </w:p>
        </w:tc>
      </w:tr>
      <w:tr w:rsidTr="00012A88" w:rsidR="00C63D99">
        <w:trPr>
          <w:trHeight w:val="320"/>
          <w:jc w:val="center"/>
        </w:trPr>
        <w:tc>
          <w:tcPr>
            <w:tcW w:type="dxa" w:w="5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C63D99" w:rsidR="00C63D99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UKUPNO LIKVIDNA IMOVINA: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C63D99" w:rsidR="00C63D99">
            <w:pPr>
              <w:jc w:val="right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2.794.496</w:t>
            </w:r>
          </w:p>
        </w:tc>
      </w:tr>
      <w:tr w:rsidTr="00012A88" w:rsidR="00C63D99">
        <w:trPr>
          <w:trHeight w:val="320"/>
          <w:jc w:val="center"/>
        </w:trPr>
        <w:tc>
          <w:tcPr>
            <w:tcW w:type="dxa" w:w="5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63D99" w:rsidR="00C63D99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1. Obveze prema bankama i drugim financijskim institucijama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63D99" w:rsidR="00C63D99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1.090.690</w:t>
            </w:r>
          </w:p>
        </w:tc>
      </w:tr>
      <w:tr w:rsidTr="00012A88" w:rsidR="00C63D99">
        <w:trPr>
          <w:trHeight w:val="320"/>
          <w:jc w:val="center"/>
        </w:trPr>
        <w:tc>
          <w:tcPr>
            <w:tcW w:type="dxa" w:w="5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63D99" w:rsidR="00C63D99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2. Obveze za predujmove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63D99" w:rsidR="00C63D99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876</w:t>
            </w:r>
          </w:p>
        </w:tc>
      </w:tr>
      <w:tr w:rsidTr="00012A88" w:rsidR="00C63D99">
        <w:trPr>
          <w:trHeight w:val="320"/>
          <w:jc w:val="center"/>
        </w:trPr>
        <w:tc>
          <w:tcPr>
            <w:tcW w:type="dxa" w:w="5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63D99" w:rsidR="00C63D99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3. Obveze prema dobavljačima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63D99" w:rsidR="00C63D99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1.445.340</w:t>
            </w:r>
          </w:p>
        </w:tc>
      </w:tr>
      <w:tr w:rsidTr="00012A88" w:rsidR="00C63D99">
        <w:trPr>
          <w:trHeight w:val="320"/>
          <w:jc w:val="center"/>
        </w:trPr>
        <w:tc>
          <w:tcPr>
            <w:tcW w:type="dxa" w:w="5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63D99" w:rsidR="00C63D99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4. Obveze prema zaposlenicima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63D99" w:rsidR="00C63D99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140.425</w:t>
            </w:r>
          </w:p>
        </w:tc>
      </w:tr>
      <w:tr w:rsidTr="00012A88" w:rsidR="00C63D99">
        <w:trPr>
          <w:trHeight w:val="320"/>
          <w:jc w:val="center"/>
        </w:trPr>
        <w:tc>
          <w:tcPr>
            <w:tcW w:type="dxa" w:w="5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63D99" w:rsidR="00C63D99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5. Obveze za poreze, doprinose i slična davanja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63D99" w:rsidR="00C63D99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235.071</w:t>
            </w:r>
          </w:p>
        </w:tc>
      </w:tr>
      <w:tr w:rsidTr="00012A88" w:rsidR="00C63D99">
        <w:trPr>
          <w:trHeight w:val="320"/>
          <w:jc w:val="center"/>
        </w:trPr>
        <w:tc>
          <w:tcPr>
            <w:tcW w:type="dxa" w:w="5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C63D99" w:rsidR="00C63D99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UKUPNO OBVEZE: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C63D99" w:rsidR="00C63D99">
            <w:pPr>
              <w:jc w:val="right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2.912.402</w:t>
            </w:r>
          </w:p>
        </w:tc>
      </w:tr>
      <w:tr w:rsidTr="00012A88" w:rsidR="00C63D99">
        <w:trPr>
          <w:trHeight w:val="320"/>
          <w:jc w:val="center"/>
        </w:trPr>
        <w:tc>
          <w:tcPr>
            <w:tcW w:type="dxa" w:w="5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C63D99" w:rsidR="00C63D99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MANJAK LIKVIDNIH SREDSTAVA: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C63D99" w:rsidR="00C63D99">
            <w:pPr>
              <w:jc w:val="right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-117.906</w:t>
            </w:r>
          </w:p>
        </w:tc>
      </w:tr>
    </w:tbl>
    <w:p w:rsidRDefault="00C840E5" w:rsidP="006C49A8" w:rsidR="00C840E5">
      <w:pPr>
        <w:pStyle w:val="MediumGrid21"/>
        <w:spacing w:lineRule="auto" w:line="360"/>
      </w:pPr>
    </w:p>
    <w:p w:rsidRDefault="008E604D" w:rsidP="00556B5D" w:rsidR="006D3285" w:rsidRPr="006D3285">
      <w:pPr>
        <w:pStyle w:val="MediumGrid21"/>
        <w:spacing w:lineRule="auto" w:line="360"/>
      </w:pPr>
      <w:r w:rsidRPr="006C1275">
        <w:t xml:space="preserve">Manjak likvidnih sredstava na dan </w:t>
      </w:r>
      <w:r w:rsidR="00B11B6F">
        <w:t>31.0</w:t>
      </w:r>
      <w:r w:rsidR="00E9285D">
        <w:t>8</w:t>
      </w:r>
      <w:r w:rsidR="00FF418D">
        <w:t>.2016</w:t>
      </w:r>
      <w:r w:rsidR="00447DDA">
        <w:t>.</w:t>
      </w:r>
      <w:r w:rsidRPr="006C1275">
        <w:t xml:space="preserve"> godine </w:t>
      </w:r>
      <w:r w:rsidRPr="000B5043">
        <w:t>iznos</w:t>
      </w:r>
      <w:r w:rsidRPr="000228A4">
        <w:t xml:space="preserve">i </w:t>
      </w:r>
      <w:r w:rsidR="00FF418D">
        <w:rPr>
          <w:b/>
          <w:bCs/>
        </w:rPr>
        <w:t xml:space="preserve"> </w:t>
      </w:r>
      <w:r w:rsidR="00C63D99">
        <w:rPr>
          <w:b/>
          <w:bCs/>
        </w:rPr>
        <w:t>117.906</w:t>
      </w:r>
      <w:r w:rsidR="00E36C59">
        <w:rPr>
          <w:b/>
          <w:bCs/>
        </w:rPr>
        <w:t xml:space="preserve"> </w:t>
      </w:r>
      <w:r w:rsidR="002974EF">
        <w:rPr>
          <w:b/>
          <w:bCs/>
        </w:rPr>
        <w:t>kn</w:t>
      </w:r>
      <w:r w:rsidR="005472DC" w:rsidRPr="00F044CE">
        <w:t xml:space="preserve">, </w:t>
      </w:r>
      <w:r w:rsidRPr="00F044CE">
        <w:t>a is</w:t>
      </w:r>
      <w:r w:rsidRPr="006C1275">
        <w:t xml:space="preserve">ti je iskazan </w:t>
      </w:r>
      <w:r w:rsidR="006C49A8" w:rsidRPr="006C1275">
        <w:t xml:space="preserve">kao </w:t>
      </w:r>
      <w:r w:rsidR="004F5AC5" w:rsidRPr="006C1275">
        <w:t>razlika</w:t>
      </w:r>
      <w:r w:rsidR="006C49A8" w:rsidRPr="006C1275">
        <w:t xml:space="preserve"> </w:t>
      </w:r>
      <w:r w:rsidR="00C63D99">
        <w:t>kratkoročnih</w:t>
      </w:r>
      <w:r w:rsidR="006C49A8" w:rsidRPr="006C1275">
        <w:t xml:space="preserve"> </w:t>
      </w:r>
      <w:r w:rsidR="00472663" w:rsidRPr="006C1275">
        <w:t>obveza</w:t>
      </w:r>
      <w:r w:rsidR="00C90729" w:rsidRPr="006C1275">
        <w:t xml:space="preserve"> i</w:t>
      </w:r>
      <w:r w:rsidR="00AD7EB7" w:rsidRPr="006C1275">
        <w:t xml:space="preserve"> </w:t>
      </w:r>
      <w:r w:rsidR="00431962">
        <w:t xml:space="preserve">kratkoročne </w:t>
      </w:r>
      <w:r w:rsidR="00AD7EB7" w:rsidRPr="006C1275">
        <w:t>imovine.</w:t>
      </w:r>
      <w:r w:rsidR="00820350" w:rsidRPr="006C1275">
        <w:br w:type="page"/>
      </w:r>
    </w:p>
    <w:p w:rsidRDefault="007C725C" w:rsidP="009B53F6" w:rsidR="007C725C" w:rsidRPr="006D3285">
      <w:pPr>
        <w:pStyle w:val="Naslov1"/>
      </w:pPr>
      <w:bookmarkStart w:name="_Toc451235625" w:id="31"/>
      <w:bookmarkStart w:name="_Toc462747749" w:id="32"/>
      <w:r w:rsidRPr="006D3285">
        <w:lastRenderedPageBreak/>
        <w:t xml:space="preserve">3. </w:t>
      </w:r>
      <w:r w:rsidR="00F07B3D" w:rsidRPr="00944571">
        <w:t xml:space="preserve">OPIS </w:t>
      </w:r>
      <w:r w:rsidRPr="00944571">
        <w:t>MJER</w:t>
      </w:r>
      <w:r w:rsidR="00F07B3D" w:rsidRPr="00944571">
        <w:t>A</w:t>
      </w:r>
      <w:r w:rsidR="00FC4CE0" w:rsidRPr="00944571">
        <w:t xml:space="preserve"> </w:t>
      </w:r>
      <w:r w:rsidRPr="00944571">
        <w:t xml:space="preserve"> FINANCIJSKOG</w:t>
      </w:r>
      <w:r w:rsidR="00FC4CE0" w:rsidRPr="00944571">
        <w:t xml:space="preserve"> </w:t>
      </w:r>
      <w:r w:rsidRPr="00944571">
        <w:t xml:space="preserve"> RESTRUKTURIRANJA</w:t>
      </w:r>
      <w:r w:rsidR="00483326" w:rsidRPr="00944571">
        <w:t xml:space="preserve"> I IZRAČUN NJIHOVIH UČINAKA NA MANJAK LIKVIDNIH SREDSTAVA</w:t>
      </w:r>
      <w:bookmarkEnd w:id="31"/>
      <w:bookmarkEnd w:id="32"/>
    </w:p>
    <w:p w:rsidRDefault="004515CB" w:rsidP="00C840E5" w:rsidR="004515CB" w:rsidRPr="006D3285">
      <w:pPr>
        <w:pStyle w:val="MediumGrid21"/>
        <w:spacing w:lineRule="auto" w:line="360"/>
        <w:rPr>
          <w:rStyle w:val="Naslov1Char"/>
        </w:rPr>
      </w:pPr>
    </w:p>
    <w:p w:rsidRDefault="00C6737C" w:rsidP="00C6737C" w:rsidR="00C6737C" w:rsidRPr="006F7B77">
      <w:pPr>
        <w:pStyle w:val="Tijeloteksta"/>
        <w:spacing w:lineRule="auto" w:line="360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6F7B77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Vjerovnici u postupku predstečajne nagodbe, </w:t>
      </w:r>
      <w:r w:rsidR="001B3FAC" w:rsidRPr="006F7B77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svrstani su u  </w:t>
      </w:r>
      <w:r w:rsidR="00377D92">
        <w:rPr>
          <w:rFonts w:hAnsi="Times New Roman" w:ascii="Times New Roman"/>
          <w:color w:themeColor="text1" w:val="000000"/>
          <w:sz w:val="24"/>
          <w:szCs w:val="24"/>
          <w:lang w:val="hr-HR"/>
        </w:rPr>
        <w:t>jednu skupinu.</w:t>
      </w:r>
    </w:p>
    <w:p w:rsidRDefault="001B3FAC" w:rsidP="00C6737C" w:rsidR="001B3FAC">
      <w:pPr>
        <w:pStyle w:val="Tijeloteksta"/>
        <w:spacing w:lineRule="auto" w:line="360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</w:p>
    <w:tbl>
      <w:tblPr>
        <w:tblW w:type="dxa" w:w="8820"/>
        <w:tblInd w:type="dxa" w:w="108"/>
        <w:tblLook w:val="04A0" w:noVBand="1" w:noHBand="0" w:lastColumn="0" w:firstColumn="1" w:lastRow="0" w:firstRow="1"/>
      </w:tblPr>
      <w:tblGrid>
        <w:gridCol w:w="4240"/>
        <w:gridCol w:w="1460"/>
        <w:gridCol w:w="1820"/>
        <w:gridCol w:w="1300"/>
      </w:tblGrid>
      <w:tr w:rsidTr="00D848EE" w:rsidR="00D848EE">
        <w:trPr>
          <w:trHeight w:val="540"/>
        </w:trPr>
        <w:tc>
          <w:tcPr>
            <w:tcW w:type="dxa" w:w="424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D848EE" w:rsidR="00D848EE">
            <w:pPr>
              <w:rPr>
                <w:rFonts w:eastAsia="Times New Roman"/>
                <w:color w:val="000000"/>
                <w:sz w:val="21"/>
                <w:szCs w:val="21"/>
              </w:rPr>
            </w:pPr>
            <w:r>
              <w:rPr>
                <w:rFonts w:eastAsia="Times New Roman"/>
                <w:color w:val="000000"/>
                <w:sz w:val="21"/>
              </w:rPr>
              <w:t>Vjerovnik</w:t>
            </w:r>
          </w:p>
        </w:tc>
        <w:tc>
          <w:tcPr>
            <w:tcW w:type="dxa" w:w="146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D848EE" w:rsidR="00D848EE">
            <w:pPr>
              <w:jc w:val="center"/>
              <w:rPr>
                <w:rFonts w:eastAsia="Times New Roman"/>
                <w:color w:val="000000"/>
                <w:sz w:val="21"/>
                <w:szCs w:val="21"/>
              </w:rPr>
            </w:pPr>
            <w:r>
              <w:rPr>
                <w:rFonts w:eastAsia="Times New Roman"/>
                <w:color w:val="000000"/>
                <w:sz w:val="21"/>
              </w:rPr>
              <w:t>IZNOS</w:t>
            </w:r>
          </w:p>
        </w:tc>
        <w:tc>
          <w:tcPr>
            <w:tcW w:type="dxa" w:w="18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D848EE" w:rsidR="00D848EE">
            <w:pPr>
              <w:jc w:val="center"/>
              <w:rPr>
                <w:rFonts w:eastAsia="Times New Roman"/>
                <w:color w:val="000000"/>
                <w:sz w:val="21"/>
                <w:szCs w:val="21"/>
              </w:rPr>
            </w:pPr>
            <w:r>
              <w:rPr>
                <w:rFonts w:eastAsia="Times New Roman"/>
                <w:color w:val="000000"/>
                <w:sz w:val="21"/>
              </w:rPr>
              <w:t>Prijedlog izmirenja</w:t>
            </w:r>
          </w:p>
        </w:tc>
        <w:tc>
          <w:tcPr>
            <w:tcW w:type="dxa" w:w="130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D848EE" w:rsidR="00D848EE">
            <w:pPr>
              <w:rPr>
                <w:rFonts w:eastAsia="Times New Roman"/>
                <w:color w:val="000000"/>
                <w:sz w:val="21"/>
                <w:szCs w:val="21"/>
              </w:rPr>
            </w:pPr>
            <w:r>
              <w:rPr>
                <w:rFonts w:eastAsia="Times New Roman"/>
                <w:color w:val="000000"/>
                <w:sz w:val="21"/>
              </w:rPr>
              <w:t>Struktura</w:t>
            </w:r>
          </w:p>
        </w:tc>
      </w:tr>
      <w:tr w:rsidTr="00D848EE" w:rsidR="00D848EE">
        <w:trPr>
          <w:trHeight w:val="280"/>
        </w:trPr>
        <w:tc>
          <w:tcPr>
            <w:tcW w:type="dxa" w:w="424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848EE" w:rsidR="00D848EE">
            <w:pPr>
              <w:rPr>
                <w:rFonts w:eastAsia="Times New Roman"/>
                <w:color w:val="000000"/>
                <w:sz w:val="21"/>
                <w:szCs w:val="21"/>
              </w:rPr>
            </w:pPr>
          </w:p>
        </w:tc>
        <w:tc>
          <w:tcPr>
            <w:tcW w:type="dxa" w:w="146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848EE" w:rsidR="00D848EE">
            <w:pPr>
              <w:rPr>
                <w:rFonts w:eastAsia="Times New Roman"/>
                <w:color w:val="000000"/>
                <w:sz w:val="21"/>
                <w:szCs w:val="21"/>
              </w:rPr>
            </w:pP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D848EE" w:rsidR="00D848EE">
            <w:pPr>
              <w:jc w:val="center"/>
              <w:rPr>
                <w:rFonts w:eastAsia="Times New Roman"/>
                <w:color w:val="000000"/>
                <w:sz w:val="21"/>
                <w:szCs w:val="21"/>
              </w:rPr>
            </w:pPr>
            <w:r>
              <w:rPr>
                <w:rFonts w:eastAsia="Times New Roman"/>
                <w:color w:val="000000"/>
                <w:sz w:val="21"/>
              </w:rPr>
              <w:t>Rok</w:t>
            </w:r>
          </w:p>
        </w:tc>
        <w:tc>
          <w:tcPr>
            <w:tcW w:type="dxa" w:w="130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848EE" w:rsidR="00D848EE">
            <w:pPr>
              <w:rPr>
                <w:rFonts w:eastAsia="Times New Roman"/>
                <w:color w:val="000000"/>
                <w:sz w:val="21"/>
                <w:szCs w:val="21"/>
              </w:rPr>
            </w:pPr>
          </w:p>
        </w:tc>
      </w:tr>
      <w:tr w:rsidTr="00D848EE" w:rsidR="00D848EE">
        <w:trPr>
          <w:trHeight w:val="280"/>
        </w:trPr>
        <w:tc>
          <w:tcPr>
            <w:tcW w:type="dxa" w:w="42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848EE" w:rsidR="00D848EE">
            <w:pPr>
              <w:rPr>
                <w:rFonts w:eastAsia="Times New Roman"/>
                <w:color w:val="000000"/>
                <w:sz w:val="21"/>
                <w:szCs w:val="21"/>
              </w:rPr>
            </w:pPr>
            <w:r>
              <w:rPr>
                <w:rFonts w:eastAsia="Times New Roman"/>
                <w:color w:val="000000"/>
                <w:sz w:val="21"/>
              </w:rPr>
              <w:t>Neosigurani vjerovnici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848EE" w:rsidR="00D848EE">
            <w:pPr>
              <w:jc w:val="right"/>
              <w:rPr>
                <w:rFonts w:eastAsia="Times New Roman"/>
                <w:color w:val="000000"/>
                <w:sz w:val="21"/>
                <w:szCs w:val="21"/>
              </w:rPr>
            </w:pPr>
            <w:r>
              <w:rPr>
                <w:rFonts w:eastAsia="Times New Roman"/>
                <w:color w:val="000000"/>
                <w:sz w:val="21"/>
                <w:szCs w:val="21"/>
              </w:rPr>
              <w:t>8.010.484,72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848EE" w:rsidR="00D848EE">
            <w:pPr>
              <w:jc w:val="center"/>
              <w:rPr>
                <w:rFonts w:eastAsia="Times New Roman"/>
                <w:color w:val="000000"/>
                <w:sz w:val="21"/>
                <w:szCs w:val="21"/>
              </w:rPr>
            </w:pPr>
            <w:r>
              <w:rPr>
                <w:rFonts w:eastAsia="Times New Roman"/>
                <w:color w:val="000000"/>
                <w:sz w:val="21"/>
              </w:rPr>
              <w:t>1+4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848EE" w:rsidR="00D848EE">
            <w:pPr>
              <w:jc w:val="right"/>
              <w:rPr>
                <w:rFonts w:eastAsia="Times New Roman"/>
                <w:color w:val="000000"/>
                <w:sz w:val="21"/>
                <w:szCs w:val="21"/>
              </w:rPr>
            </w:pPr>
            <w:r>
              <w:rPr>
                <w:rFonts w:eastAsia="Times New Roman"/>
                <w:color w:val="000000"/>
                <w:sz w:val="21"/>
              </w:rPr>
              <w:t>100,00%</w:t>
            </w:r>
          </w:p>
        </w:tc>
      </w:tr>
      <w:tr w:rsidTr="00D848EE" w:rsidR="00D848EE">
        <w:trPr>
          <w:trHeight w:val="280"/>
        </w:trPr>
        <w:tc>
          <w:tcPr>
            <w:tcW w:type="dxa" w:w="42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D848EE" w:rsidR="00D848EE">
            <w:pPr>
              <w:jc w:val="center"/>
              <w:rPr>
                <w:rFonts w:eastAsia="Times New Roman"/>
                <w:color w:val="000000"/>
                <w:sz w:val="21"/>
                <w:szCs w:val="21"/>
              </w:rPr>
            </w:pPr>
            <w:r>
              <w:rPr>
                <w:rFonts w:eastAsia="Times New Roman"/>
                <w:color w:val="000000"/>
                <w:sz w:val="21"/>
              </w:rPr>
              <w:t>UKUPNO BEZUVJETNE OBVEZE: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D848EE" w:rsidR="00D848EE">
            <w:pPr>
              <w:jc w:val="right"/>
              <w:rPr>
                <w:rFonts w:eastAsia="Times New Roman"/>
                <w:color w:val="000000"/>
                <w:sz w:val="21"/>
                <w:szCs w:val="21"/>
              </w:rPr>
            </w:pPr>
            <w:r>
              <w:rPr>
                <w:rFonts w:eastAsia="Times New Roman"/>
                <w:color w:val="000000"/>
                <w:sz w:val="21"/>
                <w:szCs w:val="21"/>
              </w:rPr>
              <w:t>8.010.484,72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D848EE" w:rsidR="00D848EE">
            <w:pPr>
              <w:rPr>
                <w:rFonts w:eastAsia="Times New Roman"/>
                <w:color w:val="000000"/>
                <w:sz w:val="21"/>
                <w:szCs w:val="21"/>
              </w:rPr>
            </w:pPr>
            <w:r>
              <w:rPr>
                <w:rFonts w:eastAsia="Times New Roman"/>
                <w:color w:val="000000"/>
                <w:sz w:val="21"/>
              </w:rPr>
              <w:t> 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D848EE" w:rsidR="00D848EE">
            <w:pPr>
              <w:jc w:val="right"/>
              <w:rPr>
                <w:rFonts w:eastAsia="Times New Roman"/>
                <w:color w:val="000000"/>
                <w:sz w:val="21"/>
                <w:szCs w:val="21"/>
              </w:rPr>
            </w:pPr>
            <w:r>
              <w:rPr>
                <w:rFonts w:eastAsia="Times New Roman"/>
                <w:color w:val="000000"/>
                <w:sz w:val="21"/>
              </w:rPr>
              <w:t>100,00%</w:t>
            </w:r>
          </w:p>
        </w:tc>
      </w:tr>
      <w:tr w:rsidTr="00D848EE" w:rsidR="00D848EE">
        <w:trPr>
          <w:trHeight w:val="280"/>
        </w:trPr>
        <w:tc>
          <w:tcPr>
            <w:tcW w:type="dxa" w:w="42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848EE" w:rsidR="00D848EE">
            <w:pPr>
              <w:rPr>
                <w:rFonts w:eastAsia="Times New Roman"/>
                <w:color w:val="000000"/>
                <w:sz w:val="21"/>
                <w:szCs w:val="21"/>
              </w:rPr>
            </w:pPr>
            <w:r>
              <w:rPr>
                <w:rFonts w:eastAsia="Times New Roman"/>
                <w:color w:val="000000"/>
                <w:sz w:val="21"/>
              </w:rPr>
              <w:t xml:space="preserve">Razlučni vjerovnici 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848EE" w:rsidR="00D848EE">
            <w:pPr>
              <w:jc w:val="right"/>
              <w:rPr>
                <w:rFonts w:eastAsia="Times New Roman"/>
                <w:color w:val="000000"/>
                <w:sz w:val="21"/>
                <w:szCs w:val="21"/>
              </w:rPr>
            </w:pPr>
            <w:r>
              <w:rPr>
                <w:rFonts w:eastAsia="Times New Roman"/>
                <w:color w:val="000000"/>
                <w:sz w:val="21"/>
                <w:szCs w:val="21"/>
              </w:rPr>
              <w:t>1.850.615,09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848EE" w:rsidR="00D848EE">
            <w:pPr>
              <w:jc w:val="center"/>
              <w:rPr>
                <w:rFonts w:eastAsia="Times New Roman"/>
                <w:color w:val="000000"/>
                <w:sz w:val="21"/>
                <w:szCs w:val="21"/>
              </w:rPr>
            </w:pPr>
            <w:r>
              <w:rPr>
                <w:rFonts w:eastAsia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848EE" w:rsidR="00D848EE">
            <w:pPr>
              <w:jc w:val="center"/>
              <w:rPr>
                <w:rFonts w:eastAsia="Times New Roman"/>
                <w:color w:val="000000"/>
                <w:sz w:val="21"/>
                <w:szCs w:val="21"/>
              </w:rPr>
            </w:pPr>
            <w:r>
              <w:rPr>
                <w:rFonts w:eastAsia="Times New Roman"/>
                <w:color w:val="000000"/>
                <w:sz w:val="21"/>
              </w:rPr>
              <w:t> </w:t>
            </w:r>
          </w:p>
        </w:tc>
      </w:tr>
      <w:tr w:rsidTr="00D848EE" w:rsidR="00D848EE">
        <w:trPr>
          <w:trHeight w:val="280"/>
        </w:trPr>
        <w:tc>
          <w:tcPr>
            <w:tcW w:type="dxa" w:w="42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848EE" w:rsidR="00D848EE">
            <w:pPr>
              <w:rPr>
                <w:rFonts w:eastAsia="Times New Roman"/>
                <w:color w:val="000000"/>
                <w:sz w:val="21"/>
                <w:szCs w:val="21"/>
              </w:rPr>
            </w:pPr>
            <w:r>
              <w:rPr>
                <w:rFonts w:eastAsia="Times New Roman"/>
                <w:color w:val="000000"/>
                <w:sz w:val="21"/>
              </w:rPr>
              <w:t xml:space="preserve">Izlučni vjerovnici 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848EE" w:rsidR="00D848EE">
            <w:pPr>
              <w:jc w:val="right"/>
              <w:rPr>
                <w:rFonts w:eastAsia="Times New Roman"/>
                <w:color w:val="000000"/>
                <w:sz w:val="21"/>
                <w:szCs w:val="21"/>
              </w:rPr>
            </w:pPr>
            <w:r>
              <w:rPr>
                <w:rFonts w:eastAsia="Times New Roman"/>
                <w:color w:val="000000"/>
                <w:sz w:val="21"/>
                <w:szCs w:val="21"/>
              </w:rPr>
              <w:t>122.296,74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848EE" w:rsidR="00D848EE">
            <w:pPr>
              <w:jc w:val="center"/>
              <w:rPr>
                <w:rFonts w:eastAsia="Times New Roman"/>
                <w:color w:val="000000"/>
                <w:sz w:val="21"/>
                <w:szCs w:val="21"/>
              </w:rPr>
            </w:pPr>
            <w:r>
              <w:rPr>
                <w:rFonts w:eastAsia="Times New Roman"/>
                <w:color w:val="000000"/>
                <w:sz w:val="21"/>
              </w:rPr>
              <w:t>-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848EE" w:rsidR="00D848EE">
            <w:pPr>
              <w:jc w:val="center"/>
              <w:rPr>
                <w:rFonts w:eastAsia="Times New Roman"/>
                <w:color w:val="000000"/>
                <w:sz w:val="21"/>
                <w:szCs w:val="21"/>
              </w:rPr>
            </w:pPr>
            <w:r>
              <w:rPr>
                <w:rFonts w:eastAsia="Times New Roman"/>
                <w:color w:val="000000"/>
                <w:sz w:val="21"/>
              </w:rPr>
              <w:t> </w:t>
            </w:r>
          </w:p>
        </w:tc>
      </w:tr>
      <w:tr w:rsidTr="00D848EE" w:rsidR="00D848EE">
        <w:trPr>
          <w:trHeight w:val="280"/>
        </w:trPr>
        <w:tc>
          <w:tcPr>
            <w:tcW w:type="dxa" w:w="42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848EE" w:rsidR="00D848EE">
            <w:pPr>
              <w:rPr>
                <w:rFonts w:eastAsia="Times New Roman"/>
                <w:color w:val="000000"/>
                <w:sz w:val="21"/>
                <w:szCs w:val="21"/>
              </w:rPr>
            </w:pPr>
            <w:r>
              <w:rPr>
                <w:rFonts w:eastAsia="Times New Roman"/>
                <w:color w:val="000000"/>
                <w:sz w:val="21"/>
              </w:rPr>
              <w:t>Prioritetne tražbine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848EE" w:rsidR="00D848EE">
            <w:pPr>
              <w:jc w:val="right"/>
              <w:rPr>
                <w:rFonts w:eastAsia="Times New Roman"/>
                <w:color w:val="000000"/>
                <w:sz w:val="21"/>
                <w:szCs w:val="21"/>
              </w:rPr>
            </w:pPr>
            <w:r>
              <w:rPr>
                <w:rFonts w:eastAsia="Times New Roman"/>
                <w:color w:val="000000"/>
                <w:sz w:val="21"/>
                <w:szCs w:val="21"/>
              </w:rPr>
              <w:t>140.424,07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848EE" w:rsidR="00D848EE">
            <w:pPr>
              <w:jc w:val="center"/>
              <w:rPr>
                <w:rFonts w:eastAsia="Times New Roman"/>
                <w:color w:val="000000"/>
                <w:sz w:val="21"/>
                <w:szCs w:val="21"/>
              </w:rPr>
            </w:pPr>
            <w:r>
              <w:rPr>
                <w:rFonts w:eastAsia="Times New Roman"/>
                <w:color w:val="000000"/>
                <w:sz w:val="21"/>
              </w:rPr>
              <w:t>PRIORITETNO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848EE" w:rsidR="00D848EE">
            <w:pPr>
              <w:jc w:val="center"/>
              <w:rPr>
                <w:rFonts w:eastAsia="Times New Roman"/>
                <w:color w:val="000000"/>
                <w:sz w:val="21"/>
                <w:szCs w:val="21"/>
              </w:rPr>
            </w:pPr>
            <w:r>
              <w:rPr>
                <w:rFonts w:eastAsia="Times New Roman"/>
                <w:color w:val="000000"/>
                <w:sz w:val="21"/>
              </w:rPr>
              <w:t> </w:t>
            </w:r>
          </w:p>
        </w:tc>
      </w:tr>
      <w:tr w:rsidTr="00D848EE" w:rsidR="00D848EE">
        <w:trPr>
          <w:trHeight w:val="280"/>
        </w:trPr>
        <w:tc>
          <w:tcPr>
            <w:tcW w:type="dxa" w:w="42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D848EE" w:rsidR="00D848EE">
            <w:pPr>
              <w:jc w:val="center"/>
              <w:rPr>
                <w:rFonts w:eastAsia="Times New Roman"/>
                <w:color w:val="000000"/>
                <w:sz w:val="21"/>
                <w:szCs w:val="21"/>
              </w:rPr>
            </w:pPr>
            <w:r>
              <w:rPr>
                <w:rFonts w:eastAsia="Times New Roman"/>
                <w:color w:val="000000"/>
                <w:sz w:val="21"/>
              </w:rPr>
              <w:t>UKUPNO: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D848EE" w:rsidR="00D848EE">
            <w:pPr>
              <w:jc w:val="right"/>
              <w:rPr>
                <w:rFonts w:eastAsia="Times New Roman"/>
                <w:color w:val="000000"/>
                <w:sz w:val="21"/>
                <w:szCs w:val="21"/>
              </w:rPr>
            </w:pPr>
            <w:r>
              <w:rPr>
                <w:rFonts w:eastAsia="Times New Roman"/>
                <w:color w:val="000000"/>
                <w:sz w:val="21"/>
                <w:szCs w:val="21"/>
              </w:rPr>
              <w:t>2.113.335,90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D848EE" w:rsidR="00D848EE">
            <w:pPr>
              <w:rPr>
                <w:rFonts w:eastAsia="Times New Roman"/>
                <w:color w:val="000000"/>
                <w:sz w:val="21"/>
                <w:szCs w:val="21"/>
              </w:rPr>
            </w:pPr>
            <w:r>
              <w:rPr>
                <w:rFonts w:eastAsia="Times New Roman"/>
                <w:color w:val="000000"/>
                <w:sz w:val="21"/>
              </w:rPr>
              <w:t> 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D848EE" w:rsidR="00D848EE">
            <w:pPr>
              <w:rPr>
                <w:rFonts w:eastAsia="Times New Roman"/>
                <w:color w:val="000000"/>
                <w:sz w:val="21"/>
                <w:szCs w:val="21"/>
              </w:rPr>
            </w:pPr>
            <w:r>
              <w:rPr>
                <w:rFonts w:eastAsia="Times New Roman"/>
                <w:color w:val="000000"/>
                <w:sz w:val="21"/>
              </w:rPr>
              <w:t> </w:t>
            </w:r>
          </w:p>
        </w:tc>
      </w:tr>
      <w:tr w:rsidTr="00D848EE" w:rsidR="00D848EE">
        <w:trPr>
          <w:trHeight w:val="280"/>
        </w:trPr>
        <w:tc>
          <w:tcPr>
            <w:tcW w:type="dxa" w:w="42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D848EE" w:rsidR="00D848EE">
            <w:pPr>
              <w:rPr>
                <w:rFonts w:eastAsia="Times New Roman"/>
                <w:color w:val="000000"/>
                <w:sz w:val="21"/>
                <w:szCs w:val="21"/>
              </w:rPr>
            </w:pPr>
            <w:r>
              <w:rPr>
                <w:rFonts w:eastAsia="Times New Roman"/>
                <w:color w:val="000000"/>
                <w:sz w:val="21"/>
              </w:rPr>
              <w:t>SVEUKUPNO: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D848EE" w:rsidR="00D848EE">
            <w:pPr>
              <w:jc w:val="right"/>
              <w:rPr>
                <w:rFonts w:eastAsia="Times New Roman"/>
                <w:color w:val="000000"/>
                <w:sz w:val="21"/>
                <w:szCs w:val="21"/>
              </w:rPr>
            </w:pPr>
            <w:r>
              <w:rPr>
                <w:rFonts w:eastAsia="Times New Roman"/>
                <w:color w:val="000000"/>
                <w:sz w:val="21"/>
                <w:szCs w:val="21"/>
              </w:rPr>
              <w:t>10.123.820,62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D848EE" w:rsidR="00D848EE">
            <w:pPr>
              <w:rPr>
                <w:rFonts w:eastAsia="Times New Roman"/>
                <w:color w:val="000000"/>
                <w:sz w:val="21"/>
                <w:szCs w:val="21"/>
              </w:rPr>
            </w:pPr>
            <w:r>
              <w:rPr>
                <w:rFonts w:eastAsia="Times New Roman"/>
                <w:color w:val="000000"/>
                <w:sz w:val="21"/>
              </w:rPr>
              <w:t> 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D848EE" w:rsidR="00D848EE">
            <w:pPr>
              <w:rPr>
                <w:rFonts w:eastAsia="Times New Roman"/>
                <w:color w:val="000000"/>
                <w:sz w:val="21"/>
                <w:szCs w:val="21"/>
              </w:rPr>
            </w:pPr>
            <w:r>
              <w:rPr>
                <w:rFonts w:eastAsia="Times New Roman"/>
                <w:color w:val="000000"/>
                <w:sz w:val="21"/>
              </w:rPr>
              <w:t> </w:t>
            </w:r>
          </w:p>
        </w:tc>
      </w:tr>
    </w:tbl>
    <w:p w:rsidRDefault="007A0CF9" w:rsidP="007A0CF9" w:rsidR="007A0CF9" w:rsidRPr="00377D92">
      <w:pPr>
        <w:pStyle w:val="Tijeloteksta"/>
        <w:spacing w:lineRule="auto" w:line="360"/>
        <w:rPr>
          <w:rFonts w:hAnsi="Times New Roman" w:ascii="Times New Roman"/>
          <w:i/>
          <w:sz w:val="24"/>
          <w:szCs w:val="24"/>
          <w:lang w:val="hr-HR"/>
        </w:rPr>
      </w:pPr>
      <w:r w:rsidRPr="00377D92">
        <w:rPr>
          <w:rFonts w:hAnsi="Times New Roman" w:ascii="Times New Roman"/>
          <w:i/>
          <w:sz w:val="24"/>
          <w:szCs w:val="24"/>
          <w:lang w:val="hr-HR"/>
        </w:rPr>
        <w:t>Tablica 1: Financijsko restrukturiranje</w:t>
      </w:r>
    </w:p>
    <w:p w:rsidRDefault="00C6737C" w:rsidP="00C6737C" w:rsidR="00C6737C" w:rsidRPr="00377D92">
      <w:pPr>
        <w:pStyle w:val="Tijeloteksta"/>
        <w:spacing w:lineRule="auto" w:line="360"/>
        <w:rPr>
          <w:rFonts w:hAnsi="Times New Roman" w:ascii="Times New Roman"/>
          <w:color w:val="FF0000"/>
          <w:sz w:val="24"/>
          <w:szCs w:val="24"/>
          <w:lang w:val="hr-HR"/>
        </w:rPr>
      </w:pPr>
    </w:p>
    <w:p w:rsidRDefault="00C6737C" w:rsidP="00C6737C" w:rsidR="00C6737C" w:rsidRPr="00377D92">
      <w:pPr>
        <w:pStyle w:val="Tijeloteksta"/>
        <w:spacing w:lineRule="auto" w:line="360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377D92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Obveze </w:t>
      </w:r>
      <w:r w:rsidR="00377D92" w:rsidRPr="00377D92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obrta, sukladno utvrđenim tražbinama </w:t>
      </w:r>
      <w:r w:rsidRPr="00377D92">
        <w:rPr>
          <w:rFonts w:hAnsi="Times New Roman" w:ascii="Times New Roman"/>
          <w:color w:themeColor="text1" w:val="000000"/>
          <w:sz w:val="24"/>
          <w:szCs w:val="24"/>
          <w:lang w:val="hr-HR"/>
        </w:rPr>
        <w:t>po grupama vje</w:t>
      </w:r>
      <w:r w:rsidR="00CF7B30" w:rsidRPr="00377D92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rovnika prikazane su u nastavku. </w:t>
      </w:r>
    </w:p>
    <w:p w:rsidRDefault="00377D92" w:rsidP="00C6737C" w:rsidR="00377D92" w:rsidRPr="00377D92">
      <w:pPr>
        <w:pStyle w:val="Tijeloteksta"/>
        <w:spacing w:lineRule="auto" w:line="360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</w:p>
    <w:p w:rsidRDefault="00C6737C" w:rsidP="00486805" w:rsidR="00486805" w:rsidRPr="00377D92">
      <w:pPr>
        <w:pStyle w:val="MediumGrid21"/>
        <w:spacing w:lineRule="auto" w:line="360"/>
        <w:rPr>
          <w:rStyle w:val="Naslov1Char"/>
          <w:b w:val="false"/>
          <w:color w:val="auto"/>
        </w:rPr>
      </w:pPr>
      <w:r w:rsidRPr="00377D92">
        <w:t xml:space="preserve">U svrhu financijskog restrukturiranja društva potrebno je poduzeti </w:t>
      </w:r>
      <w:r w:rsidR="00486805" w:rsidRPr="00377D92">
        <w:t xml:space="preserve">određene mjere financijskog restrukturiranja, </w:t>
      </w:r>
      <w:r w:rsidR="00317460" w:rsidRPr="00377D92">
        <w:rPr>
          <w:rStyle w:val="Naslov1Char"/>
          <w:b w:val="false"/>
          <w:color w:val="auto"/>
        </w:rPr>
        <w:t xml:space="preserve">sukladno prijedlogu predstečajne nagodbe. Na taj način </w:t>
      </w:r>
      <w:r w:rsidR="001D5824" w:rsidRPr="00377D92">
        <w:rPr>
          <w:rStyle w:val="Naslov1Char"/>
          <w:b w:val="false"/>
          <w:color w:val="auto"/>
        </w:rPr>
        <w:t>obrt</w:t>
      </w:r>
      <w:r w:rsidR="003705FC" w:rsidRPr="00377D92">
        <w:rPr>
          <w:rStyle w:val="Naslov1Char"/>
          <w:b w:val="false"/>
          <w:color w:val="auto"/>
        </w:rPr>
        <w:t xml:space="preserve"> </w:t>
      </w:r>
      <w:r w:rsidR="00317460" w:rsidRPr="00377D92">
        <w:rPr>
          <w:rStyle w:val="Naslov1Char"/>
          <w:b w:val="false"/>
          <w:color w:val="auto"/>
        </w:rPr>
        <w:t xml:space="preserve">će stabilizirati poslovanje, te će joj se omogućiti provedba mjera operativng restrukturiranja s ciljem uspostave održivog modela poslovanja. </w:t>
      </w:r>
      <w:r w:rsidR="00486805" w:rsidRPr="00377D92">
        <w:rPr>
          <w:rStyle w:val="Naslov1Char"/>
          <w:b w:val="false"/>
          <w:color w:val="auto"/>
        </w:rPr>
        <w:t xml:space="preserve">Mjere financijskog restrukturiranja odnose se na otpis dijela obaveza i reprogram ostatka duga. </w:t>
      </w:r>
    </w:p>
    <w:p w:rsidRDefault="00317460" w:rsidP="00486805" w:rsidR="00317460" w:rsidRPr="00377D92">
      <w:pPr>
        <w:pStyle w:val="Tijeloteksta"/>
        <w:spacing w:lineRule="auto" w:line="360"/>
        <w:rPr>
          <w:rStyle w:val="Naslov1Char"/>
          <w:b w:val="false"/>
          <w:color w:val="auto"/>
          <w:lang w:val="hr-HR"/>
        </w:rPr>
      </w:pPr>
    </w:p>
    <w:p w:rsidRDefault="00486805" w:rsidP="00C6737C" w:rsidR="004515CB" w:rsidRPr="00377D92">
      <w:pPr>
        <w:pStyle w:val="Tijeloteksta"/>
        <w:spacing w:lineRule="auto" w:line="360"/>
        <w:rPr>
          <w:rFonts w:hAnsi="Times New Roman" w:ascii="Times New Roman"/>
          <w:b/>
          <w:sz w:val="24"/>
          <w:szCs w:val="24"/>
          <w:u w:val="single"/>
          <w:lang w:val="hr-HR"/>
        </w:rPr>
      </w:pPr>
      <w:r w:rsidRPr="00377D92">
        <w:rPr>
          <w:rFonts w:hAnsi="Times New Roman" w:ascii="Times New Roman"/>
          <w:b/>
          <w:sz w:val="24"/>
          <w:szCs w:val="24"/>
          <w:u w:val="single"/>
          <w:lang w:val="hr-HR"/>
        </w:rPr>
        <w:t xml:space="preserve">Prijedlog predstečajne nagodbe po grupama vjerovnika: </w:t>
      </w:r>
    </w:p>
    <w:p w:rsidRDefault="004515CB" w:rsidP="00C6737C" w:rsidR="004515CB" w:rsidRPr="00377D92">
      <w:pPr>
        <w:pStyle w:val="Tijeloteksta"/>
        <w:spacing w:lineRule="auto" w:line="360"/>
        <w:rPr>
          <w:rFonts w:hAnsi="Times New Roman" w:ascii="Times New Roman"/>
          <w:sz w:val="24"/>
          <w:szCs w:val="24"/>
          <w:lang w:val="hr-HR"/>
        </w:rPr>
      </w:pPr>
    </w:p>
    <w:p w:rsidRDefault="00C6737C" w:rsidP="006212FF" w:rsidR="008E45A2">
      <w:pPr>
        <w:pStyle w:val="Grafikeoznake2"/>
        <w:numPr>
          <w:ilvl w:val="0"/>
          <w:numId w:val="7"/>
        </w:numPr>
        <w:spacing w:lineRule="auto" w:line="360"/>
        <w:jc w:val="both"/>
      </w:pPr>
      <w:r w:rsidRPr="00377D92">
        <w:t xml:space="preserve">Dug prema grupi </w:t>
      </w:r>
      <w:r w:rsidR="00211618" w:rsidRPr="00377D92">
        <w:rPr>
          <w:b/>
        </w:rPr>
        <w:t>NEOSIGURANI</w:t>
      </w:r>
      <w:r w:rsidR="00211618" w:rsidRPr="00377D92">
        <w:t xml:space="preserve"> </w:t>
      </w:r>
      <w:r w:rsidR="001B3FAC" w:rsidRPr="00377D92">
        <w:rPr>
          <w:b/>
        </w:rPr>
        <w:t>VJEROVNICI</w:t>
      </w:r>
      <w:r w:rsidR="00377D92" w:rsidRPr="00377D92">
        <w:t xml:space="preserve">, sukladno utvrđenim tražbinama </w:t>
      </w:r>
      <w:r w:rsidRPr="00377D92">
        <w:t xml:space="preserve">iznosi </w:t>
      </w:r>
      <w:r w:rsidR="00575E97" w:rsidRPr="00377D92">
        <w:t xml:space="preserve"> </w:t>
      </w:r>
      <w:r w:rsidR="00377D92" w:rsidRPr="00377D92">
        <w:t>8.010.484,72</w:t>
      </w:r>
      <w:r w:rsidR="001359E2" w:rsidRPr="00377D92">
        <w:t xml:space="preserve"> </w:t>
      </w:r>
      <w:r w:rsidRPr="00377D92">
        <w:t xml:space="preserve">kn. Predlaže se </w:t>
      </w:r>
      <w:r w:rsidR="00C53A31" w:rsidRPr="00377D92">
        <w:t>otpis</w:t>
      </w:r>
      <w:r w:rsidRPr="00377D92">
        <w:t xml:space="preserve"> tražbina za </w:t>
      </w:r>
      <w:r w:rsidR="002F1D53" w:rsidRPr="00377D92">
        <w:t>5</w:t>
      </w:r>
      <w:r w:rsidRPr="00377D92">
        <w:t xml:space="preserve">0%. Preostalih </w:t>
      </w:r>
      <w:r w:rsidR="002F1D53" w:rsidRPr="00377D92">
        <w:t>5</w:t>
      </w:r>
      <w:r w:rsidRPr="00377D92">
        <w:t xml:space="preserve">0% tražbina otplatiti će se na 48 mjeseci uz dodatnih 12 mjeseci počeka, bez kamata, u jednakim mjesečnim anuitetima, počevši od </w:t>
      </w:r>
      <w:r w:rsidR="001B3FAC" w:rsidRPr="00377D92">
        <w:t>pravomoćnosti</w:t>
      </w:r>
      <w:r w:rsidRPr="00377D92">
        <w:t xml:space="preserve"> Rješenja Trgovačkog suda o sklopljenoj nagodbi, svakog 15-tog u mjesecu.</w:t>
      </w:r>
      <w:r w:rsidR="00377D92" w:rsidRPr="00377D92">
        <w:t xml:space="preserve"> </w:t>
      </w:r>
    </w:p>
    <w:p w:rsidRDefault="00012A88" w:rsidP="00012A88" w:rsidR="00012A88">
      <w:pPr>
        <w:pStyle w:val="Grafikeoznake2"/>
        <w:numPr>
          <w:ilvl w:val="0"/>
          <w:numId w:val="0"/>
        </w:numPr>
        <w:spacing w:lineRule="auto" w:line="360"/>
        <w:ind w:hanging="360" w:left="643"/>
        <w:jc w:val="both"/>
      </w:pPr>
    </w:p>
    <w:p w:rsidRDefault="00012A88" w:rsidP="00012A88" w:rsidR="00012A88" w:rsidRPr="00377D92">
      <w:pPr>
        <w:pStyle w:val="Grafikeoznake2"/>
        <w:numPr>
          <w:ilvl w:val="0"/>
          <w:numId w:val="0"/>
        </w:numPr>
        <w:spacing w:lineRule="auto" w:line="360"/>
        <w:ind w:hanging="360" w:left="643"/>
        <w:jc w:val="both"/>
      </w:pPr>
    </w:p>
    <w:tbl>
      <w:tblPr>
        <w:tblW w:type="dxa" w:w="9197"/>
        <w:tblInd w:type="dxa" w:w="113"/>
        <w:tblLook w:val="04A0" w:noVBand="1" w:noHBand="0" w:lastColumn="0" w:firstColumn="1" w:lastRow="0" w:firstRow="1"/>
      </w:tblPr>
      <w:tblGrid>
        <w:gridCol w:w="594"/>
        <w:gridCol w:w="1917"/>
        <w:gridCol w:w="1316"/>
        <w:gridCol w:w="1339"/>
        <w:gridCol w:w="1331"/>
        <w:gridCol w:w="1450"/>
        <w:gridCol w:w="1250"/>
      </w:tblGrid>
      <w:tr w:rsidTr="008E01ED" w:rsidR="00657297">
        <w:trPr>
          <w:trHeight w:val="1100"/>
        </w:trPr>
        <w:tc>
          <w:tcPr>
            <w:tcW w:type="dxa" w:w="5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center"/>
            <w:hideMark/>
          </w:tcPr>
          <w:p w:rsidRDefault="00657297" w:rsidR="00657297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lastRenderedPageBreak/>
              <w:t>R.B.</w:t>
            </w:r>
          </w:p>
        </w:tc>
        <w:tc>
          <w:tcPr>
            <w:tcW w:type="dxa" w:w="18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center"/>
            <w:hideMark/>
          </w:tcPr>
          <w:p w:rsidRDefault="00657297" w:rsidR="00657297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Ime i prezime / Naziv vjerovnika</w:t>
            </w:r>
          </w:p>
        </w:tc>
        <w:tc>
          <w:tcPr>
            <w:tcW w:type="dxa" w:w="13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center"/>
            <w:hideMark/>
          </w:tcPr>
          <w:p w:rsidRDefault="00657297" w:rsidR="00657297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OIB vjerovnika</w:t>
            </w:r>
          </w:p>
        </w:tc>
        <w:tc>
          <w:tcPr>
            <w:tcW w:type="dxa" w:w="132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UTVRĐENE TRAŽBINE</w:t>
            </w:r>
          </w:p>
        </w:tc>
        <w:tc>
          <w:tcPr>
            <w:tcW w:type="dxa" w:w="14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OTPIS</w:t>
            </w:r>
          </w:p>
        </w:tc>
        <w:tc>
          <w:tcPr>
            <w:tcW w:type="dxa" w:w="14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PREOSTALO ZA OTPLATU</w:t>
            </w:r>
          </w:p>
        </w:tc>
        <w:tc>
          <w:tcPr>
            <w:tcW w:type="dxa" w:w="12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MJESEČNI ANUITET</w:t>
            </w:r>
          </w:p>
        </w:tc>
      </w:tr>
      <w:tr w:rsidTr="008E01ED" w:rsidR="00657297">
        <w:trPr>
          <w:trHeight w:val="260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type="dxa" w:w="1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A&amp;E EUROPE d.o.o.</w:t>
            </w:r>
          </w:p>
        </w:tc>
        <w:tc>
          <w:tcPr>
            <w:tcW w:type="dxa" w:w="1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           </w:t>
            </w:r>
          </w:p>
        </w:tc>
        <w:tc>
          <w:tcPr>
            <w:tcW w:type="dxa" w:w="13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6.878,94</w:t>
            </w:r>
          </w:p>
        </w:tc>
        <w:tc>
          <w:tcPr>
            <w:tcW w:type="dxa" w:w="1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3.439,47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3.439,47</w:t>
            </w:r>
          </w:p>
        </w:tc>
        <w:tc>
          <w:tcPr>
            <w:tcW w:type="dxa" w:w="1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71,66</w:t>
            </w:r>
          </w:p>
        </w:tc>
      </w:tr>
      <w:tr w:rsidTr="008E01ED" w:rsidR="00657297">
        <w:trPr>
          <w:trHeight w:val="260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type="dxa" w:w="1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A&amp;E textil gmbh</w:t>
            </w:r>
          </w:p>
        </w:tc>
        <w:tc>
          <w:tcPr>
            <w:tcW w:type="dxa" w:w="1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           </w:t>
            </w:r>
          </w:p>
        </w:tc>
        <w:tc>
          <w:tcPr>
            <w:tcW w:type="dxa" w:w="13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7.207,23</w:t>
            </w:r>
          </w:p>
        </w:tc>
        <w:tc>
          <w:tcPr>
            <w:tcW w:type="dxa" w:w="1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3.603,62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3.603,62</w:t>
            </w:r>
          </w:p>
        </w:tc>
        <w:tc>
          <w:tcPr>
            <w:tcW w:type="dxa" w:w="1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75,08</w:t>
            </w:r>
          </w:p>
        </w:tc>
      </w:tr>
      <w:tr w:rsidTr="008E01ED" w:rsidR="00657297">
        <w:trPr>
          <w:trHeight w:val="520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type="dxa" w:w="1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A2B EXPRESS LOGISTIKA d.o.o. za prijevoz i otpremništvo</w:t>
            </w:r>
          </w:p>
        </w:tc>
        <w:tc>
          <w:tcPr>
            <w:tcW w:type="dxa" w:w="1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54655542852</w:t>
            </w:r>
          </w:p>
        </w:tc>
        <w:tc>
          <w:tcPr>
            <w:tcW w:type="dxa" w:w="13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768,85</w:t>
            </w:r>
          </w:p>
        </w:tc>
        <w:tc>
          <w:tcPr>
            <w:tcW w:type="dxa" w:w="1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384,43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384,43</w:t>
            </w:r>
          </w:p>
        </w:tc>
        <w:tc>
          <w:tcPr>
            <w:tcW w:type="dxa" w:w="1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8,01</w:t>
            </w:r>
          </w:p>
        </w:tc>
      </w:tr>
      <w:tr w:rsidTr="008E01ED" w:rsidR="00657297">
        <w:trPr>
          <w:trHeight w:val="260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type="dxa" w:w="1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Addiko Bank dioničko društvo</w:t>
            </w:r>
          </w:p>
        </w:tc>
        <w:tc>
          <w:tcPr>
            <w:tcW w:type="dxa" w:w="1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14036333877</w:t>
            </w:r>
          </w:p>
        </w:tc>
        <w:tc>
          <w:tcPr>
            <w:tcW w:type="dxa" w:w="13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1.382.731,58</w:t>
            </w:r>
          </w:p>
        </w:tc>
        <w:tc>
          <w:tcPr>
            <w:tcW w:type="dxa" w:w="1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691.365,79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691.365,79</w:t>
            </w:r>
          </w:p>
        </w:tc>
        <w:tc>
          <w:tcPr>
            <w:tcW w:type="dxa" w:w="1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14.403,45</w:t>
            </w:r>
          </w:p>
        </w:tc>
      </w:tr>
      <w:tr w:rsidTr="008E01ED" w:rsidR="00657297">
        <w:trPr>
          <w:trHeight w:val="520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type="dxa" w:w="1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ALFACOMMERCE d.o.o. za grafičke usluge i trgovinu</w:t>
            </w:r>
          </w:p>
        </w:tc>
        <w:tc>
          <w:tcPr>
            <w:tcW w:type="dxa" w:w="1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50060614918</w:t>
            </w:r>
          </w:p>
        </w:tc>
        <w:tc>
          <w:tcPr>
            <w:tcW w:type="dxa" w:w="13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4.931,87</w:t>
            </w:r>
          </w:p>
        </w:tc>
        <w:tc>
          <w:tcPr>
            <w:tcW w:type="dxa" w:w="1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2.465,94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2.465,94</w:t>
            </w:r>
          </w:p>
        </w:tc>
        <w:tc>
          <w:tcPr>
            <w:tcW w:type="dxa" w:w="1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51,37</w:t>
            </w:r>
          </w:p>
        </w:tc>
      </w:tr>
      <w:tr w:rsidTr="008E01ED" w:rsidR="00657297">
        <w:trPr>
          <w:trHeight w:val="780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</w:t>
            </w:r>
          </w:p>
        </w:tc>
        <w:tc>
          <w:tcPr>
            <w:tcW w:type="dxa" w:w="1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AUTO CENTAR VASILJ d.o.o. za trgovinu, održavanje i popravak motornih vozila</w:t>
            </w:r>
          </w:p>
        </w:tc>
        <w:tc>
          <w:tcPr>
            <w:tcW w:type="dxa" w:w="1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05345206421</w:t>
            </w:r>
          </w:p>
        </w:tc>
        <w:tc>
          <w:tcPr>
            <w:tcW w:type="dxa" w:w="13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5.415,89</w:t>
            </w:r>
          </w:p>
        </w:tc>
        <w:tc>
          <w:tcPr>
            <w:tcW w:type="dxa" w:w="1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2.707,95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2.707,95</w:t>
            </w:r>
          </w:p>
        </w:tc>
        <w:tc>
          <w:tcPr>
            <w:tcW w:type="dxa" w:w="1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56,42</w:t>
            </w:r>
          </w:p>
        </w:tc>
      </w:tr>
      <w:tr w:rsidTr="008E01ED" w:rsidR="00657297">
        <w:trPr>
          <w:trHeight w:val="520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</w:t>
            </w:r>
          </w:p>
        </w:tc>
        <w:tc>
          <w:tcPr>
            <w:tcW w:type="dxa" w:w="1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AUTO KANTOCI, trgovina i usluge, d.o.o.</w:t>
            </w:r>
          </w:p>
        </w:tc>
        <w:tc>
          <w:tcPr>
            <w:tcW w:type="dxa" w:w="1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61995520253</w:t>
            </w:r>
          </w:p>
        </w:tc>
        <w:tc>
          <w:tcPr>
            <w:tcW w:type="dxa" w:w="13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8.962,65</w:t>
            </w:r>
          </w:p>
        </w:tc>
        <w:tc>
          <w:tcPr>
            <w:tcW w:type="dxa" w:w="1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4.481,33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4.481,33</w:t>
            </w:r>
          </w:p>
        </w:tc>
        <w:tc>
          <w:tcPr>
            <w:tcW w:type="dxa" w:w="1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93,36</w:t>
            </w:r>
          </w:p>
        </w:tc>
      </w:tr>
      <w:tr w:rsidTr="008E01ED" w:rsidR="00657297">
        <w:trPr>
          <w:trHeight w:val="260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</w:t>
            </w:r>
          </w:p>
        </w:tc>
        <w:tc>
          <w:tcPr>
            <w:tcW w:type="dxa" w:w="1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BETI  PLETIVA d.o.o.</w:t>
            </w:r>
          </w:p>
        </w:tc>
        <w:tc>
          <w:tcPr>
            <w:tcW w:type="dxa" w:w="1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           </w:t>
            </w:r>
          </w:p>
        </w:tc>
        <w:tc>
          <w:tcPr>
            <w:tcW w:type="dxa" w:w="13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278.454,41</w:t>
            </w:r>
          </w:p>
        </w:tc>
        <w:tc>
          <w:tcPr>
            <w:tcW w:type="dxa" w:w="1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139.227,21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139.227,21</w:t>
            </w:r>
          </w:p>
        </w:tc>
        <w:tc>
          <w:tcPr>
            <w:tcW w:type="dxa" w:w="1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2.900,57</w:t>
            </w:r>
          </w:p>
        </w:tc>
      </w:tr>
      <w:tr w:rsidTr="008E01ED" w:rsidR="00657297">
        <w:trPr>
          <w:trHeight w:val="260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</w:t>
            </w:r>
          </w:p>
        </w:tc>
        <w:tc>
          <w:tcPr>
            <w:tcW w:type="dxa" w:w="1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CONVEL d.o.o.</w:t>
            </w:r>
          </w:p>
        </w:tc>
        <w:tc>
          <w:tcPr>
            <w:tcW w:type="dxa" w:w="1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58216381969</w:t>
            </w:r>
          </w:p>
        </w:tc>
        <w:tc>
          <w:tcPr>
            <w:tcW w:type="dxa" w:w="13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876,25</w:t>
            </w:r>
          </w:p>
        </w:tc>
        <w:tc>
          <w:tcPr>
            <w:tcW w:type="dxa" w:w="1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438,13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438,13</w:t>
            </w:r>
          </w:p>
        </w:tc>
        <w:tc>
          <w:tcPr>
            <w:tcW w:type="dxa" w:w="1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9,13</w:t>
            </w:r>
          </w:p>
        </w:tc>
      </w:tr>
      <w:tr w:rsidTr="008E01ED" w:rsidR="00657297">
        <w:trPr>
          <w:trHeight w:val="260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</w:t>
            </w:r>
          </w:p>
        </w:tc>
        <w:tc>
          <w:tcPr>
            <w:tcW w:type="dxa" w:w="1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EDEL WEISS MASCHENSTOFFE gmbh</w:t>
            </w:r>
          </w:p>
        </w:tc>
        <w:tc>
          <w:tcPr>
            <w:tcW w:type="dxa" w:w="1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           </w:t>
            </w:r>
          </w:p>
        </w:tc>
        <w:tc>
          <w:tcPr>
            <w:tcW w:type="dxa" w:w="13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223.373,45</w:t>
            </w:r>
          </w:p>
        </w:tc>
        <w:tc>
          <w:tcPr>
            <w:tcW w:type="dxa" w:w="1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111.686,73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111.686,73</w:t>
            </w:r>
          </w:p>
        </w:tc>
        <w:tc>
          <w:tcPr>
            <w:tcW w:type="dxa" w:w="1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2.326,81</w:t>
            </w:r>
          </w:p>
        </w:tc>
      </w:tr>
      <w:tr w:rsidTr="008E01ED" w:rsidR="00657297">
        <w:trPr>
          <w:trHeight w:val="260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</w:t>
            </w:r>
          </w:p>
        </w:tc>
        <w:tc>
          <w:tcPr>
            <w:tcW w:type="dxa" w:w="1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ETIKETA TISKARNA d.d.</w:t>
            </w:r>
          </w:p>
        </w:tc>
        <w:tc>
          <w:tcPr>
            <w:tcW w:type="dxa" w:w="1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           </w:t>
            </w:r>
          </w:p>
        </w:tc>
        <w:tc>
          <w:tcPr>
            <w:tcW w:type="dxa" w:w="13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8.600,75</w:t>
            </w:r>
          </w:p>
        </w:tc>
        <w:tc>
          <w:tcPr>
            <w:tcW w:type="dxa" w:w="1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4.300,38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4.300,38</w:t>
            </w:r>
          </w:p>
        </w:tc>
        <w:tc>
          <w:tcPr>
            <w:tcW w:type="dxa" w:w="1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89,59</w:t>
            </w:r>
          </w:p>
        </w:tc>
      </w:tr>
      <w:tr w:rsidTr="008E01ED" w:rsidR="00657297">
        <w:trPr>
          <w:trHeight w:val="260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</w:t>
            </w:r>
          </w:p>
        </w:tc>
        <w:tc>
          <w:tcPr>
            <w:tcW w:type="dxa" w:w="1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Financijska agencija</w:t>
            </w:r>
          </w:p>
        </w:tc>
        <w:tc>
          <w:tcPr>
            <w:tcW w:type="dxa" w:w="1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85821130368</w:t>
            </w:r>
          </w:p>
        </w:tc>
        <w:tc>
          <w:tcPr>
            <w:tcW w:type="dxa" w:w="13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100,00</w:t>
            </w:r>
          </w:p>
        </w:tc>
        <w:tc>
          <w:tcPr>
            <w:tcW w:type="dxa" w:w="1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50,00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50,00</w:t>
            </w:r>
          </w:p>
        </w:tc>
        <w:tc>
          <w:tcPr>
            <w:tcW w:type="dxa" w:w="1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1,04</w:t>
            </w:r>
          </w:p>
        </w:tc>
      </w:tr>
      <w:tr w:rsidTr="008E01ED" w:rsidR="00657297">
        <w:trPr>
          <w:trHeight w:val="260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</w:t>
            </w:r>
          </w:p>
        </w:tc>
        <w:tc>
          <w:tcPr>
            <w:tcW w:type="dxa" w:w="1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FRIVA VITAL d.o.o. za trgovinu i usluge</w:t>
            </w:r>
          </w:p>
        </w:tc>
        <w:tc>
          <w:tcPr>
            <w:tcW w:type="dxa" w:w="1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77628747666</w:t>
            </w:r>
          </w:p>
        </w:tc>
        <w:tc>
          <w:tcPr>
            <w:tcW w:type="dxa" w:w="13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15.631,94</w:t>
            </w:r>
          </w:p>
        </w:tc>
        <w:tc>
          <w:tcPr>
            <w:tcW w:type="dxa" w:w="1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7.815,97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7.815,97</w:t>
            </w:r>
          </w:p>
        </w:tc>
        <w:tc>
          <w:tcPr>
            <w:tcW w:type="dxa" w:w="1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162,83</w:t>
            </w:r>
          </w:p>
        </w:tc>
      </w:tr>
      <w:tr w:rsidTr="008E01ED" w:rsidR="00657297">
        <w:trPr>
          <w:trHeight w:val="260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</w:t>
            </w:r>
          </w:p>
        </w:tc>
        <w:tc>
          <w:tcPr>
            <w:tcW w:type="dxa" w:w="1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GALEB d.d.</w:t>
            </w:r>
          </w:p>
        </w:tc>
        <w:tc>
          <w:tcPr>
            <w:tcW w:type="dxa" w:w="1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74554924553</w:t>
            </w:r>
          </w:p>
        </w:tc>
        <w:tc>
          <w:tcPr>
            <w:tcW w:type="dxa" w:w="13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80.009,06</w:t>
            </w:r>
          </w:p>
        </w:tc>
        <w:tc>
          <w:tcPr>
            <w:tcW w:type="dxa" w:w="1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40.004,53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40.004,53</w:t>
            </w:r>
          </w:p>
        </w:tc>
        <w:tc>
          <w:tcPr>
            <w:tcW w:type="dxa" w:w="1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833,43</w:t>
            </w:r>
          </w:p>
        </w:tc>
      </w:tr>
      <w:tr w:rsidTr="008E01ED" w:rsidR="00657297">
        <w:trPr>
          <w:trHeight w:val="260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</w:t>
            </w:r>
          </w:p>
        </w:tc>
        <w:tc>
          <w:tcPr>
            <w:tcW w:type="dxa" w:w="1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GLASTEX Handelsellschaft m.b.bH</w:t>
            </w:r>
          </w:p>
        </w:tc>
        <w:tc>
          <w:tcPr>
            <w:tcW w:type="dxa" w:w="1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           </w:t>
            </w:r>
          </w:p>
        </w:tc>
        <w:tc>
          <w:tcPr>
            <w:tcW w:type="dxa" w:w="13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8.401,70</w:t>
            </w:r>
          </w:p>
        </w:tc>
        <w:tc>
          <w:tcPr>
            <w:tcW w:type="dxa" w:w="1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4.200,85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4.200,85</w:t>
            </w:r>
          </w:p>
        </w:tc>
        <w:tc>
          <w:tcPr>
            <w:tcW w:type="dxa" w:w="1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87,52</w:t>
            </w:r>
          </w:p>
        </w:tc>
      </w:tr>
      <w:tr w:rsidTr="008E01ED" w:rsidR="00657297">
        <w:trPr>
          <w:trHeight w:val="260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</w:t>
            </w:r>
          </w:p>
        </w:tc>
        <w:tc>
          <w:tcPr>
            <w:tcW w:type="dxa" w:w="1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GRAD SAMOBOR</w:t>
            </w:r>
          </w:p>
        </w:tc>
        <w:tc>
          <w:tcPr>
            <w:tcW w:type="dxa" w:w="1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33544271925</w:t>
            </w:r>
          </w:p>
        </w:tc>
        <w:tc>
          <w:tcPr>
            <w:tcW w:type="dxa" w:w="13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3.665,17</w:t>
            </w:r>
          </w:p>
        </w:tc>
        <w:tc>
          <w:tcPr>
            <w:tcW w:type="dxa" w:w="1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1.832,59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1.832,59</w:t>
            </w:r>
          </w:p>
        </w:tc>
        <w:tc>
          <w:tcPr>
            <w:tcW w:type="dxa" w:w="1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38,18</w:t>
            </w:r>
          </w:p>
        </w:tc>
      </w:tr>
      <w:tr w:rsidTr="008E01ED" w:rsidR="00657297">
        <w:trPr>
          <w:trHeight w:val="260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</w:t>
            </w:r>
          </w:p>
        </w:tc>
        <w:tc>
          <w:tcPr>
            <w:tcW w:type="dxa" w:w="1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GRAD ZAGREB</w:t>
            </w:r>
          </w:p>
        </w:tc>
        <w:tc>
          <w:tcPr>
            <w:tcW w:type="dxa" w:w="1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61817894937</w:t>
            </w:r>
          </w:p>
        </w:tc>
        <w:tc>
          <w:tcPr>
            <w:tcW w:type="dxa" w:w="13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447,18</w:t>
            </w:r>
          </w:p>
        </w:tc>
        <w:tc>
          <w:tcPr>
            <w:tcW w:type="dxa" w:w="1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223,59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223,59</w:t>
            </w:r>
          </w:p>
        </w:tc>
        <w:tc>
          <w:tcPr>
            <w:tcW w:type="dxa" w:w="1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4,66</w:t>
            </w:r>
          </w:p>
        </w:tc>
      </w:tr>
      <w:tr w:rsidTr="008E01ED" w:rsidR="00657297">
        <w:trPr>
          <w:trHeight w:val="520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</w:t>
            </w:r>
          </w:p>
        </w:tc>
        <w:tc>
          <w:tcPr>
            <w:tcW w:type="dxa" w:w="1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Gradsko komunalno poduzeće KOMUNALAC d.o.o.</w:t>
            </w:r>
          </w:p>
        </w:tc>
        <w:tc>
          <w:tcPr>
            <w:tcW w:type="dxa" w:w="1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41412434130</w:t>
            </w:r>
          </w:p>
        </w:tc>
        <w:tc>
          <w:tcPr>
            <w:tcW w:type="dxa" w:w="13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4.782,97</w:t>
            </w:r>
          </w:p>
        </w:tc>
        <w:tc>
          <w:tcPr>
            <w:tcW w:type="dxa" w:w="1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2.391,49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2.391,49</w:t>
            </w:r>
          </w:p>
        </w:tc>
        <w:tc>
          <w:tcPr>
            <w:tcW w:type="dxa" w:w="1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49,82</w:t>
            </w:r>
          </w:p>
        </w:tc>
      </w:tr>
      <w:tr w:rsidTr="008E01ED" w:rsidR="00657297">
        <w:trPr>
          <w:trHeight w:val="780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</w:t>
            </w:r>
          </w:p>
        </w:tc>
        <w:tc>
          <w:tcPr>
            <w:tcW w:type="dxa" w:w="1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GRAFOKOR društvo s ograničenom odgovornošću za grafičko-izdavačku djelatnost, unutarnju i vanjsku trgovinu</w:t>
            </w:r>
          </w:p>
        </w:tc>
        <w:tc>
          <w:tcPr>
            <w:tcW w:type="dxa" w:w="1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03774142644</w:t>
            </w:r>
          </w:p>
        </w:tc>
        <w:tc>
          <w:tcPr>
            <w:tcW w:type="dxa" w:w="13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51.019,32</w:t>
            </w:r>
          </w:p>
        </w:tc>
        <w:tc>
          <w:tcPr>
            <w:tcW w:type="dxa" w:w="1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25.509,66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25.509,66</w:t>
            </w:r>
          </w:p>
        </w:tc>
        <w:tc>
          <w:tcPr>
            <w:tcW w:type="dxa" w:w="1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531,45</w:t>
            </w:r>
          </w:p>
        </w:tc>
      </w:tr>
      <w:tr w:rsidTr="008E01ED" w:rsidR="00657297">
        <w:trPr>
          <w:trHeight w:val="1560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20</w:t>
            </w:r>
          </w:p>
        </w:tc>
        <w:tc>
          <w:tcPr>
            <w:tcW w:type="dxa" w:w="1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GS1 CROATIA - HRVATSKO UDRUŽENJE ZA AUTOMATSKU IDENTIFIKACIJU, ELEKTRONIČKU RAZMJENU PODATAKA I UPRAVLJANJE POSLOVNIM  PROCESIMA</w:t>
            </w:r>
          </w:p>
        </w:tc>
        <w:tc>
          <w:tcPr>
            <w:tcW w:type="dxa" w:w="1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03365973101</w:t>
            </w:r>
          </w:p>
        </w:tc>
        <w:tc>
          <w:tcPr>
            <w:tcW w:type="dxa" w:w="13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2.700,00</w:t>
            </w:r>
          </w:p>
        </w:tc>
        <w:tc>
          <w:tcPr>
            <w:tcW w:type="dxa" w:w="1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1.350,00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1.350,00</w:t>
            </w:r>
          </w:p>
        </w:tc>
        <w:tc>
          <w:tcPr>
            <w:tcW w:type="dxa" w:w="1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28,13</w:t>
            </w:r>
          </w:p>
        </w:tc>
      </w:tr>
      <w:tr w:rsidTr="008E01ED" w:rsidR="00657297">
        <w:trPr>
          <w:trHeight w:val="260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</w:t>
            </w:r>
          </w:p>
        </w:tc>
        <w:tc>
          <w:tcPr>
            <w:tcW w:type="dxa" w:w="1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HAKADESCH d.o.o.</w:t>
            </w:r>
          </w:p>
        </w:tc>
        <w:tc>
          <w:tcPr>
            <w:tcW w:type="dxa" w:w="1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17101881288</w:t>
            </w:r>
          </w:p>
        </w:tc>
        <w:tc>
          <w:tcPr>
            <w:tcW w:type="dxa" w:w="13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7.138,72</w:t>
            </w:r>
          </w:p>
        </w:tc>
        <w:tc>
          <w:tcPr>
            <w:tcW w:type="dxa" w:w="1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3.569,36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3.569,36</w:t>
            </w:r>
          </w:p>
        </w:tc>
        <w:tc>
          <w:tcPr>
            <w:tcW w:type="dxa" w:w="1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74,36</w:t>
            </w:r>
          </w:p>
        </w:tc>
      </w:tr>
      <w:tr w:rsidTr="008E01ED" w:rsidR="00657297">
        <w:trPr>
          <w:trHeight w:val="520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</w:t>
            </w:r>
          </w:p>
        </w:tc>
        <w:tc>
          <w:tcPr>
            <w:tcW w:type="dxa" w:w="1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HEP ELEKTRA d.o.o. za opskrbu električnom energijom</w:t>
            </w:r>
          </w:p>
        </w:tc>
        <w:tc>
          <w:tcPr>
            <w:tcW w:type="dxa" w:w="1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43965974818</w:t>
            </w:r>
          </w:p>
        </w:tc>
        <w:tc>
          <w:tcPr>
            <w:tcW w:type="dxa" w:w="13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819,70</w:t>
            </w:r>
          </w:p>
        </w:tc>
        <w:tc>
          <w:tcPr>
            <w:tcW w:type="dxa" w:w="1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409,85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409,85</w:t>
            </w:r>
          </w:p>
        </w:tc>
        <w:tc>
          <w:tcPr>
            <w:tcW w:type="dxa" w:w="1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8,54</w:t>
            </w:r>
          </w:p>
        </w:tc>
      </w:tr>
      <w:tr w:rsidTr="008E01ED" w:rsidR="00657297">
        <w:trPr>
          <w:trHeight w:val="780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</w:t>
            </w:r>
          </w:p>
        </w:tc>
        <w:tc>
          <w:tcPr>
            <w:tcW w:type="dxa" w:w="1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HEP-Operator distribucijskog sustava d.o.o. za distribuciju i opskrbu električne energije</w:t>
            </w:r>
          </w:p>
        </w:tc>
        <w:tc>
          <w:tcPr>
            <w:tcW w:type="dxa" w:w="1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46830600751</w:t>
            </w:r>
          </w:p>
        </w:tc>
        <w:tc>
          <w:tcPr>
            <w:tcW w:type="dxa" w:w="13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236,19</w:t>
            </w:r>
          </w:p>
        </w:tc>
        <w:tc>
          <w:tcPr>
            <w:tcW w:type="dxa" w:w="1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118,10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118,10</w:t>
            </w:r>
          </w:p>
        </w:tc>
        <w:tc>
          <w:tcPr>
            <w:tcW w:type="dxa" w:w="1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2,46</w:t>
            </w:r>
          </w:p>
        </w:tc>
      </w:tr>
      <w:tr w:rsidTr="008E01ED" w:rsidR="00657297">
        <w:trPr>
          <w:trHeight w:val="780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</w:t>
            </w:r>
          </w:p>
        </w:tc>
        <w:tc>
          <w:tcPr>
            <w:tcW w:type="dxa" w:w="1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HEP-Operator distribucijskog sustava d.o.o. za distribuciju i opskrbu električne energije - ELEKTRA KOPRIVNICA</w:t>
            </w:r>
          </w:p>
        </w:tc>
        <w:tc>
          <w:tcPr>
            <w:tcW w:type="dxa" w:w="1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46830600751</w:t>
            </w:r>
          </w:p>
        </w:tc>
        <w:tc>
          <w:tcPr>
            <w:tcW w:type="dxa" w:w="13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260,38</w:t>
            </w:r>
          </w:p>
        </w:tc>
        <w:tc>
          <w:tcPr>
            <w:tcW w:type="dxa" w:w="1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130,19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130,19</w:t>
            </w:r>
          </w:p>
        </w:tc>
        <w:tc>
          <w:tcPr>
            <w:tcW w:type="dxa" w:w="1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2,71</w:t>
            </w:r>
          </w:p>
        </w:tc>
      </w:tr>
      <w:tr w:rsidTr="008E01ED" w:rsidR="00657297">
        <w:trPr>
          <w:trHeight w:val="520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</w:t>
            </w:r>
          </w:p>
        </w:tc>
        <w:tc>
          <w:tcPr>
            <w:tcW w:type="dxa" w:w="1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HERC-ŠPED d.o.o. za međunarodno otpremništvo</w:t>
            </w:r>
          </w:p>
        </w:tc>
        <w:tc>
          <w:tcPr>
            <w:tcW w:type="dxa" w:w="1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70405603813</w:t>
            </w:r>
          </w:p>
        </w:tc>
        <w:tc>
          <w:tcPr>
            <w:tcW w:type="dxa" w:w="13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15.995,52</w:t>
            </w:r>
          </w:p>
        </w:tc>
        <w:tc>
          <w:tcPr>
            <w:tcW w:type="dxa" w:w="1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7.997,76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7.997,76</w:t>
            </w:r>
          </w:p>
        </w:tc>
        <w:tc>
          <w:tcPr>
            <w:tcW w:type="dxa" w:w="1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166,62</w:t>
            </w:r>
          </w:p>
        </w:tc>
      </w:tr>
      <w:tr w:rsidTr="008E01ED" w:rsidR="00657297">
        <w:trPr>
          <w:trHeight w:val="520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</w:t>
            </w:r>
          </w:p>
        </w:tc>
        <w:tc>
          <w:tcPr>
            <w:tcW w:type="dxa" w:w="1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HRVATSKA BANKA ZA OBNOVU I RAZVITAK</w:t>
            </w:r>
          </w:p>
        </w:tc>
        <w:tc>
          <w:tcPr>
            <w:tcW w:type="dxa" w:w="1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26702280390</w:t>
            </w:r>
          </w:p>
        </w:tc>
        <w:tc>
          <w:tcPr>
            <w:tcW w:type="dxa" w:w="13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25.567,09</w:t>
            </w:r>
          </w:p>
        </w:tc>
        <w:tc>
          <w:tcPr>
            <w:tcW w:type="dxa" w:w="1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12.783,55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12.783,55</w:t>
            </w:r>
          </w:p>
        </w:tc>
        <w:tc>
          <w:tcPr>
            <w:tcW w:type="dxa" w:w="1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266,32</w:t>
            </w:r>
          </w:p>
        </w:tc>
      </w:tr>
      <w:tr w:rsidTr="008E01ED" w:rsidR="00657297">
        <w:trPr>
          <w:trHeight w:val="260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</w:t>
            </w:r>
          </w:p>
        </w:tc>
        <w:tc>
          <w:tcPr>
            <w:tcW w:type="dxa" w:w="1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Hrvatska radiotelevizija</w:t>
            </w:r>
          </w:p>
        </w:tc>
        <w:tc>
          <w:tcPr>
            <w:tcW w:type="dxa" w:w="1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68419124305</w:t>
            </w:r>
          </w:p>
        </w:tc>
        <w:tc>
          <w:tcPr>
            <w:tcW w:type="dxa" w:w="13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405,52</w:t>
            </w:r>
          </w:p>
        </w:tc>
        <w:tc>
          <w:tcPr>
            <w:tcW w:type="dxa" w:w="1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202,76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202,76</w:t>
            </w:r>
          </w:p>
        </w:tc>
        <w:tc>
          <w:tcPr>
            <w:tcW w:type="dxa" w:w="1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4,22</w:t>
            </w:r>
          </w:p>
        </w:tc>
      </w:tr>
      <w:tr w:rsidTr="008E01ED" w:rsidR="00657297">
        <w:trPr>
          <w:trHeight w:val="520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</w:t>
            </w:r>
          </w:p>
        </w:tc>
        <w:tc>
          <w:tcPr>
            <w:tcW w:type="dxa" w:w="1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Hrvatske vode, pravna osoba za upravljanje vodama</w:t>
            </w:r>
          </w:p>
        </w:tc>
        <w:tc>
          <w:tcPr>
            <w:tcW w:type="dxa" w:w="1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28921383001</w:t>
            </w:r>
          </w:p>
        </w:tc>
        <w:tc>
          <w:tcPr>
            <w:tcW w:type="dxa" w:w="13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18.256,54</w:t>
            </w:r>
          </w:p>
        </w:tc>
        <w:tc>
          <w:tcPr>
            <w:tcW w:type="dxa" w:w="1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9.128,27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9.128,27</w:t>
            </w:r>
          </w:p>
        </w:tc>
        <w:tc>
          <w:tcPr>
            <w:tcW w:type="dxa" w:w="1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190,17</w:t>
            </w:r>
          </w:p>
        </w:tc>
      </w:tr>
      <w:tr w:rsidTr="008E01ED" w:rsidR="00657297">
        <w:trPr>
          <w:trHeight w:val="780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</w:t>
            </w:r>
          </w:p>
        </w:tc>
        <w:tc>
          <w:tcPr>
            <w:tcW w:type="dxa" w:w="1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Hrvatske vode, pravna osoba za upravljanje vodama - VGO za GORNJU SAVU</w:t>
            </w:r>
          </w:p>
        </w:tc>
        <w:tc>
          <w:tcPr>
            <w:tcW w:type="dxa" w:w="1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28921383001</w:t>
            </w:r>
          </w:p>
        </w:tc>
        <w:tc>
          <w:tcPr>
            <w:tcW w:type="dxa" w:w="13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128,40</w:t>
            </w:r>
          </w:p>
        </w:tc>
        <w:tc>
          <w:tcPr>
            <w:tcW w:type="dxa" w:w="1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64,20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64,20</w:t>
            </w:r>
          </w:p>
        </w:tc>
        <w:tc>
          <w:tcPr>
            <w:tcW w:type="dxa" w:w="1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1,34</w:t>
            </w:r>
          </w:p>
        </w:tc>
      </w:tr>
      <w:tr w:rsidTr="008E01ED" w:rsidR="00657297">
        <w:trPr>
          <w:trHeight w:val="520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</w:t>
            </w:r>
          </w:p>
        </w:tc>
        <w:tc>
          <w:tcPr>
            <w:tcW w:type="dxa" w:w="1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Hrvatski Telekom d.d.</w:t>
            </w:r>
          </w:p>
        </w:tc>
        <w:tc>
          <w:tcPr>
            <w:tcW w:type="dxa" w:w="1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81793146560</w:t>
            </w:r>
          </w:p>
        </w:tc>
        <w:tc>
          <w:tcPr>
            <w:tcW w:type="dxa" w:w="13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2.497,45</w:t>
            </w:r>
          </w:p>
        </w:tc>
        <w:tc>
          <w:tcPr>
            <w:tcW w:type="dxa" w:w="1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1.248,73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1.248,73</w:t>
            </w:r>
          </w:p>
        </w:tc>
        <w:tc>
          <w:tcPr>
            <w:tcW w:type="dxa" w:w="1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26,02</w:t>
            </w:r>
          </w:p>
        </w:tc>
      </w:tr>
      <w:tr w:rsidTr="008E01ED" w:rsidR="00657297">
        <w:trPr>
          <w:trHeight w:val="260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</w:t>
            </w:r>
          </w:p>
        </w:tc>
        <w:tc>
          <w:tcPr>
            <w:tcW w:type="dxa" w:w="1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INTEREUROPA, logističke usluge d.o.o.</w:t>
            </w:r>
          </w:p>
        </w:tc>
        <w:tc>
          <w:tcPr>
            <w:tcW w:type="dxa" w:w="1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85514716931</w:t>
            </w:r>
          </w:p>
        </w:tc>
        <w:tc>
          <w:tcPr>
            <w:tcW w:type="dxa" w:w="13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700,00</w:t>
            </w:r>
          </w:p>
        </w:tc>
        <w:tc>
          <w:tcPr>
            <w:tcW w:type="dxa" w:w="1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350,00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350,00</w:t>
            </w:r>
          </w:p>
        </w:tc>
        <w:tc>
          <w:tcPr>
            <w:tcW w:type="dxa" w:w="1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7,29</w:t>
            </w:r>
          </w:p>
        </w:tc>
      </w:tr>
      <w:tr w:rsidTr="008E01ED" w:rsidR="00657297">
        <w:trPr>
          <w:trHeight w:val="260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</w:t>
            </w:r>
          </w:p>
        </w:tc>
        <w:tc>
          <w:tcPr>
            <w:tcW w:type="dxa" w:w="1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JADRANKA VOJNOVIĆ  </w:t>
            </w:r>
          </w:p>
        </w:tc>
        <w:tc>
          <w:tcPr>
            <w:tcW w:type="dxa" w:w="1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           </w:t>
            </w:r>
          </w:p>
        </w:tc>
        <w:tc>
          <w:tcPr>
            <w:tcW w:type="dxa" w:w="13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1.332.673,61</w:t>
            </w:r>
          </w:p>
        </w:tc>
        <w:tc>
          <w:tcPr>
            <w:tcW w:type="dxa" w:w="1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666.336,81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666.336,81</w:t>
            </w:r>
          </w:p>
        </w:tc>
        <w:tc>
          <w:tcPr>
            <w:tcW w:type="dxa" w:w="1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13.882,02</w:t>
            </w:r>
          </w:p>
        </w:tc>
      </w:tr>
      <w:tr w:rsidTr="008E01ED" w:rsidR="00657297">
        <w:trPr>
          <w:trHeight w:val="780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33</w:t>
            </w:r>
          </w:p>
        </w:tc>
        <w:tc>
          <w:tcPr>
            <w:tcW w:type="dxa" w:w="1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JURA-TEKSTIL društvo s ograničenom odgovornošću za unutarnju i vanjsku </w:t>
            </w:r>
            <w:r>
              <w:rPr>
                <w:rFonts w:eastAsia="Times New Roman"/>
                <w:sz w:val="20"/>
                <w:szCs w:val="20"/>
              </w:rPr>
              <w:lastRenderedPageBreak/>
              <w:t>trgovinu, ugostiteljstvo i usluge</w:t>
            </w:r>
          </w:p>
        </w:tc>
        <w:tc>
          <w:tcPr>
            <w:tcW w:type="dxa" w:w="1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47234790498</w:t>
            </w:r>
          </w:p>
        </w:tc>
        <w:tc>
          <w:tcPr>
            <w:tcW w:type="dxa" w:w="13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1.360.050,19</w:t>
            </w:r>
          </w:p>
        </w:tc>
        <w:tc>
          <w:tcPr>
            <w:tcW w:type="dxa" w:w="1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680.025,10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680.025,10</w:t>
            </w:r>
          </w:p>
        </w:tc>
        <w:tc>
          <w:tcPr>
            <w:tcW w:type="dxa" w:w="1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14.167,19</w:t>
            </w:r>
          </w:p>
        </w:tc>
      </w:tr>
      <w:tr w:rsidTr="008E01ED" w:rsidR="00657297">
        <w:trPr>
          <w:trHeight w:val="260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34</w:t>
            </w:r>
          </w:p>
        </w:tc>
        <w:tc>
          <w:tcPr>
            <w:tcW w:type="dxa" w:w="1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KIMATEKS d.o.o.</w:t>
            </w:r>
          </w:p>
        </w:tc>
        <w:tc>
          <w:tcPr>
            <w:tcW w:type="dxa" w:w="1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99459456097</w:t>
            </w:r>
          </w:p>
        </w:tc>
        <w:tc>
          <w:tcPr>
            <w:tcW w:type="dxa" w:w="13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2.785,70</w:t>
            </w:r>
          </w:p>
        </w:tc>
        <w:tc>
          <w:tcPr>
            <w:tcW w:type="dxa" w:w="1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1.392,85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1.392,85</w:t>
            </w:r>
          </w:p>
        </w:tc>
        <w:tc>
          <w:tcPr>
            <w:tcW w:type="dxa" w:w="1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29,02</w:t>
            </w:r>
          </w:p>
        </w:tc>
      </w:tr>
      <w:tr w:rsidTr="008E01ED" w:rsidR="00657297">
        <w:trPr>
          <w:trHeight w:val="520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</w:t>
            </w:r>
          </w:p>
        </w:tc>
        <w:tc>
          <w:tcPr>
            <w:tcW w:type="dxa" w:w="1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KOMUNALAC d.o.o.</w:t>
            </w:r>
          </w:p>
        </w:tc>
        <w:tc>
          <w:tcPr>
            <w:tcW w:type="dxa" w:w="1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17055681355</w:t>
            </w:r>
          </w:p>
        </w:tc>
        <w:tc>
          <w:tcPr>
            <w:tcW w:type="dxa" w:w="13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15.282,76</w:t>
            </w:r>
          </w:p>
        </w:tc>
        <w:tc>
          <w:tcPr>
            <w:tcW w:type="dxa" w:w="1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7.641,38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7.641,38</w:t>
            </w:r>
          </w:p>
        </w:tc>
        <w:tc>
          <w:tcPr>
            <w:tcW w:type="dxa" w:w="1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159,20</w:t>
            </w:r>
          </w:p>
        </w:tc>
      </w:tr>
      <w:tr w:rsidTr="008E01ED" w:rsidR="00657297">
        <w:trPr>
          <w:trHeight w:val="260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36</w:t>
            </w:r>
          </w:p>
        </w:tc>
        <w:tc>
          <w:tcPr>
            <w:tcW w:type="dxa" w:w="1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KONZUM trgovina na veliko i malo d.d.</w:t>
            </w:r>
          </w:p>
        </w:tc>
        <w:tc>
          <w:tcPr>
            <w:tcW w:type="dxa" w:w="1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29955634590</w:t>
            </w:r>
          </w:p>
        </w:tc>
        <w:tc>
          <w:tcPr>
            <w:tcW w:type="dxa" w:w="13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165.963,08</w:t>
            </w:r>
          </w:p>
        </w:tc>
        <w:tc>
          <w:tcPr>
            <w:tcW w:type="dxa" w:w="1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82.981,54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82.981,54</w:t>
            </w:r>
          </w:p>
        </w:tc>
        <w:tc>
          <w:tcPr>
            <w:tcW w:type="dxa" w:w="1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1.728,78</w:t>
            </w:r>
          </w:p>
        </w:tc>
      </w:tr>
      <w:tr w:rsidTr="008E01ED" w:rsidR="00657297">
        <w:trPr>
          <w:trHeight w:val="780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37</w:t>
            </w:r>
          </w:p>
        </w:tc>
        <w:tc>
          <w:tcPr>
            <w:tcW w:type="dxa" w:w="1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KSENIJA, Obrt za proizvodnju i prodaju tekstilnih proizvoda vl. OGNJEN BOŠNJAK</w:t>
            </w:r>
          </w:p>
        </w:tc>
        <w:tc>
          <w:tcPr>
            <w:tcW w:type="dxa" w:w="1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91253708777</w:t>
            </w:r>
          </w:p>
        </w:tc>
        <w:tc>
          <w:tcPr>
            <w:tcW w:type="dxa" w:w="13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6.829,24</w:t>
            </w:r>
          </w:p>
        </w:tc>
        <w:tc>
          <w:tcPr>
            <w:tcW w:type="dxa" w:w="1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3.414,62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3.414,62</w:t>
            </w:r>
          </w:p>
        </w:tc>
        <w:tc>
          <w:tcPr>
            <w:tcW w:type="dxa" w:w="1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71,14</w:t>
            </w:r>
          </w:p>
        </w:tc>
      </w:tr>
      <w:tr w:rsidTr="008E01ED" w:rsidR="00657297">
        <w:trPr>
          <w:trHeight w:val="260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38</w:t>
            </w:r>
          </w:p>
        </w:tc>
        <w:tc>
          <w:tcPr>
            <w:tcW w:type="dxa" w:w="1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KUM TRADE ENGINEERING d.o.o.</w:t>
            </w:r>
          </w:p>
        </w:tc>
        <w:tc>
          <w:tcPr>
            <w:tcW w:type="dxa" w:w="1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15856331916</w:t>
            </w:r>
          </w:p>
        </w:tc>
        <w:tc>
          <w:tcPr>
            <w:tcW w:type="dxa" w:w="13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2.719,11</w:t>
            </w:r>
          </w:p>
        </w:tc>
        <w:tc>
          <w:tcPr>
            <w:tcW w:type="dxa" w:w="1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1.359,56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1.359,56</w:t>
            </w:r>
          </w:p>
        </w:tc>
        <w:tc>
          <w:tcPr>
            <w:tcW w:type="dxa" w:w="1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28,32</w:t>
            </w:r>
          </w:p>
        </w:tc>
      </w:tr>
      <w:tr w:rsidTr="008E01ED" w:rsidR="00657297">
        <w:trPr>
          <w:trHeight w:val="260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39</w:t>
            </w:r>
          </w:p>
        </w:tc>
        <w:tc>
          <w:tcPr>
            <w:tcW w:type="dxa" w:w="1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LAUS INTERNATIONAL d.o.o.</w:t>
            </w:r>
          </w:p>
        </w:tc>
        <w:tc>
          <w:tcPr>
            <w:tcW w:type="dxa" w:w="1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93039509752</w:t>
            </w:r>
          </w:p>
        </w:tc>
        <w:tc>
          <w:tcPr>
            <w:tcW w:type="dxa" w:w="13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1.370,33</w:t>
            </w:r>
          </w:p>
        </w:tc>
        <w:tc>
          <w:tcPr>
            <w:tcW w:type="dxa" w:w="1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685,17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685,17</w:t>
            </w:r>
          </w:p>
        </w:tc>
        <w:tc>
          <w:tcPr>
            <w:tcW w:type="dxa" w:w="1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14,27</w:t>
            </w:r>
          </w:p>
        </w:tc>
      </w:tr>
      <w:tr w:rsidTr="008E01ED" w:rsidR="00657297">
        <w:trPr>
          <w:trHeight w:val="260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40</w:t>
            </w:r>
          </w:p>
        </w:tc>
        <w:tc>
          <w:tcPr>
            <w:tcW w:type="dxa" w:w="1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MAISA ETIKETE d.o.o.</w:t>
            </w:r>
          </w:p>
        </w:tc>
        <w:tc>
          <w:tcPr>
            <w:tcW w:type="dxa" w:w="1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22684209153</w:t>
            </w:r>
          </w:p>
        </w:tc>
        <w:tc>
          <w:tcPr>
            <w:tcW w:type="dxa" w:w="13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5.017,78</w:t>
            </w:r>
          </w:p>
        </w:tc>
        <w:tc>
          <w:tcPr>
            <w:tcW w:type="dxa" w:w="1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2.508,89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2.508,89</w:t>
            </w:r>
          </w:p>
        </w:tc>
        <w:tc>
          <w:tcPr>
            <w:tcW w:type="dxa" w:w="1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52,27</w:t>
            </w:r>
          </w:p>
        </w:tc>
      </w:tr>
      <w:tr w:rsidTr="008E01ED" w:rsidR="00657297">
        <w:trPr>
          <w:trHeight w:val="260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41</w:t>
            </w:r>
          </w:p>
        </w:tc>
        <w:tc>
          <w:tcPr>
            <w:tcW w:type="dxa" w:w="1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MAKO MM d.o.o.</w:t>
            </w:r>
          </w:p>
        </w:tc>
        <w:tc>
          <w:tcPr>
            <w:tcW w:type="dxa" w:w="1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           </w:t>
            </w:r>
          </w:p>
        </w:tc>
        <w:tc>
          <w:tcPr>
            <w:tcW w:type="dxa" w:w="13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282.424,31</w:t>
            </w:r>
          </w:p>
        </w:tc>
        <w:tc>
          <w:tcPr>
            <w:tcW w:type="dxa" w:w="1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141.212,16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141.212,16</w:t>
            </w:r>
          </w:p>
        </w:tc>
        <w:tc>
          <w:tcPr>
            <w:tcW w:type="dxa" w:w="1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2.941,92</w:t>
            </w:r>
          </w:p>
        </w:tc>
      </w:tr>
      <w:tr w:rsidTr="008E01ED" w:rsidR="00657297">
        <w:trPr>
          <w:trHeight w:val="260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42</w:t>
            </w:r>
          </w:p>
        </w:tc>
        <w:tc>
          <w:tcPr>
            <w:tcW w:type="dxa" w:w="1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MaRCo d.o.o.</w:t>
            </w:r>
          </w:p>
        </w:tc>
        <w:tc>
          <w:tcPr>
            <w:tcW w:type="dxa" w:w="1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89740937554</w:t>
            </w:r>
          </w:p>
        </w:tc>
        <w:tc>
          <w:tcPr>
            <w:tcW w:type="dxa" w:w="13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248,13</w:t>
            </w:r>
          </w:p>
        </w:tc>
        <w:tc>
          <w:tcPr>
            <w:tcW w:type="dxa" w:w="1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124,07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124,07</w:t>
            </w:r>
          </w:p>
        </w:tc>
        <w:tc>
          <w:tcPr>
            <w:tcW w:type="dxa" w:w="1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2,58</w:t>
            </w:r>
          </w:p>
        </w:tc>
      </w:tr>
      <w:tr w:rsidTr="008E01ED" w:rsidR="00657297">
        <w:trPr>
          <w:trHeight w:val="260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43</w:t>
            </w:r>
          </w:p>
        </w:tc>
        <w:tc>
          <w:tcPr>
            <w:tcW w:type="dxa" w:w="1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MICHELE LETIZIA s.p.a.</w:t>
            </w:r>
          </w:p>
        </w:tc>
        <w:tc>
          <w:tcPr>
            <w:tcW w:type="dxa" w:w="1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           </w:t>
            </w:r>
          </w:p>
        </w:tc>
        <w:tc>
          <w:tcPr>
            <w:tcW w:type="dxa" w:w="13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20.418,83</w:t>
            </w:r>
          </w:p>
        </w:tc>
        <w:tc>
          <w:tcPr>
            <w:tcW w:type="dxa" w:w="1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10.209,42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10.209,42</w:t>
            </w:r>
          </w:p>
        </w:tc>
        <w:tc>
          <w:tcPr>
            <w:tcW w:type="dxa" w:w="1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212,70</w:t>
            </w:r>
          </w:p>
        </w:tc>
      </w:tr>
      <w:tr w:rsidTr="008E01ED" w:rsidR="00657297">
        <w:trPr>
          <w:trHeight w:val="260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44</w:t>
            </w:r>
          </w:p>
        </w:tc>
        <w:tc>
          <w:tcPr>
            <w:tcW w:type="dxa" w:w="1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MINISTARSTVO POLJOPRIVREDE</w:t>
            </w:r>
          </w:p>
        </w:tc>
        <w:tc>
          <w:tcPr>
            <w:tcW w:type="dxa" w:w="1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76767369197</w:t>
            </w:r>
          </w:p>
        </w:tc>
        <w:tc>
          <w:tcPr>
            <w:tcW w:type="dxa" w:w="13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5.930,84</w:t>
            </w:r>
          </w:p>
        </w:tc>
        <w:tc>
          <w:tcPr>
            <w:tcW w:type="dxa" w:w="1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2.965,42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2.965,42</w:t>
            </w:r>
          </w:p>
        </w:tc>
        <w:tc>
          <w:tcPr>
            <w:tcW w:type="dxa" w:w="1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61,78</w:t>
            </w:r>
          </w:p>
        </w:tc>
      </w:tr>
      <w:tr w:rsidTr="008E01ED" w:rsidR="00657297">
        <w:trPr>
          <w:trHeight w:val="260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45</w:t>
            </w:r>
          </w:p>
        </w:tc>
        <w:tc>
          <w:tcPr>
            <w:tcW w:type="dxa" w:w="1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MIRKO VOJNOVIĆ  </w:t>
            </w:r>
          </w:p>
        </w:tc>
        <w:tc>
          <w:tcPr>
            <w:tcW w:type="dxa" w:w="1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           </w:t>
            </w:r>
          </w:p>
        </w:tc>
        <w:tc>
          <w:tcPr>
            <w:tcW w:type="dxa" w:w="13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2.209.945,42</w:t>
            </w:r>
          </w:p>
        </w:tc>
        <w:tc>
          <w:tcPr>
            <w:tcW w:type="dxa" w:w="1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1.104.972,71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1.104.972,71</w:t>
            </w:r>
          </w:p>
        </w:tc>
        <w:tc>
          <w:tcPr>
            <w:tcW w:type="dxa" w:w="1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23.020,26</w:t>
            </w:r>
          </w:p>
        </w:tc>
      </w:tr>
      <w:tr w:rsidTr="008E01ED" w:rsidR="00657297">
        <w:trPr>
          <w:trHeight w:val="260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</w:t>
            </w:r>
          </w:p>
        </w:tc>
        <w:tc>
          <w:tcPr>
            <w:tcW w:type="dxa" w:w="1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Odvjetnik DUBRAVKA BOLT</w:t>
            </w:r>
          </w:p>
        </w:tc>
        <w:tc>
          <w:tcPr>
            <w:tcW w:type="dxa" w:w="1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42538269606</w:t>
            </w:r>
          </w:p>
        </w:tc>
        <w:tc>
          <w:tcPr>
            <w:tcW w:type="dxa" w:w="13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4.500,00</w:t>
            </w:r>
          </w:p>
        </w:tc>
        <w:tc>
          <w:tcPr>
            <w:tcW w:type="dxa" w:w="1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2.250,00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2.250,00</w:t>
            </w:r>
          </w:p>
        </w:tc>
        <w:tc>
          <w:tcPr>
            <w:tcW w:type="dxa" w:w="1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46,88</w:t>
            </w:r>
          </w:p>
        </w:tc>
      </w:tr>
      <w:tr w:rsidTr="008E01ED" w:rsidR="00657297">
        <w:trPr>
          <w:trHeight w:val="260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47</w:t>
            </w:r>
          </w:p>
        </w:tc>
        <w:tc>
          <w:tcPr>
            <w:tcW w:type="dxa" w:w="1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OPĆINA GOLA</w:t>
            </w:r>
          </w:p>
        </w:tc>
        <w:tc>
          <w:tcPr>
            <w:tcW w:type="dxa" w:w="1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13082265751</w:t>
            </w:r>
          </w:p>
        </w:tc>
        <w:tc>
          <w:tcPr>
            <w:tcW w:type="dxa" w:w="13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9.000,00</w:t>
            </w:r>
          </w:p>
        </w:tc>
        <w:tc>
          <w:tcPr>
            <w:tcW w:type="dxa" w:w="1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4.500,00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4.500,00</w:t>
            </w:r>
          </w:p>
        </w:tc>
        <w:tc>
          <w:tcPr>
            <w:tcW w:type="dxa" w:w="1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93,75</w:t>
            </w:r>
          </w:p>
        </w:tc>
      </w:tr>
      <w:tr w:rsidTr="008E01ED" w:rsidR="00657297">
        <w:trPr>
          <w:trHeight w:val="520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</w:t>
            </w:r>
          </w:p>
        </w:tc>
        <w:tc>
          <w:tcPr>
            <w:tcW w:type="dxa" w:w="1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P.P.V. TEAM , Obrt za prijevoz, trgovinu i usluge vl. ZDENKA POTOČKI</w:t>
            </w:r>
          </w:p>
        </w:tc>
        <w:tc>
          <w:tcPr>
            <w:tcW w:type="dxa" w:w="1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14077801734</w:t>
            </w:r>
          </w:p>
        </w:tc>
        <w:tc>
          <w:tcPr>
            <w:tcW w:type="dxa" w:w="13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36.276,71</w:t>
            </w:r>
          </w:p>
        </w:tc>
        <w:tc>
          <w:tcPr>
            <w:tcW w:type="dxa" w:w="1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18.138,36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18.138,36</w:t>
            </w:r>
          </w:p>
        </w:tc>
        <w:tc>
          <w:tcPr>
            <w:tcW w:type="dxa" w:w="1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377,88</w:t>
            </w:r>
          </w:p>
        </w:tc>
      </w:tr>
      <w:tr w:rsidTr="008E01ED" w:rsidR="00657297">
        <w:trPr>
          <w:trHeight w:val="520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</w:t>
            </w:r>
          </w:p>
        </w:tc>
        <w:tc>
          <w:tcPr>
            <w:tcW w:type="dxa" w:w="1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PLASTAM, Obrt za izradu plastične ambalaže vl.  BOJAN TOKIĆ</w:t>
            </w:r>
          </w:p>
        </w:tc>
        <w:tc>
          <w:tcPr>
            <w:tcW w:type="dxa" w:w="1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16955263773</w:t>
            </w:r>
          </w:p>
        </w:tc>
        <w:tc>
          <w:tcPr>
            <w:tcW w:type="dxa" w:w="13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3.590,00</w:t>
            </w:r>
          </w:p>
        </w:tc>
        <w:tc>
          <w:tcPr>
            <w:tcW w:type="dxa" w:w="1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1.795,00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1.795,00</w:t>
            </w:r>
          </w:p>
        </w:tc>
        <w:tc>
          <w:tcPr>
            <w:tcW w:type="dxa" w:w="1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37,40</w:t>
            </w:r>
          </w:p>
        </w:tc>
      </w:tr>
      <w:tr w:rsidTr="008E01ED" w:rsidR="00657297">
        <w:trPr>
          <w:trHeight w:val="1040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</w:t>
            </w:r>
          </w:p>
        </w:tc>
        <w:tc>
          <w:tcPr>
            <w:tcW w:type="dxa" w:w="1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PREDIONICA KLANJEC društvo s ograničenom odgovornošću za proizvodnju tekstila, poslovanje nekretninama, trgovinu i usluge</w:t>
            </w:r>
          </w:p>
        </w:tc>
        <w:tc>
          <w:tcPr>
            <w:tcW w:type="dxa" w:w="1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64655340358</w:t>
            </w:r>
          </w:p>
        </w:tc>
        <w:tc>
          <w:tcPr>
            <w:tcW w:type="dxa" w:w="13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39.820,92</w:t>
            </w:r>
          </w:p>
        </w:tc>
        <w:tc>
          <w:tcPr>
            <w:tcW w:type="dxa" w:w="1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19.910,46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19.910,46</w:t>
            </w:r>
          </w:p>
        </w:tc>
        <w:tc>
          <w:tcPr>
            <w:tcW w:type="dxa" w:w="1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414,80</w:t>
            </w:r>
          </w:p>
        </w:tc>
      </w:tr>
      <w:tr w:rsidTr="008E01ED" w:rsidR="00657297">
        <w:trPr>
          <w:trHeight w:val="260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51</w:t>
            </w:r>
          </w:p>
        </w:tc>
        <w:tc>
          <w:tcPr>
            <w:tcW w:type="dxa" w:w="1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PRO NATURA d.o.o.</w:t>
            </w:r>
          </w:p>
        </w:tc>
        <w:tc>
          <w:tcPr>
            <w:tcW w:type="dxa" w:w="1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87603735332</w:t>
            </w:r>
          </w:p>
        </w:tc>
        <w:tc>
          <w:tcPr>
            <w:tcW w:type="dxa" w:w="13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2.317,79</w:t>
            </w:r>
          </w:p>
        </w:tc>
        <w:tc>
          <w:tcPr>
            <w:tcW w:type="dxa" w:w="1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1.158,90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1.158,90</w:t>
            </w:r>
          </w:p>
        </w:tc>
        <w:tc>
          <w:tcPr>
            <w:tcW w:type="dxa" w:w="1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24,14</w:t>
            </w:r>
          </w:p>
        </w:tc>
      </w:tr>
      <w:tr w:rsidTr="008E01ED" w:rsidR="00657297">
        <w:trPr>
          <w:trHeight w:val="260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</w:t>
            </w:r>
          </w:p>
        </w:tc>
        <w:tc>
          <w:tcPr>
            <w:tcW w:type="dxa" w:w="1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PROADEO d.o.o. za usluge i trgovinu</w:t>
            </w:r>
          </w:p>
        </w:tc>
        <w:tc>
          <w:tcPr>
            <w:tcW w:type="dxa" w:w="1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54734307869</w:t>
            </w:r>
          </w:p>
        </w:tc>
        <w:tc>
          <w:tcPr>
            <w:tcW w:type="dxa" w:w="13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5.000,00</w:t>
            </w:r>
          </w:p>
        </w:tc>
        <w:tc>
          <w:tcPr>
            <w:tcW w:type="dxa" w:w="1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2.500,00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2.500,00</w:t>
            </w:r>
          </w:p>
        </w:tc>
        <w:tc>
          <w:tcPr>
            <w:tcW w:type="dxa" w:w="1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52,08</w:t>
            </w:r>
          </w:p>
        </w:tc>
      </w:tr>
      <w:tr w:rsidTr="008E01ED" w:rsidR="00657297">
        <w:trPr>
          <w:trHeight w:val="780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53</w:t>
            </w:r>
          </w:p>
        </w:tc>
        <w:tc>
          <w:tcPr>
            <w:tcW w:type="dxa" w:w="1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RAKLA , Obrt za trgovinu, pripremu i izradu tiskarske </w:t>
            </w:r>
            <w:r>
              <w:rPr>
                <w:rFonts w:eastAsia="Times New Roman"/>
                <w:sz w:val="20"/>
                <w:szCs w:val="20"/>
              </w:rPr>
              <w:lastRenderedPageBreak/>
              <w:t>forme i sitotisak vl. ANA BAŠIĆ( prije Pavlić)</w:t>
            </w:r>
          </w:p>
        </w:tc>
        <w:tc>
          <w:tcPr>
            <w:tcW w:type="dxa" w:w="1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68836331653</w:t>
            </w:r>
          </w:p>
        </w:tc>
        <w:tc>
          <w:tcPr>
            <w:tcW w:type="dxa" w:w="13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87,50</w:t>
            </w:r>
          </w:p>
        </w:tc>
        <w:tc>
          <w:tcPr>
            <w:tcW w:type="dxa" w:w="1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43,75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43,75</w:t>
            </w:r>
          </w:p>
        </w:tc>
        <w:tc>
          <w:tcPr>
            <w:tcW w:type="dxa" w:w="1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0,91</w:t>
            </w:r>
          </w:p>
        </w:tc>
      </w:tr>
      <w:tr w:rsidTr="008E01ED" w:rsidR="00657297">
        <w:trPr>
          <w:trHeight w:val="780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54</w:t>
            </w:r>
          </w:p>
        </w:tc>
        <w:tc>
          <w:tcPr>
            <w:tcW w:type="dxa" w:w="1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REPUBLIKA HRVATSKA MINISTARSTVO FINANCIJA -POREZNA UPRAVA</w:t>
            </w:r>
          </w:p>
        </w:tc>
        <w:tc>
          <w:tcPr>
            <w:tcW w:type="dxa" w:w="1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18683136487</w:t>
            </w:r>
          </w:p>
        </w:tc>
        <w:tc>
          <w:tcPr>
            <w:tcW w:type="dxa" w:w="13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237.505,48</w:t>
            </w:r>
          </w:p>
        </w:tc>
        <w:tc>
          <w:tcPr>
            <w:tcW w:type="dxa" w:w="1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118.752,74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118.752,74</w:t>
            </w:r>
          </w:p>
        </w:tc>
        <w:tc>
          <w:tcPr>
            <w:tcW w:type="dxa" w:w="1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2.474,02</w:t>
            </w:r>
          </w:p>
        </w:tc>
      </w:tr>
      <w:tr w:rsidTr="008E01ED" w:rsidR="00657297">
        <w:trPr>
          <w:trHeight w:val="260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55</w:t>
            </w:r>
          </w:p>
        </w:tc>
        <w:tc>
          <w:tcPr>
            <w:tcW w:type="dxa" w:w="1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RHEA d.o.o.</w:t>
            </w:r>
          </w:p>
        </w:tc>
        <w:tc>
          <w:tcPr>
            <w:tcW w:type="dxa" w:w="1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43354566311</w:t>
            </w:r>
          </w:p>
        </w:tc>
        <w:tc>
          <w:tcPr>
            <w:tcW w:type="dxa" w:w="13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220,30</w:t>
            </w:r>
          </w:p>
        </w:tc>
        <w:tc>
          <w:tcPr>
            <w:tcW w:type="dxa" w:w="1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110,15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110,15</w:t>
            </w:r>
          </w:p>
        </w:tc>
        <w:tc>
          <w:tcPr>
            <w:tcW w:type="dxa" w:w="1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2,29</w:t>
            </w:r>
          </w:p>
        </w:tc>
      </w:tr>
      <w:tr w:rsidTr="008E01ED" w:rsidR="00657297">
        <w:trPr>
          <w:trHeight w:val="260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56</w:t>
            </w:r>
          </w:p>
        </w:tc>
        <w:tc>
          <w:tcPr>
            <w:tcW w:type="dxa" w:w="1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SCHENKER d.o.o.</w:t>
            </w:r>
          </w:p>
        </w:tc>
        <w:tc>
          <w:tcPr>
            <w:tcW w:type="dxa" w:w="1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51003352330</w:t>
            </w:r>
          </w:p>
        </w:tc>
        <w:tc>
          <w:tcPr>
            <w:tcW w:type="dxa" w:w="13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2.810,09</w:t>
            </w:r>
          </w:p>
        </w:tc>
        <w:tc>
          <w:tcPr>
            <w:tcW w:type="dxa" w:w="1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1.405,05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1.405,05</w:t>
            </w:r>
          </w:p>
        </w:tc>
        <w:tc>
          <w:tcPr>
            <w:tcW w:type="dxa" w:w="1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29,27</w:t>
            </w:r>
          </w:p>
        </w:tc>
      </w:tr>
      <w:tr w:rsidTr="008E01ED" w:rsidR="00657297">
        <w:trPr>
          <w:trHeight w:val="260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57</w:t>
            </w:r>
          </w:p>
        </w:tc>
        <w:tc>
          <w:tcPr>
            <w:tcW w:type="dxa" w:w="1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SOULIS-KUEHNIS A.G.</w:t>
            </w:r>
          </w:p>
        </w:tc>
        <w:tc>
          <w:tcPr>
            <w:tcW w:type="dxa" w:w="1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           </w:t>
            </w:r>
          </w:p>
        </w:tc>
        <w:tc>
          <w:tcPr>
            <w:tcW w:type="dxa" w:w="13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52.812,37</w:t>
            </w:r>
          </w:p>
        </w:tc>
        <w:tc>
          <w:tcPr>
            <w:tcW w:type="dxa" w:w="1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26.406,19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26.406,19</w:t>
            </w:r>
          </w:p>
        </w:tc>
        <w:tc>
          <w:tcPr>
            <w:tcW w:type="dxa" w:w="1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550,13</w:t>
            </w:r>
          </w:p>
        </w:tc>
      </w:tr>
      <w:tr w:rsidTr="008E01ED" w:rsidR="00657297">
        <w:trPr>
          <w:trHeight w:val="520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</w:t>
            </w:r>
          </w:p>
        </w:tc>
        <w:tc>
          <w:tcPr>
            <w:tcW w:type="dxa" w:w="1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ŠIVANOL PROMET d.o.o. za trgovinu i usluge</w:t>
            </w:r>
          </w:p>
        </w:tc>
        <w:tc>
          <w:tcPr>
            <w:tcW w:type="dxa" w:w="1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82099312853</w:t>
            </w:r>
          </w:p>
        </w:tc>
        <w:tc>
          <w:tcPr>
            <w:tcW w:type="dxa" w:w="13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1.866,00</w:t>
            </w:r>
          </w:p>
        </w:tc>
        <w:tc>
          <w:tcPr>
            <w:tcW w:type="dxa" w:w="1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933,00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933,00</w:t>
            </w:r>
          </w:p>
        </w:tc>
        <w:tc>
          <w:tcPr>
            <w:tcW w:type="dxa" w:w="1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19,44</w:t>
            </w:r>
          </w:p>
        </w:tc>
      </w:tr>
      <w:tr w:rsidTr="008E01ED" w:rsidR="00657297">
        <w:trPr>
          <w:trHeight w:val="260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59</w:t>
            </w:r>
          </w:p>
        </w:tc>
        <w:tc>
          <w:tcPr>
            <w:tcW w:type="dxa" w:w="1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TISAK d.d.</w:t>
            </w:r>
          </w:p>
        </w:tc>
        <w:tc>
          <w:tcPr>
            <w:tcW w:type="dxa" w:w="1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75917721668</w:t>
            </w:r>
          </w:p>
        </w:tc>
        <w:tc>
          <w:tcPr>
            <w:tcW w:type="dxa" w:w="13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1.078,10</w:t>
            </w:r>
          </w:p>
        </w:tc>
        <w:tc>
          <w:tcPr>
            <w:tcW w:type="dxa" w:w="1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539,05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539,05</w:t>
            </w:r>
          </w:p>
        </w:tc>
        <w:tc>
          <w:tcPr>
            <w:tcW w:type="dxa" w:w="1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11,23</w:t>
            </w:r>
          </w:p>
        </w:tc>
      </w:tr>
      <w:tr w:rsidTr="008E01ED" w:rsidR="00657297">
        <w:trPr>
          <w:trHeight w:val="520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60</w:t>
            </w:r>
          </w:p>
        </w:tc>
        <w:tc>
          <w:tcPr>
            <w:tcW w:type="dxa" w:w="1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Transport i trgovina  SINKOVIĆ vl. MLADEN SINKOVIĆ</w:t>
            </w:r>
          </w:p>
        </w:tc>
        <w:tc>
          <w:tcPr>
            <w:tcW w:type="dxa" w:w="1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33699314523</w:t>
            </w:r>
          </w:p>
        </w:tc>
        <w:tc>
          <w:tcPr>
            <w:tcW w:type="dxa" w:w="13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32.789,44</w:t>
            </w:r>
          </w:p>
        </w:tc>
        <w:tc>
          <w:tcPr>
            <w:tcW w:type="dxa" w:w="1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16.394,72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16.394,72</w:t>
            </w:r>
          </w:p>
        </w:tc>
        <w:tc>
          <w:tcPr>
            <w:tcW w:type="dxa" w:w="1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341,56</w:t>
            </w:r>
          </w:p>
        </w:tc>
      </w:tr>
      <w:tr w:rsidTr="008E01ED" w:rsidR="00657297">
        <w:trPr>
          <w:trHeight w:val="260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61</w:t>
            </w:r>
          </w:p>
        </w:tc>
        <w:tc>
          <w:tcPr>
            <w:tcW w:type="dxa" w:w="1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UNIQA osiguranje d.d.</w:t>
            </w:r>
          </w:p>
        </w:tc>
        <w:tc>
          <w:tcPr>
            <w:tcW w:type="dxa" w:w="1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75665455333</w:t>
            </w:r>
          </w:p>
        </w:tc>
        <w:tc>
          <w:tcPr>
            <w:tcW w:type="dxa" w:w="13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1.170,24</w:t>
            </w:r>
          </w:p>
        </w:tc>
        <w:tc>
          <w:tcPr>
            <w:tcW w:type="dxa" w:w="1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585,12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585,12</w:t>
            </w:r>
          </w:p>
        </w:tc>
        <w:tc>
          <w:tcPr>
            <w:tcW w:type="dxa" w:w="1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12,19</w:t>
            </w:r>
          </w:p>
        </w:tc>
      </w:tr>
      <w:tr w:rsidTr="008E01ED" w:rsidR="00657297">
        <w:trPr>
          <w:trHeight w:val="780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62</w:t>
            </w:r>
          </w:p>
        </w:tc>
        <w:tc>
          <w:tcPr>
            <w:tcW w:type="dxa" w:w="1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VIPnet, društvo s ograničenom odgovornošću za usluge javnih telekomunikacija</w:t>
            </w:r>
          </w:p>
        </w:tc>
        <w:tc>
          <w:tcPr>
            <w:tcW w:type="dxa" w:w="1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29524210204</w:t>
            </w:r>
          </w:p>
        </w:tc>
        <w:tc>
          <w:tcPr>
            <w:tcW w:type="dxa" w:w="13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919,57</w:t>
            </w:r>
          </w:p>
        </w:tc>
        <w:tc>
          <w:tcPr>
            <w:tcW w:type="dxa" w:w="1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459,79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459,79</w:t>
            </w:r>
          </w:p>
        </w:tc>
        <w:tc>
          <w:tcPr>
            <w:tcW w:type="dxa" w:w="1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9,58</w:t>
            </w:r>
          </w:p>
        </w:tc>
      </w:tr>
      <w:tr w:rsidTr="008E01ED" w:rsidR="00657297">
        <w:trPr>
          <w:trHeight w:val="1560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63</w:t>
            </w:r>
          </w:p>
        </w:tc>
        <w:tc>
          <w:tcPr>
            <w:tcW w:type="dxa" w:w="1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ZAGREBAČKI HOLDING, društvo s ograničenom odgovornošću za javni prijevoz, opskrbu vodom, održavanje čistoće, putnička agencija, šport, upravljanje objektima i poslovanje nekretninama</w:t>
            </w:r>
          </w:p>
        </w:tc>
        <w:tc>
          <w:tcPr>
            <w:tcW w:type="dxa" w:w="1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85584865987</w:t>
            </w:r>
          </w:p>
        </w:tc>
        <w:tc>
          <w:tcPr>
            <w:tcW w:type="dxa" w:w="13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96,16</w:t>
            </w:r>
          </w:p>
        </w:tc>
        <w:tc>
          <w:tcPr>
            <w:tcW w:type="dxa" w:w="1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48,08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48,08</w:t>
            </w:r>
          </w:p>
        </w:tc>
        <w:tc>
          <w:tcPr>
            <w:tcW w:type="dxa" w:w="1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1,00</w:t>
            </w:r>
          </w:p>
        </w:tc>
      </w:tr>
      <w:tr w:rsidTr="008E01ED" w:rsidR="00657297">
        <w:trPr>
          <w:trHeight w:val="260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center"/>
            <w:hideMark/>
          </w:tcPr>
          <w:p w:rsidRDefault="00657297" w:rsidR="00657297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type="dxa" w:w="1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UKUPNO:</w:t>
            </w:r>
          </w:p>
        </w:tc>
        <w:tc>
          <w:tcPr>
            <w:tcW w:type="dxa" w:w="1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center"/>
            <w:hideMark/>
          </w:tcPr>
          <w:p w:rsidRDefault="00657297" w:rsidR="0065729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type="dxa" w:w="13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8.010.484,72</w:t>
            </w:r>
          </w:p>
        </w:tc>
        <w:tc>
          <w:tcPr>
            <w:tcW w:type="dxa" w:w="1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4.005.242,36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4.005.242,36</w:t>
            </w:r>
          </w:p>
        </w:tc>
        <w:tc>
          <w:tcPr>
            <w:tcW w:type="dxa" w:w="1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center"/>
            <w:hideMark/>
          </w:tcPr>
          <w:p w:rsidRDefault="00657297" w:rsidR="00657297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83.442,55</w:t>
            </w:r>
          </w:p>
        </w:tc>
      </w:tr>
    </w:tbl>
    <w:p w:rsidRDefault="0008374C" w:rsidP="006B60C7" w:rsidR="0008374C" w:rsidRPr="00377D92">
      <w:pPr>
        <w:pStyle w:val="Grafikeoznake2"/>
        <w:numPr>
          <w:ilvl w:val="0"/>
          <w:numId w:val="0"/>
        </w:numPr>
        <w:spacing w:lineRule="auto" w:line="360"/>
        <w:jc w:val="both"/>
      </w:pPr>
    </w:p>
    <w:p w:rsidRDefault="002F1D53" w:rsidP="00333C01" w:rsidR="001B3FAC" w:rsidRPr="00377D92">
      <w:pPr>
        <w:pStyle w:val="Odlomakpopisa"/>
        <w:numPr>
          <w:ilvl w:val="0"/>
          <w:numId w:val="12"/>
        </w:numPr>
        <w:spacing w:lineRule="auto" w:line="360"/>
        <w:jc w:val="both"/>
      </w:pPr>
      <w:r w:rsidRPr="00377D92">
        <w:rPr>
          <w:b/>
        </w:rPr>
        <w:t>RAZLUČNA PRAVA</w:t>
      </w:r>
      <w:r w:rsidR="00377D92" w:rsidRPr="00377D92">
        <w:t xml:space="preserve">, sukladno utvrđenim tražbinama </w:t>
      </w:r>
      <w:r w:rsidR="001B3FAC" w:rsidRPr="00377D92">
        <w:t xml:space="preserve">iznosi </w:t>
      </w:r>
      <w:r w:rsidR="001B3FAC" w:rsidRPr="00377D92">
        <w:rPr>
          <w:b/>
          <w:bCs/>
          <w:color w:val="000000"/>
        </w:rPr>
        <w:t xml:space="preserve"> </w:t>
      </w:r>
      <w:r w:rsidR="00377D92" w:rsidRPr="00377D92">
        <w:rPr>
          <w:color w:val="000000"/>
        </w:rPr>
        <w:t xml:space="preserve">1.850.615,09 </w:t>
      </w:r>
      <w:r w:rsidR="001B3FAC" w:rsidRPr="00377D92">
        <w:t xml:space="preserve">kn. </w:t>
      </w:r>
      <w:r w:rsidR="00333C01">
        <w:t>Ista ne sudjeluju u predstečajnom sporazumu, v</w:t>
      </w:r>
      <w:r w:rsidR="00A23BC8">
        <w:t>jerovnici će se namiriti iz razlučnog prava.</w:t>
      </w:r>
    </w:p>
    <w:tbl>
      <w:tblPr>
        <w:tblW w:type="dxa" w:w="9027"/>
        <w:tblInd w:type="dxa" w:w="113"/>
        <w:tblLook w:val="04A0" w:noVBand="1" w:noHBand="0" w:lastColumn="0" w:firstColumn="1" w:lastRow="0" w:firstRow="1"/>
      </w:tblPr>
      <w:tblGrid>
        <w:gridCol w:w="1047"/>
        <w:gridCol w:w="4155"/>
        <w:gridCol w:w="1983"/>
        <w:gridCol w:w="1842"/>
      </w:tblGrid>
      <w:tr w:rsidTr="008C4245" w:rsidR="008C4245">
        <w:trPr>
          <w:trHeight w:val="1174"/>
        </w:trPr>
        <w:tc>
          <w:tcPr>
            <w:tcW w:type="dxa" w:w="10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center"/>
            <w:hideMark/>
          </w:tcPr>
          <w:p w:rsidRDefault="008C4245" w:rsidR="008C4245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R.B.</w:t>
            </w:r>
          </w:p>
        </w:tc>
        <w:tc>
          <w:tcPr>
            <w:tcW w:type="dxa" w:w="41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center"/>
            <w:hideMark/>
          </w:tcPr>
          <w:p w:rsidRDefault="008C4245" w:rsidR="008C4245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Ime i prezime / Naziv vjerovnika</w:t>
            </w:r>
          </w:p>
        </w:tc>
        <w:tc>
          <w:tcPr>
            <w:tcW w:type="dxa" w:w="19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center"/>
            <w:hideMark/>
          </w:tcPr>
          <w:p w:rsidRDefault="008C4245" w:rsidR="008C4245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OIB vjerovnika</w:t>
            </w:r>
          </w:p>
        </w:tc>
        <w:tc>
          <w:tcPr>
            <w:tcW w:type="dxa" w:w="18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center"/>
            <w:hideMark/>
          </w:tcPr>
          <w:p w:rsidRDefault="008C4245" w:rsidR="008C4245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UTVRĐENE TRAŽBINE</w:t>
            </w:r>
          </w:p>
        </w:tc>
      </w:tr>
      <w:tr w:rsidTr="008C4245" w:rsidR="008C4245">
        <w:trPr>
          <w:trHeight w:val="873"/>
        </w:trPr>
        <w:tc>
          <w:tcPr>
            <w:tcW w:type="dxa" w:w="104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245" w:rsidR="008C4245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64</w:t>
            </w:r>
          </w:p>
        </w:tc>
        <w:tc>
          <w:tcPr>
            <w:tcW w:type="dxa" w:w="41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245" w:rsidR="008C4245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Raiffeisenbank Austria d.d.</w:t>
            </w:r>
          </w:p>
        </w:tc>
        <w:tc>
          <w:tcPr>
            <w:tcW w:type="dxa" w:w="19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245" w:rsidR="008C4245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53056966535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245" w:rsidR="008C4245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1.107.292,09</w:t>
            </w:r>
          </w:p>
        </w:tc>
      </w:tr>
      <w:tr w:rsidTr="008C4245" w:rsidR="008C4245">
        <w:trPr>
          <w:trHeight w:val="1145"/>
        </w:trPr>
        <w:tc>
          <w:tcPr>
            <w:tcW w:type="dxa" w:w="104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245" w:rsidR="008C4245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65</w:t>
            </w:r>
          </w:p>
        </w:tc>
        <w:tc>
          <w:tcPr>
            <w:tcW w:type="dxa" w:w="41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245" w:rsidR="008C4245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SOCIETE GENERALE-SPLITSKA BANKA d.d.</w:t>
            </w:r>
          </w:p>
        </w:tc>
        <w:tc>
          <w:tcPr>
            <w:tcW w:type="dxa" w:w="19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245" w:rsidR="008C4245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69326397242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245" w:rsidR="008C4245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743.323,00</w:t>
            </w:r>
          </w:p>
        </w:tc>
      </w:tr>
      <w:tr w:rsidTr="008C4245" w:rsidR="008C4245">
        <w:trPr>
          <w:trHeight w:val="390"/>
        </w:trPr>
        <w:tc>
          <w:tcPr>
            <w:tcW w:type="dxa" w:w="104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center"/>
            <w:hideMark/>
          </w:tcPr>
          <w:p w:rsidRDefault="008C4245" w:rsidR="008C4245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type="dxa" w:w="41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center"/>
            <w:hideMark/>
          </w:tcPr>
          <w:p w:rsidRDefault="008C4245" w:rsidR="008C4245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UKUPNO:</w:t>
            </w:r>
          </w:p>
        </w:tc>
        <w:tc>
          <w:tcPr>
            <w:tcW w:type="dxa" w:w="19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center"/>
            <w:hideMark/>
          </w:tcPr>
          <w:p w:rsidRDefault="008C4245" w:rsidR="008C4245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center"/>
            <w:hideMark/>
          </w:tcPr>
          <w:p w:rsidRDefault="008C4245" w:rsidR="008C4245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1.850.615,09</w:t>
            </w:r>
          </w:p>
        </w:tc>
      </w:tr>
    </w:tbl>
    <w:p w:rsidRDefault="0008374C" w:rsidP="006F7EBC" w:rsidR="0008374C" w:rsidRPr="00377D92">
      <w:pPr>
        <w:pStyle w:val="Grafikeoznake2"/>
        <w:numPr>
          <w:ilvl w:val="0"/>
          <w:numId w:val="0"/>
        </w:numPr>
        <w:spacing w:lineRule="auto" w:line="360"/>
        <w:jc w:val="both"/>
      </w:pPr>
    </w:p>
    <w:p w:rsidRDefault="002F1D53" w:rsidP="002F1D53" w:rsidR="002F1D53" w:rsidRPr="00377D92">
      <w:pPr>
        <w:pStyle w:val="Odlomakpopisa"/>
        <w:numPr>
          <w:ilvl w:val="0"/>
          <w:numId w:val="12"/>
        </w:numPr>
        <w:spacing w:lineRule="auto" w:line="360"/>
        <w:jc w:val="both"/>
      </w:pPr>
      <w:r w:rsidRPr="00377D92">
        <w:rPr>
          <w:b/>
        </w:rPr>
        <w:t>IZLUČNA PRAVA</w:t>
      </w:r>
      <w:r w:rsidR="00377D92" w:rsidRPr="00377D92">
        <w:rPr>
          <w:b/>
        </w:rPr>
        <w:t xml:space="preserve">, </w:t>
      </w:r>
      <w:r w:rsidRPr="00377D92">
        <w:rPr>
          <w:b/>
        </w:rPr>
        <w:t xml:space="preserve"> </w:t>
      </w:r>
      <w:r w:rsidR="00377D92" w:rsidRPr="00377D92">
        <w:t xml:space="preserve">sukladno utvrđenim tražbinama  </w:t>
      </w:r>
      <w:r w:rsidRPr="00377D92">
        <w:t xml:space="preserve">iznosi  </w:t>
      </w:r>
      <w:r w:rsidR="00377D92" w:rsidRPr="00377D92">
        <w:rPr>
          <w:color w:val="000000"/>
        </w:rPr>
        <w:t xml:space="preserve">122.296,74 </w:t>
      </w:r>
      <w:r w:rsidRPr="00377D92">
        <w:t xml:space="preserve">kn. </w:t>
      </w:r>
      <w:r w:rsidR="009D6291">
        <w:t>Ista ne sudjeluju u predstečajnom sporazumu.</w:t>
      </w:r>
    </w:p>
    <w:tbl>
      <w:tblPr>
        <w:tblW w:type="dxa" w:w="9033"/>
        <w:tblInd w:type="dxa" w:w="113"/>
        <w:tblLook w:val="04A0" w:noVBand="1" w:noHBand="0" w:lastColumn="0" w:firstColumn="1" w:lastRow="0" w:firstRow="1"/>
      </w:tblPr>
      <w:tblGrid>
        <w:gridCol w:w="1048"/>
        <w:gridCol w:w="4157"/>
        <w:gridCol w:w="1984"/>
        <w:gridCol w:w="1844"/>
      </w:tblGrid>
      <w:tr w:rsidTr="008C4245" w:rsidR="008C4245">
        <w:trPr>
          <w:trHeight w:val="691"/>
        </w:trPr>
        <w:tc>
          <w:tcPr>
            <w:tcW w:type="dxa" w:w="10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center"/>
            <w:hideMark/>
          </w:tcPr>
          <w:p w:rsidRDefault="008C4245" w:rsidR="008C4245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R.B.</w:t>
            </w:r>
          </w:p>
        </w:tc>
        <w:tc>
          <w:tcPr>
            <w:tcW w:type="dxa" w:w="41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center"/>
            <w:hideMark/>
          </w:tcPr>
          <w:p w:rsidRDefault="008C4245" w:rsidR="008C4245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Ime i prezime / Naziv vjerovnika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center"/>
            <w:hideMark/>
          </w:tcPr>
          <w:p w:rsidRDefault="008C4245" w:rsidR="008C4245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OIB vjerovnika</w:t>
            </w:r>
          </w:p>
        </w:tc>
        <w:tc>
          <w:tcPr>
            <w:tcW w:type="dxa" w:w="18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center"/>
            <w:hideMark/>
          </w:tcPr>
          <w:p w:rsidRDefault="008C4245" w:rsidR="008C4245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UTVRĐENE TRAŽBINE</w:t>
            </w:r>
          </w:p>
        </w:tc>
      </w:tr>
      <w:tr w:rsidTr="008C4245" w:rsidR="008C4245">
        <w:trPr>
          <w:trHeight w:val="230"/>
        </w:trPr>
        <w:tc>
          <w:tcPr>
            <w:tcW w:type="dxa" w:w="104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245" w:rsidR="008C4245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66</w:t>
            </w:r>
          </w:p>
        </w:tc>
        <w:tc>
          <w:tcPr>
            <w:tcW w:type="dxa" w:w="4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245" w:rsidR="008C4245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PORSCHE LEASING d.o.o.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245" w:rsidR="008C4245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90275854576</w:t>
            </w:r>
          </w:p>
        </w:tc>
        <w:tc>
          <w:tcPr>
            <w:tcW w:type="dxa" w:w="18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245" w:rsidR="008C4245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8.875,64</w:t>
            </w:r>
          </w:p>
        </w:tc>
      </w:tr>
      <w:tr w:rsidTr="008C4245" w:rsidR="008C4245">
        <w:trPr>
          <w:trHeight w:val="230"/>
        </w:trPr>
        <w:tc>
          <w:tcPr>
            <w:tcW w:type="dxa" w:w="104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245" w:rsidR="008C4245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67</w:t>
            </w:r>
          </w:p>
        </w:tc>
        <w:tc>
          <w:tcPr>
            <w:tcW w:type="dxa" w:w="4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245" w:rsidR="008C4245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PORSCHE LEASING d.o.o.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245" w:rsidR="008C4245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90275854576</w:t>
            </w:r>
          </w:p>
        </w:tc>
        <w:tc>
          <w:tcPr>
            <w:tcW w:type="dxa" w:w="18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245" w:rsidR="008C4245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113.421,10</w:t>
            </w:r>
          </w:p>
        </w:tc>
      </w:tr>
      <w:tr w:rsidTr="008C4245" w:rsidR="008C4245">
        <w:trPr>
          <w:trHeight w:val="230"/>
        </w:trPr>
        <w:tc>
          <w:tcPr>
            <w:tcW w:type="dxa" w:w="104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center"/>
            <w:hideMark/>
          </w:tcPr>
          <w:p w:rsidRDefault="008C4245" w:rsidR="008C4245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type="dxa" w:w="4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center"/>
            <w:hideMark/>
          </w:tcPr>
          <w:p w:rsidRDefault="008C4245" w:rsidR="008C4245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UKUPNO: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center"/>
            <w:hideMark/>
          </w:tcPr>
          <w:p w:rsidRDefault="008C4245" w:rsidR="008C4245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type="dxa" w:w="18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center"/>
            <w:hideMark/>
          </w:tcPr>
          <w:p w:rsidRDefault="008C4245" w:rsidR="008C4245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122.296,74</w:t>
            </w:r>
          </w:p>
        </w:tc>
      </w:tr>
    </w:tbl>
    <w:p w:rsidRDefault="0008374C" w:rsidP="006F7EBC" w:rsidR="0008374C" w:rsidRPr="00377D92">
      <w:pPr>
        <w:pStyle w:val="Grafikeoznake2"/>
        <w:numPr>
          <w:ilvl w:val="0"/>
          <w:numId w:val="0"/>
        </w:numPr>
        <w:spacing w:lineRule="auto" w:line="360"/>
        <w:jc w:val="both"/>
      </w:pPr>
    </w:p>
    <w:p w:rsidRDefault="00E85766" w:rsidP="006F7EBC" w:rsidR="00E85766" w:rsidRPr="00377D92">
      <w:pPr>
        <w:pStyle w:val="Grafikeoznake2"/>
        <w:numPr>
          <w:ilvl w:val="0"/>
          <w:numId w:val="0"/>
        </w:numPr>
        <w:spacing w:lineRule="auto" w:line="360"/>
        <w:jc w:val="both"/>
      </w:pPr>
    </w:p>
    <w:p w:rsidRDefault="001B3FAC" w:rsidP="001B3FAC" w:rsidR="001B3FAC" w:rsidRPr="00377D92">
      <w:pPr>
        <w:pStyle w:val="Grafikeoznake2"/>
        <w:numPr>
          <w:ilvl w:val="0"/>
          <w:numId w:val="7"/>
        </w:numPr>
        <w:spacing w:lineRule="auto" w:line="360"/>
        <w:jc w:val="both"/>
      </w:pPr>
      <w:r w:rsidRPr="00377D92">
        <w:rPr>
          <w:b/>
        </w:rPr>
        <w:t>PRIORITETNE TRAŽBINE</w:t>
      </w:r>
      <w:r w:rsidR="00377D92" w:rsidRPr="00377D92">
        <w:rPr>
          <w:b/>
        </w:rPr>
        <w:t xml:space="preserve">, </w:t>
      </w:r>
      <w:r w:rsidRPr="00377D92">
        <w:rPr>
          <w:b/>
        </w:rPr>
        <w:t xml:space="preserve"> </w:t>
      </w:r>
      <w:r w:rsidRPr="00377D92">
        <w:t xml:space="preserve"> </w:t>
      </w:r>
      <w:r w:rsidR="00377D92" w:rsidRPr="00377D92">
        <w:t xml:space="preserve">sukladno utvrđenim tražbinama </w:t>
      </w:r>
      <w:r w:rsidRPr="00377D92">
        <w:t xml:space="preserve">iznosi </w:t>
      </w:r>
      <w:r w:rsidRPr="00377D92">
        <w:rPr>
          <w:b/>
          <w:bCs/>
          <w:color w:val="000000"/>
        </w:rPr>
        <w:t xml:space="preserve"> </w:t>
      </w:r>
      <w:r w:rsidR="00377D92" w:rsidRPr="00377D92">
        <w:rPr>
          <w:color w:val="000000"/>
        </w:rPr>
        <w:t xml:space="preserve">140.424,07 </w:t>
      </w:r>
      <w:r w:rsidR="00E268BF" w:rsidRPr="00377D92">
        <w:t xml:space="preserve"> </w:t>
      </w:r>
      <w:r w:rsidRPr="00377D92">
        <w:t>kn. Prioritetne tražbine namir</w:t>
      </w:r>
      <w:r w:rsidR="00E85766" w:rsidRPr="00377D92">
        <w:t>i</w:t>
      </w:r>
      <w:r w:rsidRPr="00377D92">
        <w:t xml:space="preserve">ti će se </w:t>
      </w:r>
      <w:r w:rsidR="009D6291">
        <w:t>prioritetno tijekom postupka predstečajne nagodbe.</w:t>
      </w:r>
    </w:p>
    <w:tbl>
      <w:tblPr>
        <w:tblW w:type="dxa" w:w="9020"/>
        <w:tblInd w:type="dxa" w:w="113"/>
        <w:tblLook w:val="04A0" w:noVBand="1" w:noHBand="0" w:lastColumn="0" w:firstColumn="1" w:lastRow="0" w:firstRow="1"/>
      </w:tblPr>
      <w:tblGrid>
        <w:gridCol w:w="1045"/>
        <w:gridCol w:w="4153"/>
        <w:gridCol w:w="1982"/>
        <w:gridCol w:w="1840"/>
      </w:tblGrid>
      <w:tr w:rsidTr="008C4245" w:rsidR="008C4245">
        <w:trPr>
          <w:trHeight w:val="518"/>
        </w:trPr>
        <w:tc>
          <w:tcPr>
            <w:tcW w:type="dxa" w:w="10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center"/>
            <w:hideMark/>
          </w:tcPr>
          <w:p w:rsidRDefault="008C4245" w:rsidR="008C4245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R.B.</w:t>
            </w:r>
          </w:p>
        </w:tc>
        <w:tc>
          <w:tcPr>
            <w:tcW w:type="dxa" w:w="41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center"/>
            <w:hideMark/>
          </w:tcPr>
          <w:p w:rsidRDefault="008C4245" w:rsidR="008C4245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Ime i prezime / Naziv vjerovnika</w:t>
            </w:r>
          </w:p>
        </w:tc>
        <w:tc>
          <w:tcPr>
            <w:tcW w:type="dxa" w:w="198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center"/>
            <w:hideMark/>
          </w:tcPr>
          <w:p w:rsidRDefault="008C4245" w:rsidR="008C4245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OIB vjerovnika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center"/>
            <w:hideMark/>
          </w:tcPr>
          <w:p w:rsidRDefault="008C4245" w:rsidR="008C4245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UTVRĐENE TRAŽBINE</w:t>
            </w:r>
          </w:p>
        </w:tc>
      </w:tr>
      <w:tr w:rsidTr="008C4245" w:rsidR="008C4245">
        <w:trPr>
          <w:trHeight w:val="347"/>
        </w:trPr>
        <w:tc>
          <w:tcPr>
            <w:tcW w:type="dxa" w:w="10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245" w:rsidR="008C4245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68</w:t>
            </w:r>
          </w:p>
        </w:tc>
        <w:tc>
          <w:tcPr>
            <w:tcW w:type="dxa" w:w="41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245" w:rsidR="008C4245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ŠTEFICA BAŠIĆ </w:t>
            </w:r>
            <w:r>
              <w:rPr>
                <w:rFonts w:eastAsia="Times New Roman"/>
                <w:b/>
                <w:bCs/>
                <w:sz w:val="20"/>
                <w:szCs w:val="20"/>
              </w:rPr>
              <w:t>(PRIORITETNA TRAŽBINA)</w:t>
            </w:r>
          </w:p>
        </w:tc>
        <w:tc>
          <w:tcPr>
            <w:tcW w:type="dxa" w:w="1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245" w:rsidR="008C4245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76788138210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245" w:rsidR="008C4245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6.108,20</w:t>
            </w:r>
          </w:p>
        </w:tc>
      </w:tr>
      <w:tr w:rsidTr="008C4245" w:rsidR="008C4245">
        <w:trPr>
          <w:trHeight w:val="347"/>
        </w:trPr>
        <w:tc>
          <w:tcPr>
            <w:tcW w:type="dxa" w:w="10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245" w:rsidR="008C4245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69</w:t>
            </w:r>
          </w:p>
        </w:tc>
        <w:tc>
          <w:tcPr>
            <w:tcW w:type="dxa" w:w="41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245" w:rsidR="008C4245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SNJEŽANA BRATELJ </w:t>
            </w:r>
            <w:r>
              <w:rPr>
                <w:rFonts w:eastAsia="Times New Roman"/>
                <w:b/>
                <w:bCs/>
                <w:sz w:val="20"/>
                <w:szCs w:val="20"/>
              </w:rPr>
              <w:t>(PRIORITETNA TRAŽBINA)</w:t>
            </w:r>
          </w:p>
        </w:tc>
        <w:tc>
          <w:tcPr>
            <w:tcW w:type="dxa" w:w="1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245" w:rsidR="008C4245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14191248961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245" w:rsidR="008C4245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7.588,56</w:t>
            </w:r>
          </w:p>
        </w:tc>
      </w:tr>
      <w:tr w:rsidTr="008C4245" w:rsidR="008C4245">
        <w:trPr>
          <w:trHeight w:val="347"/>
        </w:trPr>
        <w:tc>
          <w:tcPr>
            <w:tcW w:type="dxa" w:w="10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245" w:rsidR="008C4245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70</w:t>
            </w:r>
          </w:p>
        </w:tc>
        <w:tc>
          <w:tcPr>
            <w:tcW w:type="dxa" w:w="41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245" w:rsidR="008C4245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IRENA BOŠNJAK  </w:t>
            </w:r>
            <w:r>
              <w:rPr>
                <w:rFonts w:eastAsia="Times New Roman"/>
                <w:b/>
                <w:bCs/>
                <w:sz w:val="20"/>
                <w:szCs w:val="20"/>
              </w:rPr>
              <w:t>(PRIORITETNA TRAŽBINA)</w:t>
            </w:r>
          </w:p>
        </w:tc>
        <w:tc>
          <w:tcPr>
            <w:tcW w:type="dxa" w:w="1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245" w:rsidR="008C4245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28212186104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245" w:rsidR="008C4245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2.212,88</w:t>
            </w:r>
          </w:p>
        </w:tc>
      </w:tr>
      <w:tr w:rsidTr="008C4245" w:rsidR="008C4245">
        <w:trPr>
          <w:trHeight w:val="347"/>
        </w:trPr>
        <w:tc>
          <w:tcPr>
            <w:tcW w:type="dxa" w:w="10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245" w:rsidR="008C4245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71</w:t>
            </w:r>
          </w:p>
        </w:tc>
        <w:tc>
          <w:tcPr>
            <w:tcW w:type="dxa" w:w="41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245" w:rsidR="008C4245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IVANKA BUHA </w:t>
            </w:r>
            <w:r>
              <w:rPr>
                <w:rFonts w:eastAsia="Times New Roman"/>
                <w:b/>
                <w:bCs/>
                <w:sz w:val="20"/>
                <w:szCs w:val="20"/>
              </w:rPr>
              <w:t>(PRIORITETNA TRAŽBINA)</w:t>
            </w:r>
          </w:p>
        </w:tc>
        <w:tc>
          <w:tcPr>
            <w:tcW w:type="dxa" w:w="1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245" w:rsidR="008C4245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88429849981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245" w:rsidR="008C4245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6.108,20</w:t>
            </w:r>
          </w:p>
        </w:tc>
      </w:tr>
      <w:tr w:rsidTr="008C4245" w:rsidR="008C4245">
        <w:trPr>
          <w:trHeight w:val="347"/>
        </w:trPr>
        <w:tc>
          <w:tcPr>
            <w:tcW w:type="dxa" w:w="10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245" w:rsidR="008C4245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72</w:t>
            </w:r>
          </w:p>
        </w:tc>
        <w:tc>
          <w:tcPr>
            <w:tcW w:type="dxa" w:w="41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245" w:rsidR="008C4245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ŠTEFICA GULIŠ  </w:t>
            </w:r>
            <w:r>
              <w:rPr>
                <w:rFonts w:eastAsia="Times New Roman"/>
                <w:b/>
                <w:bCs/>
                <w:sz w:val="20"/>
                <w:szCs w:val="20"/>
              </w:rPr>
              <w:t>(PRIORITETNA TRAŽBINA)</w:t>
            </w:r>
          </w:p>
        </w:tc>
        <w:tc>
          <w:tcPr>
            <w:tcW w:type="dxa" w:w="1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245" w:rsidR="008C4245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98905698856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245" w:rsidR="008C4245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6.188,56</w:t>
            </w:r>
          </w:p>
        </w:tc>
      </w:tr>
      <w:tr w:rsidTr="008C4245" w:rsidR="008C4245">
        <w:trPr>
          <w:trHeight w:val="347"/>
        </w:trPr>
        <w:tc>
          <w:tcPr>
            <w:tcW w:type="dxa" w:w="10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245" w:rsidR="008C4245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73</w:t>
            </w:r>
          </w:p>
        </w:tc>
        <w:tc>
          <w:tcPr>
            <w:tcW w:type="dxa" w:w="41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245" w:rsidR="008C4245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ANDRIJANA HALAVUK  </w:t>
            </w:r>
            <w:r>
              <w:rPr>
                <w:rFonts w:eastAsia="Times New Roman"/>
                <w:b/>
                <w:bCs/>
                <w:sz w:val="20"/>
                <w:szCs w:val="20"/>
              </w:rPr>
              <w:t>(PRIORITETNA TRAŽBINA)</w:t>
            </w:r>
          </w:p>
        </w:tc>
        <w:tc>
          <w:tcPr>
            <w:tcW w:type="dxa" w:w="1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245" w:rsidR="008C4245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02954975946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245" w:rsidR="008C4245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3.847,27</w:t>
            </w:r>
          </w:p>
        </w:tc>
      </w:tr>
      <w:tr w:rsidTr="008C4245" w:rsidR="008C4245">
        <w:trPr>
          <w:trHeight w:val="347"/>
        </w:trPr>
        <w:tc>
          <w:tcPr>
            <w:tcW w:type="dxa" w:w="10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245" w:rsidR="008C4245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74</w:t>
            </w:r>
          </w:p>
        </w:tc>
        <w:tc>
          <w:tcPr>
            <w:tcW w:type="dxa" w:w="41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245" w:rsidR="008C4245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MARIJA HALAVUK </w:t>
            </w:r>
            <w:r>
              <w:rPr>
                <w:rFonts w:eastAsia="Times New Roman"/>
                <w:b/>
                <w:bCs/>
                <w:sz w:val="20"/>
                <w:szCs w:val="20"/>
              </w:rPr>
              <w:t>(PRIORITETNA TRAŽBINA)</w:t>
            </w:r>
          </w:p>
        </w:tc>
        <w:tc>
          <w:tcPr>
            <w:tcW w:type="dxa" w:w="1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245" w:rsidR="008C4245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19366591925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245" w:rsidR="008C4245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3.847,28</w:t>
            </w:r>
          </w:p>
        </w:tc>
      </w:tr>
      <w:tr w:rsidTr="008C4245" w:rsidR="008C4245">
        <w:trPr>
          <w:trHeight w:val="347"/>
        </w:trPr>
        <w:tc>
          <w:tcPr>
            <w:tcW w:type="dxa" w:w="10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245" w:rsidR="008C4245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75</w:t>
            </w:r>
          </w:p>
        </w:tc>
        <w:tc>
          <w:tcPr>
            <w:tcW w:type="dxa" w:w="41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245" w:rsidR="008C4245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JELENA KOLAR  </w:t>
            </w:r>
            <w:r>
              <w:rPr>
                <w:rFonts w:eastAsia="Times New Roman"/>
                <w:b/>
                <w:bCs/>
                <w:sz w:val="20"/>
                <w:szCs w:val="20"/>
              </w:rPr>
              <w:t>(PRIORITETNA TRAŽBINA)</w:t>
            </w:r>
          </w:p>
        </w:tc>
        <w:tc>
          <w:tcPr>
            <w:tcW w:type="dxa" w:w="1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245" w:rsidR="008C4245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80005052481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245" w:rsidR="008C4245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99,61</w:t>
            </w:r>
          </w:p>
        </w:tc>
      </w:tr>
      <w:tr w:rsidTr="008C4245" w:rsidR="008C4245">
        <w:trPr>
          <w:trHeight w:val="347"/>
        </w:trPr>
        <w:tc>
          <w:tcPr>
            <w:tcW w:type="dxa" w:w="10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245" w:rsidR="008C4245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76</w:t>
            </w:r>
          </w:p>
        </w:tc>
        <w:tc>
          <w:tcPr>
            <w:tcW w:type="dxa" w:w="41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245" w:rsidR="008C4245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MARIJANA KOŠČAK  </w:t>
            </w:r>
            <w:r>
              <w:rPr>
                <w:rFonts w:eastAsia="Times New Roman"/>
                <w:b/>
                <w:bCs/>
                <w:sz w:val="20"/>
                <w:szCs w:val="20"/>
              </w:rPr>
              <w:t>(PRIORITETNA TRAŽBINA)</w:t>
            </w:r>
          </w:p>
        </w:tc>
        <w:tc>
          <w:tcPr>
            <w:tcW w:type="dxa" w:w="1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245" w:rsidR="008C4245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03472354207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245" w:rsidR="008C4245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3.847,28</w:t>
            </w:r>
          </w:p>
        </w:tc>
      </w:tr>
      <w:tr w:rsidTr="008C4245" w:rsidR="008C4245">
        <w:trPr>
          <w:trHeight w:val="347"/>
        </w:trPr>
        <w:tc>
          <w:tcPr>
            <w:tcW w:type="dxa" w:w="10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245" w:rsidR="008C4245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77</w:t>
            </w:r>
          </w:p>
        </w:tc>
        <w:tc>
          <w:tcPr>
            <w:tcW w:type="dxa" w:w="41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245" w:rsidR="008C4245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BISERKA LOVKOVIĆ  </w:t>
            </w:r>
            <w:r>
              <w:rPr>
                <w:rFonts w:eastAsia="Times New Roman"/>
                <w:b/>
                <w:bCs/>
                <w:sz w:val="20"/>
                <w:szCs w:val="20"/>
              </w:rPr>
              <w:t>(PRIORITETNA TRAŽBINA)</w:t>
            </w:r>
          </w:p>
        </w:tc>
        <w:tc>
          <w:tcPr>
            <w:tcW w:type="dxa" w:w="1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245" w:rsidR="008C4245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45245324948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245" w:rsidR="008C4245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5.655,14</w:t>
            </w:r>
          </w:p>
        </w:tc>
      </w:tr>
      <w:tr w:rsidTr="008C4245" w:rsidR="008C4245">
        <w:trPr>
          <w:trHeight w:val="347"/>
        </w:trPr>
        <w:tc>
          <w:tcPr>
            <w:tcW w:type="dxa" w:w="10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245" w:rsidR="008C4245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78</w:t>
            </w:r>
          </w:p>
        </w:tc>
        <w:tc>
          <w:tcPr>
            <w:tcW w:type="dxa" w:w="41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245" w:rsidR="008C4245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NEVENKA LOZANOV  </w:t>
            </w:r>
            <w:r>
              <w:rPr>
                <w:rFonts w:eastAsia="Times New Roman"/>
                <w:b/>
                <w:bCs/>
                <w:sz w:val="20"/>
                <w:szCs w:val="20"/>
              </w:rPr>
              <w:t>(PRIORITETNA TRAŽBINA)</w:t>
            </w:r>
          </w:p>
        </w:tc>
        <w:tc>
          <w:tcPr>
            <w:tcW w:type="dxa" w:w="1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245" w:rsidR="008C4245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29766598870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245" w:rsidR="008C4245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3.686,75</w:t>
            </w:r>
          </w:p>
        </w:tc>
      </w:tr>
      <w:tr w:rsidTr="008C4245" w:rsidR="008C4245">
        <w:trPr>
          <w:trHeight w:val="347"/>
        </w:trPr>
        <w:tc>
          <w:tcPr>
            <w:tcW w:type="dxa" w:w="10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245" w:rsidR="008C4245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79</w:t>
            </w:r>
          </w:p>
        </w:tc>
        <w:tc>
          <w:tcPr>
            <w:tcW w:type="dxa" w:w="41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245" w:rsidR="008C4245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TATJANA VEŠLIGAJ  </w:t>
            </w:r>
            <w:r>
              <w:rPr>
                <w:rFonts w:eastAsia="Times New Roman"/>
                <w:b/>
                <w:bCs/>
                <w:sz w:val="20"/>
                <w:szCs w:val="20"/>
              </w:rPr>
              <w:t>(PRIORITETNA TRAŽBINA)</w:t>
            </w:r>
          </w:p>
        </w:tc>
        <w:tc>
          <w:tcPr>
            <w:tcW w:type="dxa" w:w="1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245" w:rsidR="008C4245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32597136452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245" w:rsidR="008C4245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6.422,16</w:t>
            </w:r>
          </w:p>
        </w:tc>
      </w:tr>
      <w:tr w:rsidTr="008C4245" w:rsidR="008C4245">
        <w:trPr>
          <w:trHeight w:val="347"/>
        </w:trPr>
        <w:tc>
          <w:tcPr>
            <w:tcW w:type="dxa" w:w="10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245" w:rsidR="008C4245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80</w:t>
            </w:r>
          </w:p>
        </w:tc>
        <w:tc>
          <w:tcPr>
            <w:tcW w:type="dxa" w:w="41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245" w:rsidR="008C4245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RUŽICA SRDAR </w:t>
            </w:r>
            <w:r>
              <w:rPr>
                <w:rFonts w:eastAsia="Times New Roman"/>
                <w:b/>
                <w:bCs/>
                <w:sz w:val="20"/>
                <w:szCs w:val="20"/>
              </w:rPr>
              <w:t xml:space="preserve"> (PRIORITETNA TRAŽBINA)</w:t>
            </w:r>
          </w:p>
        </w:tc>
        <w:tc>
          <w:tcPr>
            <w:tcW w:type="dxa" w:w="1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245" w:rsidR="008C4245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53547764092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245" w:rsidR="008C4245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6.108,20</w:t>
            </w:r>
          </w:p>
        </w:tc>
      </w:tr>
      <w:tr w:rsidTr="008C4245" w:rsidR="008C4245">
        <w:trPr>
          <w:trHeight w:val="347"/>
        </w:trPr>
        <w:tc>
          <w:tcPr>
            <w:tcW w:type="dxa" w:w="10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245" w:rsidR="008C4245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81</w:t>
            </w:r>
          </w:p>
        </w:tc>
        <w:tc>
          <w:tcPr>
            <w:tcW w:type="dxa" w:w="41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245" w:rsidR="008C4245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MARINA ŠIROKI </w:t>
            </w:r>
            <w:r>
              <w:rPr>
                <w:rFonts w:eastAsia="Times New Roman"/>
                <w:b/>
                <w:bCs/>
                <w:sz w:val="20"/>
                <w:szCs w:val="20"/>
              </w:rPr>
              <w:t xml:space="preserve"> (PRIORITETNA TRAŽBINA)</w:t>
            </w:r>
          </w:p>
        </w:tc>
        <w:tc>
          <w:tcPr>
            <w:tcW w:type="dxa" w:w="1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245" w:rsidR="008C4245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89410833727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245" w:rsidR="008C4245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3.218,54</w:t>
            </w:r>
          </w:p>
        </w:tc>
      </w:tr>
      <w:tr w:rsidTr="008C4245" w:rsidR="008C4245">
        <w:trPr>
          <w:trHeight w:val="347"/>
        </w:trPr>
        <w:tc>
          <w:tcPr>
            <w:tcW w:type="dxa" w:w="10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245" w:rsidR="008C4245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82</w:t>
            </w:r>
          </w:p>
        </w:tc>
        <w:tc>
          <w:tcPr>
            <w:tcW w:type="dxa" w:w="41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245" w:rsidR="008C4245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ŽELJKICA VITELIĆ  </w:t>
            </w:r>
            <w:r>
              <w:rPr>
                <w:rFonts w:eastAsia="Times New Roman"/>
                <w:b/>
                <w:bCs/>
                <w:sz w:val="20"/>
                <w:szCs w:val="20"/>
              </w:rPr>
              <w:t>(PRIORITETNA TRAŽBINA)</w:t>
            </w:r>
          </w:p>
        </w:tc>
        <w:tc>
          <w:tcPr>
            <w:tcW w:type="dxa" w:w="1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245" w:rsidR="008C4245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35294193226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245" w:rsidR="008C4245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3.160,60</w:t>
            </w:r>
          </w:p>
        </w:tc>
      </w:tr>
      <w:tr w:rsidTr="008C4245" w:rsidR="008C4245">
        <w:trPr>
          <w:trHeight w:val="347"/>
        </w:trPr>
        <w:tc>
          <w:tcPr>
            <w:tcW w:type="dxa" w:w="10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245" w:rsidR="008C4245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83</w:t>
            </w:r>
          </w:p>
        </w:tc>
        <w:tc>
          <w:tcPr>
            <w:tcW w:type="dxa" w:w="41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245" w:rsidR="008C4245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JADRANKA VOJNOVIĆ </w:t>
            </w:r>
            <w:r>
              <w:rPr>
                <w:rFonts w:eastAsia="Times New Roman"/>
                <w:b/>
                <w:bCs/>
                <w:sz w:val="20"/>
                <w:szCs w:val="20"/>
              </w:rPr>
              <w:t xml:space="preserve"> (PRIORITETNA TRAŽBINA)</w:t>
            </w:r>
          </w:p>
        </w:tc>
        <w:tc>
          <w:tcPr>
            <w:tcW w:type="dxa" w:w="1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245" w:rsidR="008C4245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10043185363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245" w:rsidR="008C4245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38.000,00</w:t>
            </w:r>
          </w:p>
        </w:tc>
      </w:tr>
      <w:tr w:rsidTr="008C4245" w:rsidR="008C4245">
        <w:trPr>
          <w:trHeight w:val="347"/>
        </w:trPr>
        <w:tc>
          <w:tcPr>
            <w:tcW w:type="dxa" w:w="10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245" w:rsidR="008C4245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84</w:t>
            </w:r>
          </w:p>
        </w:tc>
        <w:tc>
          <w:tcPr>
            <w:tcW w:type="dxa" w:w="41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245" w:rsidR="008C4245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JURAJ VOJNOVIĆ  </w:t>
            </w:r>
            <w:r>
              <w:rPr>
                <w:rFonts w:eastAsia="Times New Roman"/>
                <w:b/>
                <w:bCs/>
                <w:sz w:val="20"/>
                <w:szCs w:val="20"/>
              </w:rPr>
              <w:t>(PRIORITETNA TRAŽBINA)</w:t>
            </w:r>
          </w:p>
        </w:tc>
        <w:tc>
          <w:tcPr>
            <w:tcW w:type="dxa" w:w="1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245" w:rsidR="008C4245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54085078733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245" w:rsidR="008C4245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6.227,08</w:t>
            </w:r>
          </w:p>
        </w:tc>
      </w:tr>
      <w:tr w:rsidTr="008C4245" w:rsidR="008C4245">
        <w:trPr>
          <w:trHeight w:val="347"/>
        </w:trPr>
        <w:tc>
          <w:tcPr>
            <w:tcW w:type="dxa" w:w="10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245" w:rsidR="008C4245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85</w:t>
            </w:r>
          </w:p>
        </w:tc>
        <w:tc>
          <w:tcPr>
            <w:tcW w:type="dxa" w:w="41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245" w:rsidR="008C4245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MIRKO VOJNOVIĆ  </w:t>
            </w:r>
            <w:r>
              <w:rPr>
                <w:rFonts w:eastAsia="Times New Roman"/>
                <w:b/>
                <w:bCs/>
                <w:sz w:val="20"/>
                <w:szCs w:val="20"/>
              </w:rPr>
              <w:t>(PRIORITETNA TRAŽBINA)</w:t>
            </w:r>
          </w:p>
        </w:tc>
        <w:tc>
          <w:tcPr>
            <w:tcW w:type="dxa" w:w="1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245" w:rsidR="008C4245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81898769219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245" w:rsidR="008C4245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28.097,76</w:t>
            </w:r>
          </w:p>
        </w:tc>
      </w:tr>
      <w:tr w:rsidTr="008C4245" w:rsidR="008C4245">
        <w:trPr>
          <w:trHeight w:val="169"/>
        </w:trPr>
        <w:tc>
          <w:tcPr>
            <w:tcW w:type="dxa" w:w="10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center"/>
            <w:hideMark/>
          </w:tcPr>
          <w:p w:rsidRDefault="008C4245" w:rsidR="008C4245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type="dxa" w:w="41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center"/>
            <w:hideMark/>
          </w:tcPr>
          <w:p w:rsidRDefault="008C4245" w:rsidR="008C4245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UKUPNO:</w:t>
            </w:r>
          </w:p>
        </w:tc>
        <w:tc>
          <w:tcPr>
            <w:tcW w:type="dxa" w:w="1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center"/>
            <w:hideMark/>
          </w:tcPr>
          <w:p w:rsidRDefault="008C4245" w:rsidR="008C4245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center"/>
            <w:hideMark/>
          </w:tcPr>
          <w:p w:rsidRDefault="008C4245" w:rsidR="008C4245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140.424,07</w:t>
            </w:r>
          </w:p>
        </w:tc>
      </w:tr>
    </w:tbl>
    <w:p w:rsidRDefault="00376DB3" w:rsidP="00C6737C" w:rsidR="00376DB3">
      <w:pPr>
        <w:spacing w:lineRule="auto" w:line="360"/>
        <w:jc w:val="both"/>
      </w:pPr>
    </w:p>
    <w:p w:rsidRDefault="00377D92" w:rsidP="00C6737C" w:rsidR="00377D92">
      <w:pPr>
        <w:spacing w:lineRule="auto" w:line="360"/>
        <w:jc w:val="both"/>
      </w:pPr>
    </w:p>
    <w:p w:rsidRDefault="00C6737C" w:rsidP="00C6737C" w:rsidR="00C6737C">
      <w:pPr>
        <w:spacing w:lineRule="auto" w:line="360"/>
        <w:jc w:val="both"/>
      </w:pPr>
      <w:r>
        <w:t>Prava radnika isključena su iz postupka predstečajne nagodbe i moraju se prioritetno  podmiriti što znači da postupak predstečajne nagodbe ne utječe na namirenje</w:t>
      </w:r>
      <w:r w:rsidR="00ED0EDF">
        <w:t xml:space="preserve"> potraživanja radnika već će ona biti namirena</w:t>
      </w:r>
      <w:r>
        <w:t xml:space="preserve"> iz tekućeg poslovanja. </w:t>
      </w:r>
    </w:p>
    <w:p w:rsidRDefault="00376DB3" w:rsidP="003642EF" w:rsidR="00376DB3">
      <w:pPr>
        <w:spacing w:lineRule="auto" w:line="360"/>
        <w:jc w:val="both"/>
      </w:pPr>
    </w:p>
    <w:p w:rsidRDefault="00C6737C" w:rsidP="00E268BF" w:rsidR="00C6737C" w:rsidRPr="00E268BF">
      <w:pPr>
        <w:spacing w:lineRule="auto" w:line="360"/>
        <w:jc w:val="both"/>
      </w:pPr>
      <w:r w:rsidRPr="00376DB3">
        <w:t>Efekt financijskog restrukturir</w:t>
      </w:r>
      <w:r w:rsidR="00ED0EDF" w:rsidRPr="00376DB3">
        <w:t>anja očekuje se kroz poček od 12</w:t>
      </w:r>
      <w:r w:rsidRPr="00376DB3">
        <w:t xml:space="preserve"> mjeseci za grupu </w:t>
      </w:r>
      <w:r w:rsidR="00402132" w:rsidRPr="00376DB3">
        <w:t xml:space="preserve">neosiguranih </w:t>
      </w:r>
      <w:r w:rsidR="000B3729" w:rsidRPr="00376DB3">
        <w:t>vjerovnika  i</w:t>
      </w:r>
      <w:r w:rsidR="00DB4B5E" w:rsidRPr="00376DB3">
        <w:t xml:space="preserve"> za grupu </w:t>
      </w:r>
      <w:r w:rsidR="00E268BF">
        <w:t>razlučnih</w:t>
      </w:r>
      <w:r w:rsidR="00402132" w:rsidRPr="00376DB3">
        <w:t xml:space="preserve"> </w:t>
      </w:r>
      <w:r w:rsidR="00DB4B5E" w:rsidRPr="00376DB3">
        <w:t xml:space="preserve"> vjerovnika</w:t>
      </w:r>
      <w:r w:rsidRPr="00376DB3">
        <w:t>, čime će se društvu omogućiti ponovno uspostavljanje likvidnosti kroz dovršetak ugovorenih poslova</w:t>
      </w:r>
      <w:r w:rsidR="0014542A">
        <w:t xml:space="preserve"> i </w:t>
      </w:r>
      <w:r w:rsidRPr="00376DB3">
        <w:t xml:space="preserve"> </w:t>
      </w:r>
      <w:r w:rsidR="0014542A">
        <w:t>naplatu</w:t>
      </w:r>
      <w:r w:rsidRPr="00376DB3">
        <w:t xml:space="preserve"> </w:t>
      </w:r>
      <w:r w:rsidR="00F57095" w:rsidRPr="00376DB3">
        <w:t xml:space="preserve">potraživanja u iznosu od </w:t>
      </w:r>
      <w:r w:rsidR="00E268BF" w:rsidRPr="00E268BF">
        <w:t xml:space="preserve">281.022 </w:t>
      </w:r>
      <w:r w:rsidR="00376DB3" w:rsidRPr="00E268BF">
        <w:t xml:space="preserve">kn. </w:t>
      </w:r>
      <w:r w:rsidRPr="00376DB3">
        <w:t xml:space="preserve">Kroz otpis obveza očekuje se financijsko rasterećenje u iznosu od </w:t>
      </w:r>
      <w:r w:rsidR="00E268BF" w:rsidRPr="005248A3">
        <w:t xml:space="preserve">835.307,17 </w:t>
      </w:r>
      <w:r w:rsidRPr="00376DB3">
        <w:t>kn</w:t>
      </w:r>
      <w:r w:rsidR="0014542A">
        <w:t xml:space="preserve">. Sve ovo </w:t>
      </w:r>
      <w:r w:rsidRPr="00376DB3">
        <w:t>omogućiti</w:t>
      </w:r>
      <w:r w:rsidR="0014542A">
        <w:t xml:space="preserve"> će </w:t>
      </w:r>
      <w:r w:rsidR="00E268BF">
        <w:t>obrtu</w:t>
      </w:r>
      <w:r w:rsidR="0014542A">
        <w:t xml:space="preserve"> </w:t>
      </w:r>
      <w:r w:rsidRPr="00376DB3">
        <w:t xml:space="preserve"> lakše vraćanje </w:t>
      </w:r>
      <w:r w:rsidR="0014542A">
        <w:t xml:space="preserve">ostatka </w:t>
      </w:r>
      <w:r w:rsidRPr="00376DB3">
        <w:t>obveza.</w:t>
      </w:r>
    </w:p>
    <w:p w:rsidRDefault="00E268BF" w:rsidR="00E268BF">
      <w:pPr>
        <w:rPr>
          <w:b/>
          <w:color w:themeColor="accent1" w:val="4F81BD"/>
        </w:rPr>
      </w:pPr>
      <w:r>
        <w:br w:type="page"/>
      </w:r>
    </w:p>
    <w:p w:rsidRDefault="00614A2B" w:rsidP="009B53F6" w:rsidR="00C259F4">
      <w:pPr>
        <w:pStyle w:val="Naslov1"/>
      </w:pPr>
      <w:bookmarkStart w:name="_Toc462747750" w:id="33"/>
      <w:r>
        <w:lastRenderedPageBreak/>
        <w:t xml:space="preserve">3.1.   </w:t>
      </w:r>
      <w:r w:rsidR="00E4173B" w:rsidRPr="00E4173B">
        <w:t>Izračun financijskih mjera na manj</w:t>
      </w:r>
      <w:r w:rsidR="0008374C">
        <w:t>a</w:t>
      </w:r>
      <w:r w:rsidR="00E4173B" w:rsidRPr="00E4173B">
        <w:t>k likvidnih sredstava</w:t>
      </w:r>
      <w:bookmarkEnd w:id="33"/>
      <w:r w:rsidR="00E4173B" w:rsidRPr="00E4173B">
        <w:t xml:space="preserve"> </w:t>
      </w:r>
    </w:p>
    <w:p w:rsidRDefault="00E4173B" w:rsidP="00E4173B" w:rsidR="00E4173B"/>
    <w:tbl>
      <w:tblPr>
        <w:tblW w:type="dxa" w:w="7588"/>
        <w:tblInd w:type="dxa" w:w="-48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791"/>
        <w:gridCol w:w="1797"/>
      </w:tblGrid>
      <w:tr w:rsidTr="00CA5264" w:rsidR="00CA5264">
        <w:trPr>
          <w:trHeight w:val="780"/>
        </w:trPr>
        <w:tc>
          <w:tcPr>
            <w:tcW w:type="dxa" w:w="5791"/>
            <w:shd w:fill="C5D9F1" w:color="000000" w:val="clear"/>
            <w:vAlign w:val="center"/>
            <w:hideMark/>
          </w:tcPr>
          <w:p w:rsidRDefault="00CA5264" w:rsidR="00CA5264">
            <w:pPr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</w:rPr>
              <w:t>Naziv pozicije</w:t>
            </w:r>
          </w:p>
        </w:tc>
        <w:tc>
          <w:tcPr>
            <w:tcW w:type="dxa" w:w="1797"/>
            <w:shd w:fill="C5D9F1" w:color="000000" w:val="clear"/>
            <w:vAlign w:val="center"/>
            <w:hideMark/>
          </w:tcPr>
          <w:p w:rsidRDefault="00CA5264" w:rsidR="00CA5264">
            <w:pPr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</w:rPr>
              <w:t>Tekuća godina</w:t>
            </w:r>
            <w:r>
              <w:rPr>
                <w:rFonts w:cs="MingLiU" w:eastAsia="MingLiU" w:hAnsi="MingLiU" w:ascii="MingLiU"/>
                <w:b/>
                <w:bCs/>
                <w:sz w:val="20"/>
                <w:szCs w:val="20"/>
              </w:rPr>
              <w:br/>
            </w:r>
            <w:r>
              <w:rPr>
                <w:rFonts w:cs="Arial" w:eastAsia="Times New Roman" w:hAnsi="Arial" w:ascii="Arial"/>
                <w:b/>
                <w:bCs/>
                <w:sz w:val="20"/>
                <w:szCs w:val="20"/>
              </w:rPr>
              <w:t>(neto)</w:t>
            </w:r>
          </w:p>
        </w:tc>
      </w:tr>
      <w:tr w:rsidTr="00CA5264" w:rsidR="00CA5264">
        <w:trPr>
          <w:gridAfter w:val="1"/>
          <w:wAfter w:type="dxa" w:w="1797"/>
          <w:trHeight w:val="280"/>
        </w:trPr>
        <w:tc>
          <w:tcPr>
            <w:tcW w:type="dxa" w:w="5791"/>
            <w:shd w:fill="C5D9F1" w:color="000000" w:val="clear"/>
            <w:vAlign w:val="center"/>
            <w:hideMark/>
          </w:tcPr>
          <w:p w:rsidRDefault="00CA5264" w:rsidR="00CA5264">
            <w:pPr>
              <w:rPr>
                <w:rFonts w:cs="Arial" w:eastAsia="Times New Roman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</w:rPr>
              <w:t>AKTIVA</w:t>
            </w:r>
          </w:p>
        </w:tc>
      </w:tr>
      <w:tr w:rsidTr="00CA5264" w:rsidR="00CA5264">
        <w:trPr>
          <w:trHeight w:val="280"/>
        </w:trPr>
        <w:tc>
          <w:tcPr>
            <w:tcW w:type="dxa" w:w="5791"/>
            <w:shd w:fill="auto" w:color="auto" w:val="clear"/>
            <w:vAlign w:val="center"/>
            <w:hideMark/>
          </w:tcPr>
          <w:p w:rsidRDefault="00CA5264" w:rsidR="00CA5264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1. Ostala potraživanja</w:t>
            </w:r>
          </w:p>
        </w:tc>
        <w:tc>
          <w:tcPr>
            <w:tcW w:type="dxa" w:w="1797"/>
            <w:shd w:fill="auto" w:color="auto" w:val="clear"/>
            <w:noWrap/>
            <w:vAlign w:val="center"/>
            <w:hideMark/>
          </w:tcPr>
          <w:p w:rsidRDefault="00CA5264" w:rsidR="00CA5264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26.748</w:t>
            </w:r>
          </w:p>
        </w:tc>
      </w:tr>
      <w:tr w:rsidTr="00CA5264" w:rsidR="00CA5264">
        <w:trPr>
          <w:trHeight w:val="280"/>
        </w:trPr>
        <w:tc>
          <w:tcPr>
            <w:tcW w:type="dxa" w:w="5791"/>
            <w:shd w:fill="auto" w:color="auto" w:val="clear"/>
            <w:vAlign w:val="center"/>
            <w:hideMark/>
          </w:tcPr>
          <w:p w:rsidRDefault="00CA5264" w:rsidR="00CA5264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2. Sirovine i materijal</w:t>
            </w:r>
          </w:p>
        </w:tc>
        <w:tc>
          <w:tcPr>
            <w:tcW w:type="dxa" w:w="1797"/>
            <w:shd w:fill="auto" w:color="auto" w:val="clear"/>
            <w:noWrap/>
            <w:vAlign w:val="center"/>
            <w:hideMark/>
          </w:tcPr>
          <w:p w:rsidRDefault="00CA5264" w:rsidR="00CA5264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736.212</w:t>
            </w:r>
          </w:p>
        </w:tc>
      </w:tr>
      <w:tr w:rsidTr="00CA5264" w:rsidR="00CA5264">
        <w:trPr>
          <w:trHeight w:val="280"/>
        </w:trPr>
        <w:tc>
          <w:tcPr>
            <w:tcW w:type="dxa" w:w="5791"/>
            <w:shd w:fill="auto" w:color="auto" w:val="clear"/>
            <w:vAlign w:val="center"/>
            <w:hideMark/>
          </w:tcPr>
          <w:p w:rsidRDefault="00CA5264" w:rsidR="00CA5264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3. Gotovi proizvodi</w:t>
            </w:r>
          </w:p>
        </w:tc>
        <w:tc>
          <w:tcPr>
            <w:tcW w:type="dxa" w:w="1797"/>
            <w:shd w:fill="auto" w:color="auto" w:val="clear"/>
            <w:noWrap/>
            <w:vAlign w:val="center"/>
            <w:hideMark/>
          </w:tcPr>
          <w:p w:rsidRDefault="00CA5264" w:rsidR="00CA5264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1.701.715</w:t>
            </w:r>
          </w:p>
        </w:tc>
      </w:tr>
      <w:tr w:rsidTr="00CA5264" w:rsidR="00CA5264">
        <w:trPr>
          <w:trHeight w:val="280"/>
        </w:trPr>
        <w:tc>
          <w:tcPr>
            <w:tcW w:type="dxa" w:w="5791"/>
            <w:shd w:fill="auto" w:color="auto" w:val="clear"/>
            <w:vAlign w:val="center"/>
            <w:hideMark/>
          </w:tcPr>
          <w:p w:rsidRDefault="00CA5264" w:rsidR="00CA5264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4. Trgovačka roba</w:t>
            </w:r>
          </w:p>
        </w:tc>
        <w:tc>
          <w:tcPr>
            <w:tcW w:type="dxa" w:w="1797"/>
            <w:shd w:fill="auto" w:color="auto" w:val="clear"/>
            <w:noWrap/>
            <w:vAlign w:val="center"/>
            <w:hideMark/>
          </w:tcPr>
          <w:p w:rsidRDefault="00CA5264" w:rsidR="00CA5264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46.989</w:t>
            </w:r>
          </w:p>
        </w:tc>
      </w:tr>
      <w:tr w:rsidTr="00CA5264" w:rsidR="00CA5264">
        <w:trPr>
          <w:trHeight w:val="280"/>
        </w:trPr>
        <w:tc>
          <w:tcPr>
            <w:tcW w:type="dxa" w:w="5791"/>
            <w:shd w:fill="auto" w:color="auto" w:val="clear"/>
            <w:vAlign w:val="center"/>
            <w:hideMark/>
          </w:tcPr>
          <w:p w:rsidRDefault="00CA5264" w:rsidR="00CA5264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5. Potraživanja od kupaca</w:t>
            </w:r>
          </w:p>
        </w:tc>
        <w:tc>
          <w:tcPr>
            <w:tcW w:type="dxa" w:w="1797"/>
            <w:shd w:fill="auto" w:color="auto" w:val="clear"/>
            <w:noWrap/>
            <w:vAlign w:val="center"/>
            <w:hideMark/>
          </w:tcPr>
          <w:p w:rsidRDefault="00CA5264" w:rsidR="00CA5264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227.619</w:t>
            </w:r>
          </w:p>
        </w:tc>
      </w:tr>
      <w:tr w:rsidTr="00CA5264" w:rsidR="00CA5264">
        <w:trPr>
          <w:trHeight w:val="280"/>
        </w:trPr>
        <w:tc>
          <w:tcPr>
            <w:tcW w:type="dxa" w:w="5791"/>
            <w:shd w:fill="auto" w:color="auto" w:val="clear"/>
            <w:vAlign w:val="center"/>
            <w:hideMark/>
          </w:tcPr>
          <w:p w:rsidRDefault="00CA5264" w:rsidR="00CA5264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6. Potraživanja od zaposlenika i članova poduzetnika</w:t>
            </w:r>
          </w:p>
        </w:tc>
        <w:tc>
          <w:tcPr>
            <w:tcW w:type="dxa" w:w="1797"/>
            <w:shd w:fill="auto" w:color="auto" w:val="clear"/>
            <w:noWrap/>
            <w:vAlign w:val="center"/>
            <w:hideMark/>
          </w:tcPr>
          <w:p w:rsidRDefault="00CA5264" w:rsidR="00CA5264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23.945</w:t>
            </w:r>
          </w:p>
        </w:tc>
      </w:tr>
      <w:tr w:rsidTr="00CA5264" w:rsidR="00CA5264">
        <w:trPr>
          <w:trHeight w:val="280"/>
        </w:trPr>
        <w:tc>
          <w:tcPr>
            <w:tcW w:type="dxa" w:w="5791"/>
            <w:shd w:fill="auto" w:color="auto" w:val="clear"/>
            <w:vAlign w:val="center"/>
            <w:hideMark/>
          </w:tcPr>
          <w:p w:rsidRDefault="00CA5264" w:rsidR="00CA5264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7. Potraživanja od države i drugih institucija</w:t>
            </w:r>
          </w:p>
        </w:tc>
        <w:tc>
          <w:tcPr>
            <w:tcW w:type="dxa" w:w="1797"/>
            <w:shd w:fill="auto" w:color="auto" w:val="clear"/>
            <w:noWrap/>
            <w:vAlign w:val="center"/>
            <w:hideMark/>
          </w:tcPr>
          <w:p w:rsidRDefault="00CA5264" w:rsidR="00CA5264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14.626</w:t>
            </w:r>
          </w:p>
        </w:tc>
      </w:tr>
      <w:tr w:rsidTr="00CA5264" w:rsidR="00CA5264">
        <w:trPr>
          <w:trHeight w:val="303"/>
        </w:trPr>
        <w:tc>
          <w:tcPr>
            <w:tcW w:type="dxa" w:w="5791"/>
            <w:shd w:fill="auto" w:color="auto" w:val="clear"/>
            <w:vAlign w:val="center"/>
            <w:hideMark/>
          </w:tcPr>
          <w:p w:rsidRDefault="00CA5264" w:rsidR="00CA5264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8. Ostala potraživanja</w:t>
            </w:r>
          </w:p>
        </w:tc>
        <w:tc>
          <w:tcPr>
            <w:tcW w:type="dxa" w:w="1797"/>
            <w:shd w:fill="auto" w:color="auto" w:val="clear"/>
            <w:noWrap/>
            <w:vAlign w:val="center"/>
            <w:hideMark/>
          </w:tcPr>
          <w:p w:rsidRDefault="00CA5264" w:rsidR="00CA5264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14.832</w:t>
            </w:r>
          </w:p>
        </w:tc>
      </w:tr>
      <w:tr w:rsidTr="00CA5264" w:rsidR="00CA5264">
        <w:trPr>
          <w:trHeight w:val="280"/>
        </w:trPr>
        <w:tc>
          <w:tcPr>
            <w:tcW w:type="dxa" w:w="5791"/>
            <w:shd w:fill="auto" w:color="auto" w:val="clear"/>
            <w:vAlign w:val="center"/>
            <w:hideMark/>
          </w:tcPr>
          <w:p w:rsidRDefault="00CA5264" w:rsidR="00CA5264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9. Dani zajmovi, depoziti i slično</w:t>
            </w:r>
          </w:p>
        </w:tc>
        <w:tc>
          <w:tcPr>
            <w:tcW w:type="dxa" w:w="1797"/>
            <w:shd w:fill="auto" w:color="auto" w:val="clear"/>
            <w:noWrap/>
            <w:vAlign w:val="center"/>
            <w:hideMark/>
          </w:tcPr>
          <w:p w:rsidRDefault="00CA5264" w:rsidR="00CA5264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510</w:t>
            </w:r>
          </w:p>
        </w:tc>
      </w:tr>
      <w:tr w:rsidTr="00CA5264" w:rsidR="00CA5264">
        <w:trPr>
          <w:trHeight w:val="280"/>
        </w:trPr>
        <w:tc>
          <w:tcPr>
            <w:tcW w:type="dxa" w:w="5791"/>
            <w:shd w:fill="auto" w:color="auto" w:val="clear"/>
            <w:vAlign w:val="center"/>
            <w:hideMark/>
          </w:tcPr>
          <w:p w:rsidRDefault="00CA5264" w:rsidR="00CA5264">
            <w:pPr>
              <w:rPr>
                <w:rFonts w:cs="Arial" w:eastAsia="Times New Roman" w:hAnsi="Arial" w:ascii="Arial"/>
                <w:color w:val="0000D4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color w:val="0000D4"/>
                <w:sz w:val="20"/>
                <w:szCs w:val="20"/>
              </w:rPr>
              <w:t>10. NOVAC U BANCI I BLAGAJNI</w:t>
            </w:r>
          </w:p>
        </w:tc>
        <w:tc>
          <w:tcPr>
            <w:tcW w:type="dxa" w:w="1797"/>
            <w:shd w:fill="auto" w:color="auto" w:val="clear"/>
            <w:noWrap/>
            <w:vAlign w:val="center"/>
            <w:hideMark/>
          </w:tcPr>
          <w:p w:rsidRDefault="00CA5264" w:rsidR="00CA5264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1.300</w:t>
            </w:r>
          </w:p>
        </w:tc>
      </w:tr>
      <w:tr w:rsidTr="00CA5264" w:rsidR="00CA5264">
        <w:trPr>
          <w:trHeight w:val="280"/>
        </w:trPr>
        <w:tc>
          <w:tcPr>
            <w:tcW w:type="dxa" w:w="5791"/>
            <w:shd w:fill="C5D9F1" w:color="000000" w:val="clear"/>
            <w:vAlign w:val="center"/>
            <w:hideMark/>
          </w:tcPr>
          <w:p w:rsidRDefault="00CA5264" w:rsidR="00CA5264">
            <w:pPr>
              <w:rPr>
                <w:rFonts w:cs="Arial" w:eastAsia="Times New Roman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</w:rPr>
              <w:t>UKUPNO</w:t>
            </w:r>
          </w:p>
        </w:tc>
        <w:tc>
          <w:tcPr>
            <w:tcW w:type="dxa" w:w="1797"/>
            <w:shd w:fill="C5D9F1" w:color="000000" w:val="clear"/>
            <w:noWrap/>
            <w:vAlign w:val="center"/>
            <w:hideMark/>
          </w:tcPr>
          <w:p w:rsidRDefault="00CA5264" w:rsidR="00CA5264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2.794.496</w:t>
            </w:r>
          </w:p>
        </w:tc>
      </w:tr>
      <w:tr w:rsidTr="00CA5264" w:rsidR="00CA5264">
        <w:trPr>
          <w:gridAfter w:val="1"/>
          <w:wAfter w:type="dxa" w:w="1797"/>
          <w:trHeight w:val="280"/>
        </w:trPr>
        <w:tc>
          <w:tcPr>
            <w:tcW w:type="dxa" w:w="5791"/>
            <w:shd w:fill="C0C0C0" w:color="000000" w:val="clear"/>
            <w:vAlign w:val="center"/>
            <w:hideMark/>
          </w:tcPr>
          <w:p w:rsidRDefault="00CA5264" w:rsidR="00CA5264">
            <w:pPr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</w:rPr>
              <w:t>PASIVA</w:t>
            </w:r>
          </w:p>
        </w:tc>
      </w:tr>
      <w:tr w:rsidTr="00CA5264" w:rsidR="00CA5264">
        <w:trPr>
          <w:trHeight w:val="280"/>
        </w:trPr>
        <w:tc>
          <w:tcPr>
            <w:tcW w:type="dxa" w:w="5791"/>
            <w:shd w:fill="auto" w:color="auto" w:val="clear"/>
            <w:vAlign w:val="center"/>
            <w:hideMark/>
          </w:tcPr>
          <w:p w:rsidRDefault="00CA5264" w:rsidR="00CA5264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1. Obveze prema bankama i drugim financijskim institucijama</w:t>
            </w:r>
          </w:p>
        </w:tc>
        <w:tc>
          <w:tcPr>
            <w:tcW w:type="dxa" w:w="1797"/>
            <w:shd w:fill="auto" w:color="000000" w:val="clear"/>
            <w:noWrap/>
            <w:vAlign w:val="center"/>
            <w:hideMark/>
          </w:tcPr>
          <w:p w:rsidRDefault="00CA5264" w:rsidR="00CA5264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1.090.690</w:t>
            </w:r>
          </w:p>
        </w:tc>
      </w:tr>
      <w:tr w:rsidTr="00CA5264" w:rsidR="00CA5264">
        <w:trPr>
          <w:trHeight w:val="280"/>
        </w:trPr>
        <w:tc>
          <w:tcPr>
            <w:tcW w:type="dxa" w:w="5791"/>
            <w:shd w:fill="auto" w:color="auto" w:val="clear"/>
            <w:vAlign w:val="center"/>
            <w:hideMark/>
          </w:tcPr>
          <w:p w:rsidRDefault="00CA5264" w:rsidR="00CA5264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2. Obveze za predujmove</w:t>
            </w:r>
          </w:p>
        </w:tc>
        <w:tc>
          <w:tcPr>
            <w:tcW w:type="dxa" w:w="1797"/>
            <w:shd w:fill="auto" w:color="000000" w:val="clear"/>
            <w:noWrap/>
            <w:vAlign w:val="center"/>
            <w:hideMark/>
          </w:tcPr>
          <w:p w:rsidRDefault="00CA5264" w:rsidR="00CA5264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876</w:t>
            </w:r>
          </w:p>
        </w:tc>
      </w:tr>
      <w:tr w:rsidTr="00CA5264" w:rsidR="00CA5264">
        <w:trPr>
          <w:trHeight w:val="280"/>
        </w:trPr>
        <w:tc>
          <w:tcPr>
            <w:tcW w:type="dxa" w:w="5791"/>
            <w:shd w:fill="auto" w:color="auto" w:val="clear"/>
            <w:vAlign w:val="center"/>
            <w:hideMark/>
          </w:tcPr>
          <w:p w:rsidRDefault="00CA5264" w:rsidR="00CA5264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3. Obveze prema dobavljačima</w:t>
            </w:r>
          </w:p>
        </w:tc>
        <w:tc>
          <w:tcPr>
            <w:tcW w:type="dxa" w:w="1797"/>
            <w:shd w:fill="auto" w:color="000000" w:val="clear"/>
            <w:noWrap/>
            <w:vAlign w:val="center"/>
            <w:hideMark/>
          </w:tcPr>
          <w:p w:rsidRDefault="00CA5264" w:rsidR="00CA5264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1.445.340</w:t>
            </w:r>
          </w:p>
        </w:tc>
      </w:tr>
      <w:tr w:rsidTr="00CA5264" w:rsidR="00CA5264">
        <w:trPr>
          <w:trHeight w:val="280"/>
        </w:trPr>
        <w:tc>
          <w:tcPr>
            <w:tcW w:type="dxa" w:w="5791"/>
            <w:shd w:fill="auto" w:color="auto" w:val="clear"/>
            <w:vAlign w:val="center"/>
            <w:hideMark/>
          </w:tcPr>
          <w:p w:rsidRDefault="00CA5264" w:rsidR="00CA5264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4. Obveze prema zaposlenicima</w:t>
            </w:r>
          </w:p>
        </w:tc>
        <w:tc>
          <w:tcPr>
            <w:tcW w:type="dxa" w:w="1797"/>
            <w:shd w:fill="auto" w:color="000000" w:val="clear"/>
            <w:noWrap/>
            <w:vAlign w:val="center"/>
            <w:hideMark/>
          </w:tcPr>
          <w:p w:rsidRDefault="00CA5264" w:rsidR="00CA5264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140.425</w:t>
            </w:r>
          </w:p>
        </w:tc>
      </w:tr>
      <w:tr w:rsidTr="00CA5264" w:rsidR="00CA5264">
        <w:trPr>
          <w:trHeight w:val="280"/>
        </w:trPr>
        <w:tc>
          <w:tcPr>
            <w:tcW w:type="dxa" w:w="5791"/>
            <w:shd w:fill="auto" w:color="auto" w:val="clear"/>
            <w:vAlign w:val="center"/>
            <w:hideMark/>
          </w:tcPr>
          <w:p w:rsidRDefault="00CA5264" w:rsidR="00CA5264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5. Obveze za poreze, doprinose i slična davanja</w:t>
            </w:r>
          </w:p>
        </w:tc>
        <w:tc>
          <w:tcPr>
            <w:tcW w:type="dxa" w:w="1797"/>
            <w:shd w:fill="auto" w:color="000000" w:val="clear"/>
            <w:noWrap/>
            <w:vAlign w:val="center"/>
            <w:hideMark/>
          </w:tcPr>
          <w:p w:rsidRDefault="00CA5264" w:rsidR="00CA5264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235.071</w:t>
            </w:r>
          </w:p>
        </w:tc>
      </w:tr>
      <w:tr w:rsidTr="00CA5264" w:rsidR="00CA5264">
        <w:trPr>
          <w:trHeight w:val="280"/>
        </w:trPr>
        <w:tc>
          <w:tcPr>
            <w:tcW w:type="dxa" w:w="5791"/>
            <w:shd w:fill="C5D9F1" w:color="000000" w:val="clear"/>
            <w:vAlign w:val="center"/>
            <w:hideMark/>
          </w:tcPr>
          <w:p w:rsidRDefault="00CA5264" w:rsidR="00CA5264">
            <w:pPr>
              <w:rPr>
                <w:rFonts w:cs="Arial" w:eastAsia="Times New Roman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</w:rPr>
              <w:t>UKUPNO:</w:t>
            </w:r>
          </w:p>
        </w:tc>
        <w:tc>
          <w:tcPr>
            <w:tcW w:type="dxa" w:w="1797"/>
            <w:shd w:fill="C5D9F1" w:color="000000" w:val="clear"/>
            <w:noWrap/>
            <w:vAlign w:val="center"/>
            <w:hideMark/>
          </w:tcPr>
          <w:p w:rsidRDefault="00CA5264" w:rsidR="00CA5264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2.912.402</w:t>
            </w:r>
          </w:p>
        </w:tc>
      </w:tr>
      <w:tr w:rsidTr="00CA5264" w:rsidR="00CA5264">
        <w:trPr>
          <w:trHeight w:val="280"/>
        </w:trPr>
        <w:tc>
          <w:tcPr>
            <w:tcW w:type="dxa" w:w="5791"/>
            <w:shd w:fill="auto" w:color="auto" w:val="clear"/>
            <w:noWrap/>
            <w:vAlign w:val="bottom"/>
            <w:hideMark/>
          </w:tcPr>
          <w:p w:rsidRDefault="00CA5264" w:rsidR="00CA5264">
            <w:pPr>
              <w:rPr>
                <w:rFonts w:eastAsia="Times New Roman" w:hAnsi="Calibri" w:ascii="Calibri"/>
                <w:color w:val="000000"/>
                <w:sz w:val="20"/>
                <w:szCs w:val="20"/>
              </w:rPr>
            </w:pPr>
            <w:r>
              <w:rPr>
                <w:rFonts w:eastAsia="Times New Roman" w:hAnsi="Calibri" w:ascii="Calibri"/>
                <w:color w:val="000000"/>
                <w:sz w:val="20"/>
                <w:szCs w:val="20"/>
              </w:rPr>
              <w:t>Efekt financijskog restrukturiranja:</w:t>
            </w:r>
          </w:p>
        </w:tc>
        <w:tc>
          <w:tcPr>
            <w:tcW w:type="dxa" w:w="1797"/>
            <w:shd w:fill="auto" w:color="auto" w:val="clear"/>
            <w:noWrap/>
            <w:vAlign w:val="bottom"/>
            <w:hideMark/>
          </w:tcPr>
          <w:p w:rsidRDefault="00CA5264" w:rsidR="00CA5264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835.307,17</w:t>
            </w:r>
          </w:p>
        </w:tc>
      </w:tr>
      <w:tr w:rsidTr="00CA5264" w:rsidR="00CA5264">
        <w:trPr>
          <w:trHeight w:val="280"/>
        </w:trPr>
        <w:tc>
          <w:tcPr>
            <w:tcW w:type="dxa" w:w="5791"/>
            <w:shd w:fill="C5D9F1" w:color="000000" w:val="clear"/>
            <w:vAlign w:val="center"/>
            <w:hideMark/>
          </w:tcPr>
          <w:p w:rsidRDefault="00CA5264" w:rsidR="00CA5264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Višak obrtnih sredstva nakon restrukturiranja:</w:t>
            </w:r>
          </w:p>
        </w:tc>
        <w:tc>
          <w:tcPr>
            <w:tcW w:type="dxa" w:w="1797"/>
            <w:shd w:fill="C5D9F1" w:color="000000" w:val="clear"/>
            <w:noWrap/>
            <w:vAlign w:val="bottom"/>
            <w:hideMark/>
          </w:tcPr>
          <w:p w:rsidRDefault="00CA5264" w:rsidR="00CA5264">
            <w:pPr>
              <w:jc w:val="right"/>
              <w:rPr>
                <w:rFonts w:eastAsia="Times New Roman" w:hAnsi="Calibri" w:ascii="Calibri"/>
                <w:color w:val="000000"/>
                <w:sz w:val="20"/>
                <w:szCs w:val="20"/>
              </w:rPr>
            </w:pPr>
            <w:r>
              <w:rPr>
                <w:rFonts w:eastAsia="Times New Roman" w:hAnsi="Calibri" w:ascii="Calibri"/>
                <w:color w:val="000000"/>
                <w:sz w:val="20"/>
                <w:szCs w:val="20"/>
              </w:rPr>
              <w:t>717.401</w:t>
            </w:r>
          </w:p>
        </w:tc>
      </w:tr>
    </w:tbl>
    <w:p w:rsidRDefault="00E268BF" w:rsidP="00E4173B" w:rsidR="00E268BF"/>
    <w:p w:rsidRDefault="00834408" w:rsidP="00834408" w:rsidR="00C259F4" w:rsidRPr="00C259F4">
      <w:pPr>
        <w:spacing w:lineRule="auto" w:line="360"/>
        <w:jc w:val="both"/>
      </w:pPr>
      <w:r>
        <w:t xml:space="preserve">Nakon provedenih mjera financijskog restrukturiranja, </w:t>
      </w:r>
      <w:r w:rsidR="00CA0DB8">
        <w:t>obrt</w:t>
      </w:r>
      <w:r>
        <w:t xml:space="preserve"> će sanirati manjak likvidnih sredstava i nastati će višak obrtnih sredsta</w:t>
      </w:r>
      <w:r w:rsidR="00830BD6">
        <w:t xml:space="preserve">va za </w:t>
      </w:r>
      <w:r w:rsidR="00CA5264">
        <w:t>717.401</w:t>
      </w:r>
      <w:r w:rsidR="00830BD6">
        <w:t xml:space="preserve"> kn, što će </w:t>
      </w:r>
      <w:r>
        <w:t xml:space="preserve"> omogućiti dugoročnu   financijsku likvidnost.</w:t>
      </w:r>
    </w:p>
    <w:p w:rsidRDefault="000239C6" w:rsidP="00DB4B5E" w:rsidR="000239C6">
      <w:pPr>
        <w:spacing w:lineRule="auto" w:line="360"/>
      </w:pPr>
    </w:p>
    <w:p w:rsidRDefault="00E85766" w:rsidP="00DB4B5E" w:rsidR="00E85766">
      <w:pPr>
        <w:spacing w:lineRule="auto" w:line="360"/>
      </w:pPr>
    </w:p>
    <w:p w:rsidRDefault="00E85766" w:rsidP="00DB4B5E" w:rsidR="00E85766">
      <w:pPr>
        <w:spacing w:lineRule="auto" w:line="360"/>
      </w:pPr>
    </w:p>
    <w:p w:rsidRDefault="00E85766" w:rsidP="00DB4B5E" w:rsidR="00E85766" w:rsidRPr="00DB4B5E">
      <w:pPr>
        <w:spacing w:lineRule="auto" w:line="360"/>
      </w:pPr>
    </w:p>
    <w:p w:rsidRDefault="00834408" w:rsidR="00834408">
      <w:pPr>
        <w:rPr>
          <w:b/>
        </w:rPr>
      </w:pPr>
      <w:bookmarkStart w:name="_Toc451235626" w:id="34"/>
      <w:r>
        <w:br w:type="page"/>
      </w:r>
    </w:p>
    <w:p w:rsidRDefault="00F6033D" w:rsidP="009B53F6" w:rsidR="00F422BB" w:rsidRPr="006C1275">
      <w:pPr>
        <w:pStyle w:val="Naslov1"/>
      </w:pPr>
      <w:bookmarkStart w:name="_Toc462747751" w:id="35"/>
      <w:r w:rsidRPr="00B338ED">
        <w:lastRenderedPageBreak/>
        <w:t xml:space="preserve">4. </w:t>
      </w:r>
      <w:r w:rsidR="00A67426" w:rsidRPr="00B338ED">
        <w:t xml:space="preserve">OPIS MJERA </w:t>
      </w:r>
      <w:r w:rsidR="00D13807" w:rsidRPr="00B338ED">
        <w:t>OPERATIVNO</w:t>
      </w:r>
      <w:r w:rsidR="00C70611" w:rsidRPr="00B338ED">
        <w:t>G</w:t>
      </w:r>
      <w:r w:rsidR="00D13807" w:rsidRPr="00B338ED">
        <w:t xml:space="preserve"> REST</w:t>
      </w:r>
      <w:r w:rsidR="00A86B42" w:rsidRPr="00B338ED">
        <w:t>RUKTURIRANJA</w:t>
      </w:r>
      <w:r w:rsidR="00D13807" w:rsidRPr="00B338ED">
        <w:t xml:space="preserve"> </w:t>
      </w:r>
      <w:r w:rsidR="00483326" w:rsidRPr="00B338ED">
        <w:t>I IZRAČUN NJIHOVIH UČINAKA NA POSLOVANJE</w:t>
      </w:r>
      <w:bookmarkEnd w:id="34"/>
      <w:bookmarkEnd w:id="35"/>
    </w:p>
    <w:p w:rsidRDefault="0074413A" w:rsidP="00A47DB2" w:rsidR="0074413A" w:rsidRPr="006C1275">
      <w:pPr>
        <w:pStyle w:val="Tijeloteksta"/>
        <w:spacing w:lineRule="auto" w:line="360"/>
        <w:rPr>
          <w:rFonts w:hAnsi="Times New Roman" w:ascii="Times New Roman"/>
          <w:sz w:val="24"/>
          <w:szCs w:val="24"/>
          <w:lang w:val="hr-HR"/>
        </w:rPr>
      </w:pPr>
    </w:p>
    <w:p w:rsidRDefault="009E63D0" w:rsidP="00F653D2" w:rsidR="0077121E" w:rsidRPr="00F653D2">
      <w:pPr>
        <w:spacing w:lineRule="auto" w:line="360"/>
        <w:jc w:val="both"/>
      </w:pPr>
      <w:r w:rsidRPr="009E63D0">
        <w:t>Osim financijskog r</w:t>
      </w:r>
      <w:r w:rsidR="000B3729">
        <w:t>e</w:t>
      </w:r>
      <w:r w:rsidR="00541559">
        <w:t xml:space="preserve">strukturiranja </w:t>
      </w:r>
      <w:r w:rsidR="00B579ED">
        <w:t xml:space="preserve">u </w:t>
      </w:r>
      <w:r w:rsidRPr="009E63D0">
        <w:t xml:space="preserve">postupku predstečajne nagodbe, čime će se obveze </w:t>
      </w:r>
      <w:r w:rsidR="0027232E">
        <w:t>obrta</w:t>
      </w:r>
      <w:r w:rsidRPr="009E63D0">
        <w:t xml:space="preserve"> reprogamirati na duži vremenski period te time </w:t>
      </w:r>
      <w:r w:rsidR="0027232E">
        <w:t>obrt</w:t>
      </w:r>
      <w:r w:rsidR="00B579ED">
        <w:t xml:space="preserve"> </w:t>
      </w:r>
      <w:r w:rsidRPr="009E63D0">
        <w:t>dovesti u stanje likv</w:t>
      </w:r>
      <w:r w:rsidR="00E325A9">
        <w:t xml:space="preserve">idnosti, </w:t>
      </w:r>
      <w:r w:rsidR="001D5824">
        <w:t>obrt</w:t>
      </w:r>
      <w:r w:rsidR="00B579ED">
        <w:t xml:space="preserve"> </w:t>
      </w:r>
      <w:r w:rsidR="00E325A9">
        <w:t>planira poduzet</w:t>
      </w:r>
      <w:r w:rsidR="00F452D8">
        <w:t>i</w:t>
      </w:r>
      <w:r w:rsidRPr="009E63D0">
        <w:t xml:space="preserve"> i slijedeće mjere operativnog restrukturiranja: </w:t>
      </w:r>
      <w:r w:rsidR="00C53A31" w:rsidRPr="00F653D2">
        <w:t xml:space="preserve"> </w:t>
      </w:r>
    </w:p>
    <w:p w:rsidRDefault="0077121E" w:rsidP="00F653D2" w:rsidR="0077121E" w:rsidRPr="0077121E">
      <w:pPr>
        <w:spacing w:lineRule="auto" w:line="360"/>
        <w:jc w:val="both"/>
      </w:pPr>
    </w:p>
    <w:p w:rsidRDefault="00C53A31" w:rsidP="00F653D2" w:rsidR="00F653D2" w:rsidRPr="00F653D2">
      <w:pPr>
        <w:numPr>
          <w:ilvl w:val="0"/>
          <w:numId w:val="27"/>
        </w:numPr>
        <w:spacing w:lineRule="auto" w:line="360"/>
        <w:jc w:val="both"/>
        <w:rPr>
          <w:lang w:val="hr-HR"/>
        </w:rPr>
      </w:pPr>
      <w:r w:rsidRPr="009E63D0">
        <w:rPr>
          <w:lang w:val="hr-HR"/>
        </w:rPr>
        <w:t xml:space="preserve">Optimizacija radnih procesa </w:t>
      </w:r>
    </w:p>
    <w:p w:rsidRDefault="00C53A31" w:rsidP="00F653D2" w:rsidR="00C53A31">
      <w:pPr>
        <w:spacing w:lineRule="auto" w:line="360"/>
        <w:jc w:val="both"/>
      </w:pPr>
      <w:r w:rsidRPr="00F653D2">
        <w:t>Odnosi se na smanjenje troškova u svim segmentima poslovanja (nab</w:t>
      </w:r>
      <w:r w:rsidR="00997A96" w:rsidRPr="00F653D2">
        <w:t>ava, prodaja, administracija...</w:t>
      </w:r>
      <w:r w:rsidRPr="00F653D2">
        <w:t>) i povećanje iskorištenosti radne snage, ulaganje u nova stručna i upravljačka znanja te kao posljedica svega ovog povećanje efikasnosti</w:t>
      </w:r>
      <w:r w:rsidR="009E63D0" w:rsidRPr="00F653D2">
        <w:t>.</w:t>
      </w:r>
    </w:p>
    <w:p w:rsidRDefault="00B338ED" w:rsidP="00F653D2" w:rsidR="00B338ED">
      <w:pPr>
        <w:spacing w:lineRule="auto" w:line="360"/>
        <w:jc w:val="both"/>
      </w:pPr>
    </w:p>
    <w:p w:rsidRDefault="003E53D3" w:rsidP="003E53D3" w:rsidR="003E53D3">
      <w:pPr>
        <w:pStyle w:val="Odlomakpopisa"/>
        <w:numPr>
          <w:ilvl w:val="0"/>
          <w:numId w:val="12"/>
        </w:numPr>
        <w:spacing w:lineRule="auto" w:line="360"/>
        <w:jc w:val="both"/>
      </w:pPr>
      <w:r>
        <w:t xml:space="preserve">Povećanje broja zaposlenih </w:t>
      </w:r>
    </w:p>
    <w:p w:rsidRDefault="003E53D3" w:rsidP="00253637" w:rsidR="003E53D3">
      <w:pPr>
        <w:spacing w:lineRule="auto" w:line="360"/>
        <w:ind w:right="142"/>
      </w:pPr>
      <w:r>
        <w:t xml:space="preserve">Prije pokretanja postupka predstečajne nagodbe obrt ima dvoje zaposlenih koji pripremaju kolekcije, vode uslužnu  proizvodnju, te rade u prodaji. </w:t>
      </w:r>
      <w:r w:rsidR="00253637">
        <w:t xml:space="preserve">Nakon restrukturiranja obrt planira zapošljavanje barem još </w:t>
      </w:r>
      <w:r w:rsidR="00B338ED">
        <w:t>6</w:t>
      </w:r>
      <w:r w:rsidR="00253637">
        <w:t xml:space="preserve"> djelatnika. </w:t>
      </w:r>
    </w:p>
    <w:p w:rsidRDefault="00B338ED" w:rsidP="00253637" w:rsidR="00B338ED">
      <w:pPr>
        <w:spacing w:lineRule="auto" w:line="360"/>
        <w:ind w:right="142"/>
      </w:pPr>
    </w:p>
    <w:p w:rsidRDefault="00A113BD" w:rsidP="003E53D3" w:rsidR="00A113BD">
      <w:pPr>
        <w:pStyle w:val="Odlomakpopisa"/>
        <w:numPr>
          <w:ilvl w:val="0"/>
          <w:numId w:val="12"/>
        </w:numPr>
        <w:spacing w:lineRule="auto" w:line="360"/>
        <w:jc w:val="both"/>
        <w:rPr>
          <w:color w:themeColor="text1" w:val="000000"/>
        </w:rPr>
      </w:pPr>
      <w:bookmarkStart w:name="_Toc451235627" w:id="36"/>
      <w:bookmarkStart w:name="_Toc131189724" w:id="37"/>
      <w:bookmarkStart w:name="_Toc283111403" w:id="38"/>
      <w:bookmarkStart w:name="_Toc292093929" w:id="39"/>
      <w:r w:rsidRPr="003E53D3">
        <w:rPr>
          <w:color w:themeColor="text1" w:val="000000"/>
        </w:rPr>
        <w:t>Povećanje prihoda</w:t>
      </w:r>
      <w:r w:rsidR="00253637">
        <w:rPr>
          <w:color w:themeColor="text1" w:val="000000"/>
        </w:rPr>
        <w:t xml:space="preserve"> kao posljedica rasta prodaje </w:t>
      </w:r>
    </w:p>
    <w:p w:rsidRDefault="00253637" w:rsidP="00253637" w:rsidR="00253637">
      <w:pPr>
        <w:spacing w:lineRule="auto" w:line="360"/>
        <w:jc w:val="both"/>
        <w:rPr>
          <w:color w:themeColor="text1" w:val="000000"/>
        </w:rPr>
      </w:pPr>
      <w:r>
        <w:rPr>
          <w:color w:themeColor="text1" w:val="000000"/>
        </w:rPr>
        <w:t xml:space="preserve">Potencijalni kupci već sad postoje i realizacijom dogovora sa njima, prodaja će evidentno rasti. </w:t>
      </w:r>
    </w:p>
    <w:p w:rsidRDefault="00B338ED" w:rsidP="00253637" w:rsidR="00B338ED" w:rsidRPr="00253637">
      <w:pPr>
        <w:spacing w:lineRule="auto" w:line="360"/>
        <w:jc w:val="both"/>
        <w:rPr>
          <w:color w:themeColor="text1" w:val="000000"/>
        </w:rPr>
      </w:pPr>
    </w:p>
    <w:p w:rsidRDefault="00A113BD" w:rsidP="00A113BD" w:rsidR="00A113BD" w:rsidRPr="00A113BD">
      <w:pPr>
        <w:numPr>
          <w:ilvl w:val="0"/>
          <w:numId w:val="30"/>
        </w:numPr>
        <w:spacing w:lineRule="auto" w:line="360"/>
        <w:contextualSpacing/>
        <w:jc w:val="both"/>
        <w:rPr>
          <w:rFonts w:eastAsia="Times New Roman"/>
          <w:lang w:eastAsia="hr-HR" w:val="hr-HR"/>
        </w:rPr>
      </w:pPr>
      <w:r w:rsidRPr="00A113BD">
        <w:rPr>
          <w:rFonts w:eastAsia="Times New Roman"/>
          <w:lang w:eastAsia="hr-HR" w:val="hr-HR"/>
        </w:rPr>
        <w:t>Povećanje profitabilnosti</w:t>
      </w:r>
    </w:p>
    <w:p w:rsidRDefault="00A113BD" w:rsidP="00A113BD" w:rsidR="00A113BD">
      <w:pPr>
        <w:spacing w:lineRule="auto" w:line="360"/>
        <w:jc w:val="both"/>
        <w:rPr>
          <w:rFonts w:eastAsia="Times New Roman"/>
          <w:lang w:eastAsia="hr-HR" w:val="hr-HR"/>
        </w:rPr>
      </w:pPr>
      <w:r w:rsidRPr="00A113BD">
        <w:rPr>
          <w:rFonts w:eastAsia="Times New Roman"/>
          <w:lang w:eastAsia="hr-HR" w:val="hr-HR"/>
        </w:rPr>
        <w:t>Sukladno povećanju prodaje planira se i povećanje profitabilnosti koja će imati značajan učinak na poslovanje poduzeća.</w:t>
      </w:r>
    </w:p>
    <w:p w:rsidRDefault="00B338ED" w:rsidP="00A113BD" w:rsidR="00B338ED">
      <w:pPr>
        <w:spacing w:lineRule="auto" w:line="360"/>
        <w:jc w:val="both"/>
        <w:rPr>
          <w:rFonts w:eastAsia="Times New Roman"/>
          <w:lang w:eastAsia="hr-HR" w:val="hr-HR"/>
        </w:rPr>
      </w:pPr>
    </w:p>
    <w:p w:rsidRDefault="00253637" w:rsidP="00253637" w:rsidR="001C5FDB" w:rsidRPr="00B338ED">
      <w:pPr>
        <w:pStyle w:val="Odlomakpopisa"/>
        <w:numPr>
          <w:ilvl w:val="0"/>
          <w:numId w:val="12"/>
        </w:numPr>
        <w:spacing w:lineRule="auto" w:line="360"/>
        <w:jc w:val="both"/>
      </w:pPr>
      <w:r w:rsidRPr="00B338ED">
        <w:t>Prodaja neoperative imovine</w:t>
      </w:r>
    </w:p>
    <w:p w:rsidRDefault="00253637" w:rsidP="001C5FDB" w:rsidR="00253637" w:rsidRPr="00B338ED">
      <w:pPr>
        <w:spacing w:lineRule="auto" w:line="360"/>
        <w:jc w:val="both"/>
        <w:rPr>
          <w:rFonts w:eastAsia="Times New Roman"/>
          <w:lang w:eastAsia="hr-HR" w:val="hr-HR"/>
        </w:rPr>
      </w:pPr>
      <w:r w:rsidRPr="00B338ED">
        <w:rPr>
          <w:rFonts w:eastAsia="Times New Roman"/>
          <w:lang w:eastAsia="hr-HR" w:val="hr-HR"/>
        </w:rPr>
        <w:t xml:space="preserve">Obrt prodaje svu </w:t>
      </w:r>
      <w:r w:rsidR="001C5FDB" w:rsidRPr="00B338ED">
        <w:rPr>
          <w:rFonts w:eastAsia="Times New Roman"/>
          <w:lang w:eastAsia="hr-HR" w:val="hr-HR"/>
        </w:rPr>
        <w:t xml:space="preserve">imovinu koja nije nužna za redovno poslovanje, dio kako bi namaknuo potrebna obrtna sredstva, a ostalo za podmirenje obaveza prema vjerovnicima. </w:t>
      </w:r>
    </w:p>
    <w:p w:rsidRDefault="007F430E" w:rsidP="009B53F6" w:rsidR="007F430E">
      <w:pPr>
        <w:pStyle w:val="Naslov1"/>
        <w:rPr>
          <w:lang w:eastAsia="hr-HR" w:val="hr-HR"/>
        </w:rPr>
      </w:pPr>
    </w:p>
    <w:p w:rsidRDefault="000C462E" w:rsidP="000C462E" w:rsidR="000C462E"/>
    <w:p w:rsidRDefault="000C462E" w:rsidP="000C462E" w:rsidR="000C462E"/>
    <w:p w:rsidRDefault="000C462E" w:rsidP="000C462E" w:rsidR="000C462E"/>
    <w:p w:rsidRDefault="000C462E" w:rsidP="000C462E" w:rsidR="000C462E" w:rsidRPr="000C462E"/>
    <w:p w:rsidRDefault="00AE741A" w:rsidP="009B53F6" w:rsidR="007C744E">
      <w:pPr>
        <w:pStyle w:val="Naslov1"/>
      </w:pPr>
      <w:bookmarkStart w:name="_Toc462747752" w:id="40"/>
      <w:r>
        <w:lastRenderedPageBreak/>
        <w:t xml:space="preserve">4.1.    </w:t>
      </w:r>
      <w:r w:rsidR="007C744E" w:rsidRPr="007C744E">
        <w:t>Izračun učinka operativnih mjera na poslovanje</w:t>
      </w:r>
      <w:bookmarkEnd w:id="40"/>
    </w:p>
    <w:p w:rsidRDefault="007F430E" w:rsidP="007C744E" w:rsidR="007F430E"/>
    <w:tbl>
      <w:tblPr>
        <w:tblW w:type="dxa" w:w="7660"/>
        <w:tblInd w:type="dxa" w:w="108"/>
        <w:tblLook w:val="04A0" w:noVBand="1" w:noHBand="0" w:lastColumn="0" w:firstColumn="1" w:lastRow="0" w:firstRow="1"/>
      </w:tblPr>
      <w:tblGrid>
        <w:gridCol w:w="594"/>
        <w:gridCol w:w="5860"/>
        <w:gridCol w:w="1300"/>
      </w:tblGrid>
      <w:tr w:rsidTr="007F430E" w:rsidR="007F430E">
        <w:trPr>
          <w:trHeight w:val="320"/>
        </w:trPr>
        <w:tc>
          <w:tcPr>
            <w:tcW w:type="dxa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7F430E" w:rsidR="007F430E">
            <w:pPr>
              <w:rPr>
                <w:rFonts w:eastAsia="Times New Roman" w:hAnsi="Calibri" w:ascii="Calibri"/>
                <w:color w:val="000000"/>
              </w:rPr>
            </w:pPr>
            <w:r>
              <w:rPr>
                <w:rFonts w:eastAsia="Times New Roman" w:hAnsi="Calibri" w:ascii="Calibri"/>
                <w:color w:val="000000"/>
              </w:rPr>
              <w:t>R.b.</w:t>
            </w:r>
          </w:p>
        </w:tc>
        <w:tc>
          <w:tcPr>
            <w:tcW w:type="dxa" w:w="58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7F430E" w:rsidR="007F430E">
            <w:pPr>
              <w:rPr>
                <w:rFonts w:eastAsia="Times New Roman" w:hAnsi="Calibri" w:ascii="Calibri"/>
                <w:color w:val="000000"/>
              </w:rPr>
            </w:pPr>
            <w:r>
              <w:rPr>
                <w:rFonts w:eastAsia="Times New Roman" w:hAnsi="Calibri" w:ascii="Calibri"/>
                <w:color w:val="000000"/>
              </w:rPr>
              <w:t>Opis</w:t>
            </w:r>
          </w:p>
        </w:tc>
        <w:tc>
          <w:tcPr>
            <w:tcW w:type="dxa" w:w="13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7F430E" w:rsidR="007F430E">
            <w:pPr>
              <w:rPr>
                <w:rFonts w:eastAsia="Times New Roman" w:hAnsi="Calibri" w:ascii="Calibri"/>
                <w:color w:val="000000"/>
              </w:rPr>
            </w:pPr>
            <w:r>
              <w:rPr>
                <w:rFonts w:eastAsia="Times New Roman" w:hAnsi="Calibri" w:ascii="Calibri"/>
                <w:color w:val="000000"/>
              </w:rPr>
              <w:t>Iznos</w:t>
            </w:r>
          </w:p>
        </w:tc>
      </w:tr>
      <w:tr w:rsidTr="007F430E" w:rsidR="007F430E">
        <w:trPr>
          <w:trHeight w:val="320"/>
        </w:trPr>
        <w:tc>
          <w:tcPr>
            <w:tcW w:type="dxa" w:w="5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F430E" w:rsidR="007F430E">
            <w:pPr>
              <w:jc w:val="right"/>
              <w:rPr>
                <w:rFonts w:eastAsia="Times New Roman" w:hAnsi="Calibri" w:ascii="Calibri"/>
                <w:color w:val="000000"/>
              </w:rPr>
            </w:pPr>
            <w:r>
              <w:rPr>
                <w:rFonts w:eastAsia="Times New Roman" w:hAnsi="Calibri" w:ascii="Calibri"/>
                <w:color w:val="000000"/>
              </w:rPr>
              <w:t>1</w:t>
            </w:r>
          </w:p>
        </w:tc>
        <w:tc>
          <w:tcPr>
            <w:tcW w:type="dxa" w:w="5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75CA5" w:rsidR="007F430E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Poveć</w:t>
            </w:r>
            <w:r w:rsidR="007F430E">
              <w:rPr>
                <w:rFonts w:eastAsia="Times New Roman"/>
                <w:color w:val="000000"/>
              </w:rPr>
              <w:t xml:space="preserve">anje profitabilnosti kroz Optimizaciju radnih procesa 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F430E" w:rsidR="007F430E">
            <w:pPr>
              <w:jc w:val="right"/>
              <w:rPr>
                <w:rFonts w:eastAsia="Times New Roman" w:hAnsi="Calibri" w:ascii="Calibri"/>
                <w:color w:val="000000"/>
              </w:rPr>
            </w:pPr>
            <w:r>
              <w:rPr>
                <w:rFonts w:eastAsia="Times New Roman" w:hAnsi="Calibri" w:ascii="Calibri"/>
                <w:color w:val="000000"/>
              </w:rPr>
              <w:t>21.763,00</w:t>
            </w:r>
          </w:p>
        </w:tc>
      </w:tr>
      <w:tr w:rsidTr="007F430E" w:rsidR="007F430E">
        <w:trPr>
          <w:trHeight w:val="320"/>
        </w:trPr>
        <w:tc>
          <w:tcPr>
            <w:tcW w:type="dxa" w:w="5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F430E" w:rsidR="007F430E">
            <w:pPr>
              <w:jc w:val="right"/>
              <w:rPr>
                <w:rFonts w:eastAsia="Times New Roman" w:hAnsi="Calibri" w:ascii="Calibri"/>
                <w:color w:val="000000"/>
              </w:rPr>
            </w:pPr>
            <w:r>
              <w:rPr>
                <w:rFonts w:eastAsia="Times New Roman" w:hAnsi="Calibri" w:ascii="Calibri"/>
                <w:color w:val="000000"/>
              </w:rPr>
              <w:t>2</w:t>
            </w:r>
          </w:p>
        </w:tc>
        <w:tc>
          <w:tcPr>
            <w:tcW w:type="dxa" w:w="5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75CA5" w:rsidR="007F430E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Poveć</w:t>
            </w:r>
            <w:r w:rsidR="007F430E">
              <w:rPr>
                <w:rFonts w:eastAsia="Times New Roman"/>
                <w:color w:val="000000"/>
              </w:rPr>
              <w:t>anje profitabilnosti kroz novi segment nabave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F430E" w:rsidR="007F430E">
            <w:pPr>
              <w:jc w:val="right"/>
              <w:rPr>
                <w:rFonts w:eastAsia="Times New Roman" w:hAnsi="Calibri" w:ascii="Calibri"/>
                <w:color w:val="000000"/>
              </w:rPr>
            </w:pPr>
            <w:r>
              <w:rPr>
                <w:rFonts w:eastAsia="Times New Roman" w:hAnsi="Calibri" w:ascii="Calibri"/>
                <w:color w:val="000000"/>
              </w:rPr>
              <w:t>43.287,00</w:t>
            </w:r>
          </w:p>
        </w:tc>
      </w:tr>
      <w:tr w:rsidTr="007F430E" w:rsidR="007F430E">
        <w:trPr>
          <w:trHeight w:val="320"/>
        </w:trPr>
        <w:tc>
          <w:tcPr>
            <w:tcW w:type="dxa" w:w="5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F430E" w:rsidR="007F430E">
            <w:pPr>
              <w:jc w:val="right"/>
              <w:rPr>
                <w:rFonts w:eastAsia="Times New Roman" w:hAnsi="Calibri" w:ascii="Calibri"/>
                <w:color w:val="000000"/>
              </w:rPr>
            </w:pPr>
            <w:r>
              <w:rPr>
                <w:rFonts w:eastAsia="Times New Roman" w:hAnsi="Calibri" w:ascii="Calibri"/>
                <w:color w:val="000000"/>
              </w:rPr>
              <w:t>3</w:t>
            </w:r>
          </w:p>
        </w:tc>
        <w:tc>
          <w:tcPr>
            <w:tcW w:type="dxa" w:w="5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75CA5" w:rsidR="007F430E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Poveć</w:t>
            </w:r>
            <w:r w:rsidR="007F430E">
              <w:rPr>
                <w:rFonts w:eastAsia="Times New Roman"/>
                <w:color w:val="000000"/>
              </w:rPr>
              <w:t xml:space="preserve">anje profitabilnosti kroz Oglašavanje 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F430E" w:rsidR="007F430E">
            <w:pPr>
              <w:jc w:val="right"/>
              <w:rPr>
                <w:rFonts w:eastAsia="Times New Roman" w:hAnsi="Calibri" w:ascii="Calibri"/>
                <w:color w:val="000000"/>
              </w:rPr>
            </w:pPr>
            <w:r>
              <w:rPr>
                <w:rFonts w:eastAsia="Times New Roman" w:hAnsi="Calibri" w:ascii="Calibri"/>
                <w:color w:val="000000"/>
              </w:rPr>
              <w:t>28.769,00</w:t>
            </w:r>
          </w:p>
        </w:tc>
      </w:tr>
      <w:tr w:rsidTr="007F430E" w:rsidR="007F430E">
        <w:trPr>
          <w:trHeight w:val="320"/>
        </w:trPr>
        <w:tc>
          <w:tcPr>
            <w:tcW w:type="dxa" w:w="5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7F430E" w:rsidR="007F430E">
            <w:pPr>
              <w:rPr>
                <w:rFonts w:eastAsia="Times New Roman" w:hAnsi="Calibri" w:ascii="Calibri"/>
                <w:color w:val="000000"/>
              </w:rPr>
            </w:pPr>
            <w:r>
              <w:rPr>
                <w:rFonts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5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7F430E" w:rsidR="007F430E">
            <w:pPr>
              <w:rPr>
                <w:rFonts w:eastAsia="Times New Roman" w:hAnsi="Calibri" w:ascii="Calibri"/>
                <w:color w:val="000000"/>
              </w:rPr>
            </w:pPr>
            <w:r>
              <w:rPr>
                <w:rFonts w:eastAsia="Times New Roman" w:hAnsi="Calibri" w:ascii="Calibri"/>
                <w:color w:val="000000"/>
              </w:rPr>
              <w:t>Ukupno: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7F430E" w:rsidR="007F430E">
            <w:pPr>
              <w:jc w:val="right"/>
              <w:rPr>
                <w:rFonts w:eastAsia="Times New Roman" w:hAnsi="Calibri" w:ascii="Calibri"/>
                <w:color w:val="000000"/>
              </w:rPr>
            </w:pPr>
            <w:r>
              <w:rPr>
                <w:rFonts w:eastAsia="Times New Roman" w:hAnsi="Calibri" w:ascii="Calibri"/>
                <w:color w:val="000000"/>
              </w:rPr>
              <w:t>93.819,00</w:t>
            </w:r>
          </w:p>
        </w:tc>
      </w:tr>
    </w:tbl>
    <w:p w:rsidRDefault="007F430E" w:rsidP="007C744E" w:rsidR="007F430E"/>
    <w:p w:rsidRDefault="007F430E" w:rsidP="007F430E" w:rsidR="007F430E" w:rsidRPr="007C744E">
      <w:pPr>
        <w:spacing w:lineRule="auto" w:line="360"/>
        <w:jc w:val="both"/>
      </w:pPr>
      <w:r>
        <w:t>Kroz segment operativnih mjera re</w:t>
      </w:r>
      <w:r w:rsidR="00775CA5">
        <w:t xml:space="preserve">strukturiranja, </w:t>
      </w:r>
      <w:r w:rsidR="00927FE0">
        <w:t>obrt</w:t>
      </w:r>
      <w:r w:rsidR="00775CA5">
        <w:t xml:space="preserve"> će poveć</w:t>
      </w:r>
      <w:r>
        <w:t>ati profitabilnost za ukupno 93.819  kn, u odnosu na prethodno razdoblje, čime će se postići optimalno, profitabilno poslovanje.</w:t>
      </w:r>
    </w:p>
    <w:p w:rsidRDefault="0057742A" w:rsidP="0057742A" w:rsidR="0057742A" w:rsidRPr="00C259F4"/>
    <w:p w:rsidRDefault="00FD7EF5" w:rsidP="00A113BD" w:rsidR="00FD7EF5" w:rsidRPr="00A113BD">
      <w:pPr>
        <w:spacing w:lineRule="auto" w:line="360"/>
        <w:jc w:val="both"/>
        <w:rPr>
          <w:rFonts w:eastAsia="Times New Roman"/>
          <w:lang w:eastAsia="hr-HR" w:val="hr-HR"/>
        </w:rPr>
      </w:pPr>
    </w:p>
    <w:p w:rsidRDefault="003642EF" w:rsidR="003642EF">
      <w:pPr>
        <w:rPr>
          <w:rFonts w:eastAsia="Times New Roman"/>
          <w:b/>
          <w:bCs/>
          <w:noProof/>
          <w:color w:val="4F81BD"/>
          <w:kern w:val="32"/>
          <w:szCs w:val="32"/>
          <w:lang w:eastAsia="hr-HR" w:val="hr-HR"/>
        </w:rPr>
      </w:pPr>
      <w:r>
        <w:br w:type="page"/>
      </w:r>
    </w:p>
    <w:p w:rsidRDefault="00893EC0" w:rsidP="009B53F6" w:rsidR="00893EC0">
      <w:pPr>
        <w:pStyle w:val="Naslov1"/>
      </w:pPr>
      <w:bookmarkStart w:name="_Toc462747753" w:id="41"/>
      <w:r w:rsidRPr="004E14C1">
        <w:lastRenderedPageBreak/>
        <w:t xml:space="preserve">5. PLAN POSLOVANJA ZA NAREDNIH </w:t>
      </w:r>
      <w:r w:rsidR="005370F0" w:rsidRPr="004E14C1">
        <w:t>5</w:t>
      </w:r>
      <w:r w:rsidRPr="004E14C1">
        <w:t xml:space="preserve"> GODINA</w:t>
      </w:r>
      <w:bookmarkEnd w:id="36"/>
      <w:bookmarkEnd w:id="41"/>
    </w:p>
    <w:p w:rsidRDefault="007407D8" w:rsidP="007407D8" w:rsidR="007407D8" w:rsidRPr="007407D8">
      <w:pPr>
        <w:rPr>
          <w:b/>
          <w:i/>
          <w:color w:val="FF6600"/>
        </w:rPr>
      </w:pPr>
    </w:p>
    <w:p w:rsidRDefault="00A44DC4" w:rsidP="00A44DC4" w:rsidR="00A44DC4" w:rsidRPr="006C1275"/>
    <w:p w:rsidRDefault="00A44DC4" w:rsidP="00FE46CD" w:rsidR="00A44DC4" w:rsidRPr="006C1275">
      <w:pPr>
        <w:spacing w:lineRule="auto" w:line="360"/>
        <w:jc w:val="both"/>
      </w:pPr>
      <w:r w:rsidRPr="006C1275">
        <w:t>Ključne pretpostavke projekcije poslovanja</w:t>
      </w:r>
      <w:r w:rsidR="00563036" w:rsidRPr="006C1275">
        <w:t xml:space="preserve">: </w:t>
      </w:r>
    </w:p>
    <w:p w:rsidRDefault="00FB7F37" w:rsidP="00FE46CD" w:rsidR="00FB7F37" w:rsidRPr="006C1275">
      <w:pPr>
        <w:spacing w:lineRule="auto" w:line="360"/>
        <w:jc w:val="both"/>
      </w:pPr>
    </w:p>
    <w:p w:rsidRDefault="00FB7F37" w:rsidP="00504AFA" w:rsidR="00A44DC4" w:rsidRPr="006C1275">
      <w:pPr>
        <w:numPr>
          <w:ilvl w:val="0"/>
          <w:numId w:val="6"/>
        </w:numPr>
        <w:spacing w:lineRule="auto" w:line="360"/>
        <w:jc w:val="both"/>
      </w:pPr>
      <w:r w:rsidRPr="006C1275">
        <w:t xml:space="preserve">Projekcija računa dobiti i gubitka utvrđena je za </w:t>
      </w:r>
      <w:r w:rsidR="00BA20DA">
        <w:t>pet</w:t>
      </w:r>
      <w:r w:rsidRPr="006C1275">
        <w:t xml:space="preserve"> godina poslovanja, a podlogu </w:t>
      </w:r>
      <w:r w:rsidR="00F6392A" w:rsidRPr="006C1275">
        <w:t xml:space="preserve">za izračun </w:t>
      </w:r>
      <w:r w:rsidRPr="006C1275">
        <w:t xml:space="preserve">čine </w:t>
      </w:r>
      <w:r w:rsidR="00E2242A" w:rsidRPr="006C1275">
        <w:t xml:space="preserve">utvrđene kategorije u Planu </w:t>
      </w:r>
      <w:r w:rsidR="0048317D" w:rsidRPr="006C1275">
        <w:t>restrukturiranja</w:t>
      </w:r>
      <w:r w:rsidR="00E2242A" w:rsidRPr="006C1275">
        <w:t xml:space="preserve"> (</w:t>
      </w:r>
      <w:r w:rsidR="00F6392A" w:rsidRPr="006C1275">
        <w:t>tržišne okolnosti</w:t>
      </w:r>
      <w:r w:rsidR="00E2242A" w:rsidRPr="006C1275">
        <w:t xml:space="preserve">, </w:t>
      </w:r>
      <w:r w:rsidR="004D277C" w:rsidRPr="006C1275">
        <w:t>utjecaj na prodajnu i troškovnu učinkovitost, utjecaj</w:t>
      </w:r>
      <w:r w:rsidR="00563036" w:rsidRPr="006C1275">
        <w:t xml:space="preserve"> financijskog restrukturiranja).</w:t>
      </w:r>
    </w:p>
    <w:p w:rsidRDefault="004D277C" w:rsidP="00FE46CD" w:rsidR="004D277C" w:rsidRPr="006C1275">
      <w:pPr>
        <w:spacing w:lineRule="auto" w:line="360"/>
        <w:jc w:val="both"/>
      </w:pPr>
    </w:p>
    <w:p w:rsidRDefault="004D277C" w:rsidP="00504AFA" w:rsidR="004D277C" w:rsidRPr="006C1275">
      <w:pPr>
        <w:numPr>
          <w:ilvl w:val="0"/>
          <w:numId w:val="6"/>
        </w:numPr>
        <w:spacing w:lineRule="auto" w:line="360"/>
        <w:jc w:val="both"/>
      </w:pPr>
      <w:r w:rsidRPr="006C1275">
        <w:t xml:space="preserve">Prihodi </w:t>
      </w:r>
      <w:r w:rsidR="00777D99" w:rsidRPr="006C1275">
        <w:t xml:space="preserve"> i bruto marža</w:t>
      </w:r>
      <w:r w:rsidR="00563036" w:rsidRPr="006C1275">
        <w:t xml:space="preserve"> </w:t>
      </w:r>
      <w:r w:rsidR="00777D99" w:rsidRPr="006C1275">
        <w:t>- Projekcija prihoda unutar prikazanog računa dobiti i gubitka temelji se na projekcijama za sve djela</w:t>
      </w:r>
      <w:r w:rsidR="004E14C1">
        <w:t xml:space="preserve">tnosti kojima se </w:t>
      </w:r>
      <w:r w:rsidR="00186A55">
        <w:t>Obrt</w:t>
      </w:r>
      <w:r w:rsidR="00563036" w:rsidRPr="006C1275">
        <w:t xml:space="preserve"> bavi, a interpretira se </w:t>
      </w:r>
      <w:r w:rsidR="00777D99" w:rsidRPr="006C1275">
        <w:t xml:space="preserve"> kroz ključne pokazatelje ekonomske</w:t>
      </w:r>
      <w:r w:rsidR="00563036" w:rsidRPr="006C1275">
        <w:t xml:space="preserve"> efikasnosti od kojih su najvažniji</w:t>
      </w:r>
      <w:r w:rsidR="00777D99" w:rsidRPr="006C1275">
        <w:t>:</w:t>
      </w:r>
    </w:p>
    <w:p w:rsidRDefault="00777D99" w:rsidP="00777D99" w:rsidR="00777D99" w:rsidRPr="006C1275">
      <w:pPr>
        <w:pStyle w:val="DarkList-Accent51"/>
      </w:pPr>
    </w:p>
    <w:p w:rsidRDefault="00342B1E" w:rsidP="00504AFA" w:rsidR="00777D99" w:rsidRPr="006C1275">
      <w:pPr>
        <w:numPr>
          <w:ilvl w:val="1"/>
          <w:numId w:val="6"/>
        </w:numPr>
        <w:spacing w:lineRule="auto" w:line="360"/>
        <w:jc w:val="both"/>
      </w:pPr>
      <w:r w:rsidRPr="006C1275">
        <w:t>Stabilizacija</w:t>
      </w:r>
      <w:r w:rsidR="00777D99" w:rsidRPr="006C1275">
        <w:t xml:space="preserve"> </w:t>
      </w:r>
      <w:r w:rsidRPr="006C1275">
        <w:t>prihoda, povećanje bruto marže i poboljšanje naplate dodatnim instrumentima osiguranja</w:t>
      </w:r>
      <w:r w:rsidR="00546A26" w:rsidRPr="006C1275">
        <w:t>, a</w:t>
      </w:r>
      <w:r w:rsidR="00777D99" w:rsidRPr="006C1275">
        <w:t xml:space="preserve"> zasnivaju se na predviđenom utjecaju projekta restrukturiranja kao i na likvidnom poslovanju do kojeg se došlo putem reprograma obveza</w:t>
      </w:r>
    </w:p>
    <w:p w:rsidRDefault="00777D99" w:rsidP="00FE46CD" w:rsidR="004D277C" w:rsidRPr="006C1275">
      <w:pPr>
        <w:numPr>
          <w:ilvl w:val="1"/>
          <w:numId w:val="6"/>
        </w:numPr>
        <w:spacing w:lineRule="auto" w:line="360"/>
        <w:jc w:val="both"/>
      </w:pPr>
      <w:r w:rsidRPr="006C1275">
        <w:t>Rast prihoda kroz povećanje kanala prodaje (novi kupci, povećanje suradnje sa postojećim kupcima)</w:t>
      </w:r>
    </w:p>
    <w:p w:rsidRDefault="004D277C" w:rsidP="00504AFA" w:rsidR="004D277C">
      <w:pPr>
        <w:numPr>
          <w:ilvl w:val="0"/>
          <w:numId w:val="6"/>
        </w:numPr>
        <w:spacing w:lineRule="auto" w:line="360"/>
        <w:jc w:val="both"/>
      </w:pPr>
      <w:r w:rsidRPr="006C1275">
        <w:t>Troškovi</w:t>
      </w:r>
      <w:r w:rsidR="00563036" w:rsidRPr="006C1275">
        <w:t xml:space="preserve"> </w:t>
      </w:r>
      <w:r w:rsidR="00777D99" w:rsidRPr="006C1275">
        <w:t>-</w:t>
      </w:r>
      <w:r w:rsidR="00563036" w:rsidRPr="006C1275">
        <w:t xml:space="preserve"> </w:t>
      </w:r>
      <w:r w:rsidR="00777D99" w:rsidRPr="006C1275">
        <w:t>projekcija troškova unutar prikazanog računa dobiti i gubitka temelji se na projiciranju svake pojedine stavke t</w:t>
      </w:r>
      <w:r w:rsidR="00563036" w:rsidRPr="006C1275">
        <w:t>r</w:t>
      </w:r>
      <w:r w:rsidR="00777D99" w:rsidRPr="006C1275">
        <w:t>oškova, od kojih su ključni:</w:t>
      </w:r>
    </w:p>
    <w:p w:rsidRDefault="00997A96" w:rsidP="00997A96" w:rsidR="00997A96" w:rsidRPr="006C1275">
      <w:pPr>
        <w:spacing w:lineRule="auto" w:line="360"/>
        <w:ind w:left="720"/>
        <w:jc w:val="both"/>
      </w:pPr>
    </w:p>
    <w:p w:rsidRDefault="00563036" w:rsidP="004E2B48" w:rsidR="004E2B48" w:rsidRPr="009212F0">
      <w:pPr>
        <w:numPr>
          <w:ilvl w:val="1"/>
          <w:numId w:val="6"/>
        </w:numPr>
        <w:spacing w:lineRule="auto" w:line="360"/>
        <w:jc w:val="both"/>
      </w:pPr>
      <w:r w:rsidRPr="006C1275">
        <w:t xml:space="preserve">smanjenje </w:t>
      </w:r>
      <w:r w:rsidR="00777D99" w:rsidRPr="006C1275">
        <w:t xml:space="preserve"> </w:t>
      </w:r>
      <w:r w:rsidR="00DD0B67" w:rsidRPr="006C1275">
        <w:t xml:space="preserve">operativnih </w:t>
      </w:r>
      <w:r w:rsidR="00777D99" w:rsidRPr="006C1275">
        <w:t xml:space="preserve">troškova koje će se ostvariti </w:t>
      </w:r>
      <w:r w:rsidRPr="006C1275">
        <w:t>kroz</w:t>
      </w:r>
      <w:r w:rsidR="00170869" w:rsidRPr="006C1275">
        <w:t xml:space="preserve"> </w:t>
      </w:r>
      <w:r w:rsidR="00EA0FEB" w:rsidRPr="006C1275">
        <w:t>povećan opseg posla i veće marže</w:t>
      </w:r>
    </w:p>
    <w:p w:rsidRDefault="00BC2856" w:rsidR="00BC2856">
      <w:pPr>
        <w:rPr>
          <w:u w:val="single"/>
        </w:rPr>
      </w:pPr>
      <w:r>
        <w:rPr>
          <w:u w:val="single"/>
        </w:rPr>
        <w:br w:type="page"/>
      </w:r>
    </w:p>
    <w:p w:rsidRDefault="000164C1" w:rsidP="00892F9C" w:rsidR="004D277C" w:rsidRPr="004E2B48">
      <w:pPr>
        <w:jc w:val="center"/>
        <w:rPr>
          <w:u w:val="single"/>
        </w:rPr>
      </w:pPr>
      <w:r w:rsidRPr="004E2B48">
        <w:rPr>
          <w:u w:val="single"/>
        </w:rPr>
        <w:lastRenderedPageBreak/>
        <w:t>Projekcija poslovanja</w:t>
      </w:r>
      <w:r w:rsidR="00BF1214" w:rsidRPr="004E2B48">
        <w:rPr>
          <w:u w:val="single"/>
        </w:rPr>
        <w:t xml:space="preserve"> </w:t>
      </w:r>
      <w:r w:rsidR="004F671D" w:rsidRPr="004E2B48">
        <w:rPr>
          <w:u w:val="single"/>
        </w:rPr>
        <w:t xml:space="preserve"> (201</w:t>
      </w:r>
      <w:r w:rsidR="0033139D">
        <w:rPr>
          <w:u w:val="single"/>
        </w:rPr>
        <w:t>6</w:t>
      </w:r>
      <w:r w:rsidRPr="004E2B48">
        <w:rPr>
          <w:u w:val="single"/>
        </w:rPr>
        <w:t>.</w:t>
      </w:r>
      <w:r w:rsidR="00892F9C">
        <w:rPr>
          <w:u w:val="single"/>
        </w:rPr>
        <w:t xml:space="preserve"> </w:t>
      </w:r>
      <w:r w:rsidR="004F671D" w:rsidRPr="004E2B48">
        <w:rPr>
          <w:u w:val="single"/>
        </w:rPr>
        <w:t>-</w:t>
      </w:r>
      <w:r w:rsidR="00892F9C">
        <w:rPr>
          <w:u w:val="single"/>
        </w:rPr>
        <w:t xml:space="preserve"> </w:t>
      </w:r>
      <w:r w:rsidR="00BB6581" w:rsidRPr="004E2B48">
        <w:rPr>
          <w:u w:val="single"/>
        </w:rPr>
        <w:t>202</w:t>
      </w:r>
      <w:r w:rsidR="0033139D">
        <w:rPr>
          <w:u w:val="single"/>
        </w:rPr>
        <w:t>1</w:t>
      </w:r>
      <w:r w:rsidRPr="004E2B48">
        <w:rPr>
          <w:u w:val="single"/>
        </w:rPr>
        <w:t>.</w:t>
      </w:r>
      <w:r w:rsidR="004F671D" w:rsidRPr="004E2B48">
        <w:rPr>
          <w:u w:val="single"/>
        </w:rPr>
        <w:t>)</w:t>
      </w:r>
    </w:p>
    <w:p w:rsidRDefault="005D2C37" w:rsidP="009D5152" w:rsidR="005D2C37" w:rsidRPr="006C1275">
      <w:pPr>
        <w:jc w:val="center"/>
      </w:pPr>
    </w:p>
    <w:p w:rsidRDefault="00BD78E8" w:rsidP="004D277C" w:rsidR="00BD78E8">
      <w:pPr>
        <w:rPr>
          <w:i/>
        </w:rPr>
      </w:pPr>
    </w:p>
    <w:tbl>
      <w:tblPr>
        <w:tblW w:type="dxa" w:w="8778"/>
        <w:tblInd w:type="dxa" w:w="108"/>
        <w:tblLook w:val="04A0" w:noVBand="1" w:noHBand="0" w:lastColumn="0" w:firstColumn="1" w:lastRow="0" w:firstRow="1"/>
      </w:tblPr>
      <w:tblGrid>
        <w:gridCol w:w="657"/>
        <w:gridCol w:w="1980"/>
        <w:gridCol w:w="1140"/>
        <w:gridCol w:w="980"/>
        <w:gridCol w:w="1040"/>
        <w:gridCol w:w="1020"/>
        <w:gridCol w:w="940"/>
        <w:gridCol w:w="1021"/>
      </w:tblGrid>
      <w:tr w:rsidTr="00D23F1E" w:rsidR="00D23F1E">
        <w:trPr>
          <w:trHeight w:val="240"/>
        </w:trPr>
        <w:tc>
          <w:tcPr>
            <w:tcW w:type="dxa" w:w="8778"/>
            <w:gridSpan w:val="8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Planirani prihod</w:t>
            </w:r>
          </w:p>
        </w:tc>
      </w:tr>
      <w:tr w:rsidTr="00D23F1E" w:rsidR="00D23F1E">
        <w:trPr>
          <w:trHeight w:val="240"/>
        </w:trPr>
        <w:tc>
          <w:tcPr>
            <w:tcW w:type="dxa" w:w="65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98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1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8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:rsidTr="00D23F1E" w:rsidR="00D23F1E">
        <w:trPr>
          <w:trHeight w:val="240"/>
        </w:trPr>
        <w:tc>
          <w:tcPr>
            <w:tcW w:type="dxa" w:w="6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R.b.</w:t>
            </w:r>
          </w:p>
        </w:tc>
        <w:tc>
          <w:tcPr>
            <w:tcW w:type="dxa" w:w="19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D23F1E" w:rsidR="00D23F1E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Opis</w:t>
            </w:r>
          </w:p>
        </w:tc>
        <w:tc>
          <w:tcPr>
            <w:tcW w:type="dxa" w:w="11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2016</w:t>
            </w:r>
          </w:p>
        </w:tc>
        <w:tc>
          <w:tcPr>
            <w:tcW w:type="dxa" w:w="9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2017</w:t>
            </w:r>
          </w:p>
        </w:tc>
        <w:tc>
          <w:tcPr>
            <w:tcW w:type="dxa" w:w="10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2018</w:t>
            </w:r>
          </w:p>
        </w:tc>
        <w:tc>
          <w:tcPr>
            <w:tcW w:type="dxa" w:w="10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2019</w:t>
            </w:r>
          </w:p>
        </w:tc>
        <w:tc>
          <w:tcPr>
            <w:tcW w:type="dxa" w:w="9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2020</w:t>
            </w:r>
          </w:p>
        </w:tc>
        <w:tc>
          <w:tcPr>
            <w:tcW w:type="dxa" w:w="10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2021</w:t>
            </w:r>
          </w:p>
        </w:tc>
      </w:tr>
      <w:tr w:rsidTr="00D23F1E" w:rsidR="00D23F1E">
        <w:trPr>
          <w:trHeight w:val="240"/>
        </w:trPr>
        <w:tc>
          <w:tcPr>
            <w:tcW w:type="dxa" w:w="6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Prihod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2.800.000</w:t>
            </w:r>
          </w:p>
        </w:tc>
        <w:tc>
          <w:tcPr>
            <w:tcW w:type="dxa" w:w="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3.900.000</w:t>
            </w:r>
          </w:p>
        </w:tc>
        <w:tc>
          <w:tcPr>
            <w:tcW w:type="dxa" w:w="1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4.870.000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5.840.000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6.750.000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7.200.000</w:t>
            </w:r>
          </w:p>
        </w:tc>
      </w:tr>
      <w:tr w:rsidTr="00D23F1E" w:rsidR="00D23F1E">
        <w:trPr>
          <w:trHeight w:val="240"/>
        </w:trPr>
        <w:tc>
          <w:tcPr>
            <w:tcW w:type="dxa" w:w="6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D23F1E" w:rsidR="00D23F1E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Ukupno Prihod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D23F1E" w:rsidR="00D23F1E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2.800.000</w:t>
            </w:r>
          </w:p>
        </w:tc>
        <w:tc>
          <w:tcPr>
            <w:tcW w:type="dxa" w:w="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D23F1E" w:rsidR="00D23F1E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3.900.000</w:t>
            </w:r>
          </w:p>
        </w:tc>
        <w:tc>
          <w:tcPr>
            <w:tcW w:type="dxa" w:w="1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D23F1E" w:rsidR="00D23F1E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4.870.000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D23F1E" w:rsidR="00D23F1E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5.840.000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D23F1E" w:rsidR="00D23F1E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6.750.000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D23F1E" w:rsidR="00D23F1E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7.200.000</w:t>
            </w:r>
          </w:p>
        </w:tc>
      </w:tr>
      <w:tr w:rsidTr="00D23F1E" w:rsidR="00D23F1E">
        <w:trPr>
          <w:trHeight w:val="240"/>
        </w:trPr>
        <w:tc>
          <w:tcPr>
            <w:tcW w:type="dxa" w:w="65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98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1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8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:rsidTr="00D23F1E" w:rsidR="00D23F1E">
        <w:trPr>
          <w:trHeight w:val="240"/>
        </w:trPr>
        <w:tc>
          <w:tcPr>
            <w:tcW w:type="dxa" w:w="65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98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1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8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:rsidTr="00D23F1E" w:rsidR="00D23F1E">
        <w:trPr>
          <w:trHeight w:val="240"/>
        </w:trPr>
        <w:tc>
          <w:tcPr>
            <w:tcW w:type="dxa" w:w="8778"/>
            <w:gridSpan w:val="8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Planirani troškovi poslovanja</w:t>
            </w:r>
          </w:p>
        </w:tc>
      </w:tr>
      <w:tr w:rsidTr="00D23F1E" w:rsidR="00D23F1E">
        <w:trPr>
          <w:trHeight w:val="240"/>
        </w:trPr>
        <w:tc>
          <w:tcPr>
            <w:tcW w:type="dxa" w:w="65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98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1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8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:rsidTr="00D23F1E" w:rsidR="00D23F1E">
        <w:trPr>
          <w:trHeight w:val="240"/>
        </w:trPr>
        <w:tc>
          <w:tcPr>
            <w:tcW w:type="dxa" w:w="6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R.b.</w:t>
            </w:r>
          </w:p>
        </w:tc>
        <w:tc>
          <w:tcPr>
            <w:tcW w:type="dxa" w:w="19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D23F1E" w:rsidR="00D23F1E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Opis</w:t>
            </w:r>
          </w:p>
        </w:tc>
        <w:tc>
          <w:tcPr>
            <w:tcW w:type="dxa" w:w="11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2016</w:t>
            </w:r>
          </w:p>
        </w:tc>
        <w:tc>
          <w:tcPr>
            <w:tcW w:type="dxa" w:w="9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2017</w:t>
            </w:r>
          </w:p>
        </w:tc>
        <w:tc>
          <w:tcPr>
            <w:tcW w:type="dxa" w:w="10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2018</w:t>
            </w:r>
          </w:p>
        </w:tc>
        <w:tc>
          <w:tcPr>
            <w:tcW w:type="dxa" w:w="10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2019</w:t>
            </w:r>
          </w:p>
        </w:tc>
        <w:tc>
          <w:tcPr>
            <w:tcW w:type="dxa" w:w="9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2020</w:t>
            </w:r>
          </w:p>
        </w:tc>
        <w:tc>
          <w:tcPr>
            <w:tcW w:type="dxa" w:w="10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2021</w:t>
            </w:r>
          </w:p>
        </w:tc>
      </w:tr>
      <w:tr w:rsidTr="00D23F1E" w:rsidR="00D23F1E">
        <w:trPr>
          <w:trHeight w:val="240"/>
        </w:trPr>
        <w:tc>
          <w:tcPr>
            <w:tcW w:type="dxa" w:w="6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Sirovina i materijal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1.876.000</w:t>
            </w:r>
          </w:p>
        </w:tc>
        <w:tc>
          <w:tcPr>
            <w:tcW w:type="dxa" w:w="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2.613.000</w:t>
            </w:r>
          </w:p>
        </w:tc>
        <w:tc>
          <w:tcPr>
            <w:tcW w:type="dxa" w:w="1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3.262.900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3.912.800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4.522.500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4.824.000</w:t>
            </w:r>
          </w:p>
        </w:tc>
      </w:tr>
      <w:tr w:rsidTr="00D23F1E" w:rsidR="00D23F1E">
        <w:trPr>
          <w:trHeight w:val="240"/>
        </w:trPr>
        <w:tc>
          <w:tcPr>
            <w:tcW w:type="dxa" w:w="6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Bruto plaće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198.700</w:t>
            </w:r>
          </w:p>
        </w:tc>
        <w:tc>
          <w:tcPr>
            <w:tcW w:type="dxa" w:w="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230.400</w:t>
            </w:r>
          </w:p>
        </w:tc>
        <w:tc>
          <w:tcPr>
            <w:tcW w:type="dxa" w:w="1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230.400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307.200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307.200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307.200</w:t>
            </w:r>
          </w:p>
        </w:tc>
      </w:tr>
      <w:tr w:rsidTr="00D23F1E" w:rsidR="00D23F1E">
        <w:trPr>
          <w:trHeight w:val="240"/>
        </w:trPr>
        <w:tc>
          <w:tcPr>
            <w:tcW w:type="dxa" w:w="6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Financijski izdaci (kta)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156.144</w:t>
            </w:r>
          </w:p>
        </w:tc>
        <w:tc>
          <w:tcPr>
            <w:tcW w:type="dxa" w:w="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23F1E" w:rsidR="00D23F1E">
            <w:pPr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159.267</w:t>
            </w:r>
          </w:p>
        </w:tc>
        <w:tc>
          <w:tcPr>
            <w:tcW w:type="dxa" w:w="1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23F1E" w:rsidR="00D23F1E">
            <w:pPr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162.453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23F1E" w:rsidR="00D23F1E">
            <w:pPr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165.702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23F1E" w:rsidR="00D23F1E">
            <w:pPr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169.016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23F1E" w:rsidR="00D23F1E">
            <w:pPr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172.396</w:t>
            </w:r>
          </w:p>
        </w:tc>
      </w:tr>
      <w:tr w:rsidTr="00D23F1E" w:rsidR="00D23F1E">
        <w:trPr>
          <w:trHeight w:val="240"/>
        </w:trPr>
        <w:tc>
          <w:tcPr>
            <w:tcW w:type="dxa" w:w="6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Amortizacija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130.491</w:t>
            </w:r>
          </w:p>
        </w:tc>
        <w:tc>
          <w:tcPr>
            <w:tcW w:type="dxa" w:w="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165.200</w:t>
            </w:r>
          </w:p>
        </w:tc>
        <w:tc>
          <w:tcPr>
            <w:tcW w:type="dxa" w:w="1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187.300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196.200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161.700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221.000</w:t>
            </w:r>
          </w:p>
        </w:tc>
      </w:tr>
      <w:tr w:rsidTr="00D23F1E" w:rsidR="00D23F1E">
        <w:trPr>
          <w:trHeight w:val="240"/>
        </w:trPr>
        <w:tc>
          <w:tcPr>
            <w:tcW w:type="dxa" w:w="6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D23F1E" w:rsidR="00D23F1E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Ostalo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D23F1E" w:rsidR="00D23F1E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364.000</w:t>
            </w:r>
          </w:p>
        </w:tc>
        <w:tc>
          <w:tcPr>
            <w:tcW w:type="dxa" w:w="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D23F1E" w:rsidR="00D23F1E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429.000</w:t>
            </w:r>
          </w:p>
        </w:tc>
        <w:tc>
          <w:tcPr>
            <w:tcW w:type="dxa" w:w="1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D23F1E" w:rsidR="00D23F1E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292.200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D23F1E" w:rsidR="00D23F1E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350.400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D23F1E" w:rsidR="00D23F1E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405.000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D23F1E" w:rsidR="00D23F1E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432.000</w:t>
            </w:r>
          </w:p>
        </w:tc>
      </w:tr>
      <w:tr w:rsidTr="00D23F1E" w:rsidR="00D23F1E">
        <w:trPr>
          <w:trHeight w:val="240"/>
        </w:trPr>
        <w:tc>
          <w:tcPr>
            <w:tcW w:type="dxa" w:w="6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D23F1E" w:rsidR="00D23F1E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Ukupni troškovi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D23F1E" w:rsidR="00D23F1E">
            <w:pPr>
              <w:jc w:val="right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2.725.335</w:t>
            </w:r>
          </w:p>
        </w:tc>
        <w:tc>
          <w:tcPr>
            <w:tcW w:type="dxa" w:w="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D23F1E" w:rsidR="00D23F1E">
            <w:pPr>
              <w:jc w:val="right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3.596.867</w:t>
            </w:r>
          </w:p>
        </w:tc>
        <w:tc>
          <w:tcPr>
            <w:tcW w:type="dxa" w:w="1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D23F1E" w:rsidR="00D23F1E">
            <w:pPr>
              <w:jc w:val="right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4.135.253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D23F1E" w:rsidR="00D23F1E">
            <w:pPr>
              <w:jc w:val="right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4.932.302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D23F1E" w:rsidR="00D23F1E">
            <w:pPr>
              <w:jc w:val="right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5.565.416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D23F1E" w:rsidR="00D23F1E">
            <w:pPr>
              <w:jc w:val="right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5.956.596</w:t>
            </w:r>
          </w:p>
        </w:tc>
      </w:tr>
      <w:tr w:rsidTr="00D23F1E" w:rsidR="00D23F1E">
        <w:trPr>
          <w:trHeight w:val="240"/>
        </w:trPr>
        <w:tc>
          <w:tcPr>
            <w:tcW w:type="dxa" w:w="65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98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1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8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:rsidTr="00D23F1E" w:rsidR="00D23F1E">
        <w:trPr>
          <w:trHeight w:val="240"/>
        </w:trPr>
        <w:tc>
          <w:tcPr>
            <w:tcW w:type="dxa" w:w="65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98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1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8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:rsidTr="00D23F1E" w:rsidR="00D23F1E">
        <w:trPr>
          <w:trHeight w:val="240"/>
        </w:trPr>
        <w:tc>
          <w:tcPr>
            <w:tcW w:type="dxa" w:w="8778"/>
            <w:gridSpan w:val="8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Projekcija računa dobiti i gubitka</w:t>
            </w:r>
          </w:p>
        </w:tc>
      </w:tr>
      <w:tr w:rsidTr="00D23F1E" w:rsidR="00D23F1E">
        <w:trPr>
          <w:trHeight w:val="240"/>
        </w:trPr>
        <w:tc>
          <w:tcPr>
            <w:tcW w:type="dxa" w:w="65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98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1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8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:rsidTr="00D23F1E" w:rsidR="00D23F1E">
        <w:trPr>
          <w:trHeight w:val="240"/>
        </w:trPr>
        <w:tc>
          <w:tcPr>
            <w:tcW w:type="dxa" w:w="6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R.b.</w:t>
            </w:r>
          </w:p>
        </w:tc>
        <w:tc>
          <w:tcPr>
            <w:tcW w:type="dxa" w:w="19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D23F1E" w:rsidR="00D23F1E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Opis</w:t>
            </w:r>
          </w:p>
        </w:tc>
        <w:tc>
          <w:tcPr>
            <w:tcW w:type="dxa" w:w="11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2016</w:t>
            </w:r>
          </w:p>
        </w:tc>
        <w:tc>
          <w:tcPr>
            <w:tcW w:type="dxa" w:w="9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2017</w:t>
            </w:r>
          </w:p>
        </w:tc>
        <w:tc>
          <w:tcPr>
            <w:tcW w:type="dxa" w:w="10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2018</w:t>
            </w:r>
          </w:p>
        </w:tc>
        <w:tc>
          <w:tcPr>
            <w:tcW w:type="dxa" w:w="10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2019</w:t>
            </w:r>
          </w:p>
        </w:tc>
        <w:tc>
          <w:tcPr>
            <w:tcW w:type="dxa" w:w="9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2020</w:t>
            </w:r>
          </w:p>
        </w:tc>
        <w:tc>
          <w:tcPr>
            <w:tcW w:type="dxa" w:w="10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2021</w:t>
            </w:r>
          </w:p>
        </w:tc>
      </w:tr>
      <w:tr w:rsidTr="00D23F1E" w:rsidR="00D23F1E">
        <w:trPr>
          <w:trHeight w:val="240"/>
        </w:trPr>
        <w:tc>
          <w:tcPr>
            <w:tcW w:type="dxa" w:w="6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I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Prihod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2.800.000</w:t>
            </w:r>
          </w:p>
        </w:tc>
        <w:tc>
          <w:tcPr>
            <w:tcW w:type="dxa" w:w="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3.900.000</w:t>
            </w:r>
          </w:p>
        </w:tc>
        <w:tc>
          <w:tcPr>
            <w:tcW w:type="dxa" w:w="1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4.870.000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5.840.000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6.750.000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7.200.000</w:t>
            </w:r>
          </w:p>
        </w:tc>
      </w:tr>
      <w:tr w:rsidTr="00D23F1E" w:rsidR="00D23F1E">
        <w:trPr>
          <w:trHeight w:val="240"/>
        </w:trPr>
        <w:tc>
          <w:tcPr>
            <w:tcW w:type="dxa" w:w="6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II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Rashod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2.725.335</w:t>
            </w:r>
          </w:p>
        </w:tc>
        <w:tc>
          <w:tcPr>
            <w:tcW w:type="dxa" w:w="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3.596.867</w:t>
            </w:r>
          </w:p>
        </w:tc>
        <w:tc>
          <w:tcPr>
            <w:tcW w:type="dxa" w:w="1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4.135.253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4.932.302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5.565.416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5.956.596</w:t>
            </w:r>
          </w:p>
        </w:tc>
      </w:tr>
      <w:tr w:rsidTr="00D23F1E" w:rsidR="00D23F1E">
        <w:trPr>
          <w:trHeight w:val="240"/>
        </w:trPr>
        <w:tc>
          <w:tcPr>
            <w:tcW w:type="dxa" w:w="6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a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 xml:space="preserve">Materijalni troškovi 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2.240.000</w:t>
            </w:r>
          </w:p>
        </w:tc>
        <w:tc>
          <w:tcPr>
            <w:tcW w:type="dxa" w:w="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3.042.000</w:t>
            </w:r>
          </w:p>
        </w:tc>
        <w:tc>
          <w:tcPr>
            <w:tcW w:type="dxa" w:w="1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3.555.100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4.263.200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4.927.500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5.256.000</w:t>
            </w:r>
          </w:p>
        </w:tc>
      </w:tr>
      <w:tr w:rsidTr="00D23F1E" w:rsidR="00D23F1E">
        <w:trPr>
          <w:trHeight w:val="240"/>
        </w:trPr>
        <w:tc>
          <w:tcPr>
            <w:tcW w:type="dxa" w:w="6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b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Bruto plaće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198.700</w:t>
            </w:r>
          </w:p>
        </w:tc>
        <w:tc>
          <w:tcPr>
            <w:tcW w:type="dxa" w:w="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230.400</w:t>
            </w:r>
          </w:p>
        </w:tc>
        <w:tc>
          <w:tcPr>
            <w:tcW w:type="dxa" w:w="1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230.400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307.200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307.200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307.200</w:t>
            </w:r>
          </w:p>
        </w:tc>
      </w:tr>
      <w:tr w:rsidTr="00D23F1E" w:rsidR="00D23F1E">
        <w:trPr>
          <w:trHeight w:val="240"/>
        </w:trPr>
        <w:tc>
          <w:tcPr>
            <w:tcW w:type="dxa" w:w="6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Amortizacija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130.491</w:t>
            </w:r>
          </w:p>
        </w:tc>
        <w:tc>
          <w:tcPr>
            <w:tcW w:type="dxa" w:w="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165.200</w:t>
            </w:r>
          </w:p>
        </w:tc>
        <w:tc>
          <w:tcPr>
            <w:tcW w:type="dxa" w:w="1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187.300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196.200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161.700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221.000</w:t>
            </w:r>
          </w:p>
        </w:tc>
      </w:tr>
      <w:tr w:rsidTr="00D23F1E" w:rsidR="00D23F1E">
        <w:trPr>
          <w:trHeight w:val="240"/>
        </w:trPr>
        <w:tc>
          <w:tcPr>
            <w:tcW w:type="dxa" w:w="6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d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Rashod financiranja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156.144</w:t>
            </w:r>
          </w:p>
        </w:tc>
        <w:tc>
          <w:tcPr>
            <w:tcW w:type="dxa" w:w="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159.267</w:t>
            </w:r>
          </w:p>
        </w:tc>
        <w:tc>
          <w:tcPr>
            <w:tcW w:type="dxa" w:w="1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162.453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165.702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169.016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172.396</w:t>
            </w:r>
          </w:p>
        </w:tc>
      </w:tr>
      <w:tr w:rsidTr="00D23F1E" w:rsidR="00D23F1E">
        <w:trPr>
          <w:trHeight w:val="240"/>
        </w:trPr>
        <w:tc>
          <w:tcPr>
            <w:tcW w:type="dxa" w:w="6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III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Dobit prije oporezivanja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74.665</w:t>
            </w:r>
          </w:p>
        </w:tc>
        <w:tc>
          <w:tcPr>
            <w:tcW w:type="dxa" w:w="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303.133</w:t>
            </w:r>
          </w:p>
        </w:tc>
        <w:tc>
          <w:tcPr>
            <w:tcW w:type="dxa" w:w="1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734.747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907.698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1.184.584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1.243.404</w:t>
            </w:r>
          </w:p>
        </w:tc>
      </w:tr>
      <w:tr w:rsidTr="00D23F1E" w:rsidR="00D23F1E">
        <w:trPr>
          <w:trHeight w:val="240"/>
        </w:trPr>
        <w:tc>
          <w:tcPr>
            <w:tcW w:type="dxa" w:w="6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IV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Porez na dobit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1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181.540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236.917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248.681</w:t>
            </w:r>
          </w:p>
        </w:tc>
      </w:tr>
      <w:tr w:rsidTr="00D23F1E" w:rsidR="00D23F1E">
        <w:trPr>
          <w:trHeight w:val="240"/>
        </w:trPr>
        <w:tc>
          <w:tcPr>
            <w:tcW w:type="dxa" w:w="6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V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D23F1E" w:rsidR="00D23F1E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Neto dobit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74.665</w:t>
            </w:r>
          </w:p>
        </w:tc>
        <w:tc>
          <w:tcPr>
            <w:tcW w:type="dxa" w:w="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303.133</w:t>
            </w:r>
          </w:p>
        </w:tc>
        <w:tc>
          <w:tcPr>
            <w:tcW w:type="dxa" w:w="1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734.747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726.159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947.667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D23F1E" w:rsidR="00D23F1E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994.723</w:t>
            </w:r>
          </w:p>
        </w:tc>
      </w:tr>
    </w:tbl>
    <w:p w:rsidRDefault="00D23F1E" w:rsidP="004D277C" w:rsidR="00D23F1E">
      <w:pPr>
        <w:rPr>
          <w:i/>
        </w:rPr>
      </w:pPr>
    </w:p>
    <w:p w:rsidRDefault="00B10CDD" w:rsidP="004D277C" w:rsidR="00A702F7" w:rsidRPr="000F3F0D">
      <w:pPr>
        <w:rPr>
          <w:i/>
        </w:rPr>
      </w:pPr>
      <w:r w:rsidRPr="000F3F0D">
        <w:rPr>
          <w:i/>
        </w:rPr>
        <w:t xml:space="preserve">Tablica </w:t>
      </w:r>
      <w:r w:rsidR="002E0F48">
        <w:rPr>
          <w:i/>
        </w:rPr>
        <w:t>1</w:t>
      </w:r>
      <w:r w:rsidRPr="000F3F0D">
        <w:rPr>
          <w:i/>
        </w:rPr>
        <w:t>: Projekcija</w:t>
      </w:r>
      <w:r w:rsidR="000F3F0D" w:rsidRPr="000F3F0D">
        <w:rPr>
          <w:i/>
        </w:rPr>
        <w:t xml:space="preserve"> budućeg</w:t>
      </w:r>
      <w:r w:rsidRPr="000F3F0D">
        <w:rPr>
          <w:i/>
        </w:rPr>
        <w:t xml:space="preserve"> poslovanja</w:t>
      </w:r>
    </w:p>
    <w:p w:rsidRDefault="004E2B48" w:rsidP="00DC4051" w:rsidR="004E2B48">
      <w:pPr>
        <w:pStyle w:val="Grafikeoznake2"/>
        <w:numPr>
          <w:ilvl w:val="0"/>
          <w:numId w:val="0"/>
        </w:numPr>
        <w:spacing w:lineRule="auto" w:line="360"/>
        <w:ind w:left="142"/>
      </w:pPr>
    </w:p>
    <w:p w:rsidRDefault="00E5544A" w:rsidP="009D1163" w:rsidR="00E25A20">
      <w:pPr>
        <w:pStyle w:val="Grafikeoznake2"/>
        <w:numPr>
          <w:ilvl w:val="0"/>
          <w:numId w:val="0"/>
        </w:numPr>
        <w:spacing w:lineRule="auto" w:line="360"/>
        <w:ind w:left="142"/>
        <w:jc w:val="both"/>
      </w:pPr>
      <w:r w:rsidRPr="006C1275">
        <w:t xml:space="preserve">Projicirani račun dobiti i gubitka iskazuje održivost predloženog poslovnog modela na  </w:t>
      </w:r>
      <w:r w:rsidRPr="006452C3">
        <w:t>razini neto dobiti.</w:t>
      </w:r>
      <w:r w:rsidR="009D1163">
        <w:t xml:space="preserve"> </w:t>
      </w:r>
      <w:r w:rsidR="001D5824">
        <w:t>Obrt</w:t>
      </w:r>
      <w:r w:rsidR="000C462E">
        <w:t xml:space="preserve"> </w:t>
      </w:r>
      <w:r w:rsidR="009D1163">
        <w:t xml:space="preserve">prihode temelji na </w:t>
      </w:r>
      <w:r w:rsidR="00BA20DA">
        <w:t>poveć</w:t>
      </w:r>
      <w:r w:rsidR="00971417">
        <w:t>anju prodaje</w:t>
      </w:r>
      <w:r w:rsidR="0008374C">
        <w:t xml:space="preserve">. </w:t>
      </w:r>
      <w:r w:rsidR="00892F9C">
        <w:t>Troškovi će se smanjiti povećanjem kan</w:t>
      </w:r>
      <w:r w:rsidR="00997A96">
        <w:t>ala nabave sirovina</w:t>
      </w:r>
      <w:r w:rsidR="00892F9C">
        <w:t xml:space="preserve"> koj</w:t>
      </w:r>
      <w:r w:rsidR="00CC2BF6">
        <w:t>e obrt</w:t>
      </w:r>
      <w:r w:rsidR="00B4517E">
        <w:t xml:space="preserve"> koristi u poslovanju</w:t>
      </w:r>
      <w:r w:rsidR="00892F9C">
        <w:t>.</w:t>
      </w:r>
    </w:p>
    <w:p w:rsidRDefault="00E5544A" w:rsidP="00DC4051" w:rsidR="00E5544A" w:rsidRPr="006452C3">
      <w:pPr>
        <w:pStyle w:val="Grafikeoznake2"/>
        <w:numPr>
          <w:ilvl w:val="0"/>
          <w:numId w:val="0"/>
        </w:numPr>
        <w:spacing w:lineRule="auto" w:line="360"/>
        <w:ind w:left="142"/>
        <w:rPr>
          <w:b/>
        </w:rPr>
      </w:pPr>
      <w:r w:rsidRPr="006452C3">
        <w:t xml:space="preserve"> </w:t>
      </w:r>
    </w:p>
    <w:p w:rsidRDefault="00E5544A" w:rsidP="00A067F6" w:rsidR="00E97EAB">
      <w:pPr>
        <w:pStyle w:val="Grafikeoznake2"/>
        <w:numPr>
          <w:ilvl w:val="0"/>
          <w:numId w:val="3"/>
        </w:numPr>
        <w:spacing w:lineRule="auto" w:line="360"/>
        <w:jc w:val="both"/>
      </w:pPr>
      <w:r w:rsidRPr="006452C3">
        <w:t xml:space="preserve">U </w:t>
      </w:r>
      <w:r w:rsidR="00062887" w:rsidRPr="0005207F">
        <w:t>201</w:t>
      </w:r>
      <w:r w:rsidR="006358D3">
        <w:t>6</w:t>
      </w:r>
      <w:r w:rsidR="00170869" w:rsidRPr="006452C3">
        <w:t>. godini</w:t>
      </w:r>
      <w:r w:rsidRPr="006452C3">
        <w:t xml:space="preserve"> uz </w:t>
      </w:r>
      <w:r w:rsidR="007506E0" w:rsidRPr="006452C3">
        <w:t>stabilizaciju prihoda te pove</w:t>
      </w:r>
      <w:r w:rsidR="00720322" w:rsidRPr="006452C3">
        <w:t>ć</w:t>
      </w:r>
      <w:r w:rsidR="007506E0" w:rsidRPr="006452C3">
        <w:t>anje</w:t>
      </w:r>
      <w:r w:rsidRPr="006452C3">
        <w:t xml:space="preserve"> bruto marže </w:t>
      </w:r>
      <w:r w:rsidR="007506E0" w:rsidRPr="006452C3">
        <w:t>i</w:t>
      </w:r>
      <w:r w:rsidR="00CB4336">
        <w:t xml:space="preserve"> smanjenjem </w:t>
      </w:r>
      <w:r w:rsidRPr="006452C3">
        <w:t>operativnih troškova</w:t>
      </w:r>
      <w:r w:rsidR="00BA20DA">
        <w:t>,</w:t>
      </w:r>
      <w:r w:rsidRPr="006452C3">
        <w:t xml:space="preserve"> poslo</w:t>
      </w:r>
      <w:r w:rsidR="00CC2BF6">
        <w:t xml:space="preserve">vanje obrta </w:t>
      </w:r>
      <w:r w:rsidR="006358D3">
        <w:t xml:space="preserve"> biti </w:t>
      </w:r>
      <w:r w:rsidR="00BA20DA">
        <w:t xml:space="preserve">će </w:t>
      </w:r>
      <w:r w:rsidR="006358D3">
        <w:t xml:space="preserve">pozitivno. </w:t>
      </w:r>
    </w:p>
    <w:p w:rsidRDefault="00392000" w:rsidP="002E0F48" w:rsidR="00392000">
      <w:pPr>
        <w:spacing w:lineRule="auto" w:line="360"/>
        <w:jc w:val="both"/>
      </w:pPr>
    </w:p>
    <w:p w:rsidRDefault="002E0F48" w:rsidP="002E0F48" w:rsidR="002E0F48">
      <w:pPr>
        <w:spacing w:lineRule="auto" w:line="360"/>
        <w:jc w:val="both"/>
      </w:pPr>
      <w:r w:rsidRPr="006C1275">
        <w:t>U nastavku prikazujemo prosječne mjesečne troškove za nesmetano poslovanje, a odnose se</w:t>
      </w:r>
      <w:r w:rsidR="00CC2BF6">
        <w:t xml:space="preserve"> na osnovne troškove poslovanja</w:t>
      </w:r>
      <w:r w:rsidRPr="006C1275">
        <w:t>. U navedene troškove uključeni su samo</w:t>
      </w:r>
      <w:r>
        <w:t xml:space="preserve"> minimalni</w:t>
      </w:r>
      <w:r w:rsidRPr="006C1275">
        <w:t xml:space="preserve"> troškovi bruto plaća,  režijski troškovi (plin, struja, vo</w:t>
      </w:r>
      <w:r w:rsidR="00F653D2">
        <w:t>da, naknade, telefoni</w:t>
      </w:r>
      <w:r w:rsidRPr="006C1275">
        <w:t xml:space="preserve"> i sl.)</w:t>
      </w:r>
      <w:r>
        <w:t xml:space="preserve"> i ostali osnovni </w:t>
      </w:r>
      <w:r>
        <w:lastRenderedPageBreak/>
        <w:t xml:space="preserve">troškovi nužni za poslovanje. </w:t>
      </w:r>
      <w:r w:rsidRPr="00714B6E">
        <w:t>Navedeni troškovi ne uključuju financiranje</w:t>
      </w:r>
      <w:r w:rsidR="00BA20DA">
        <w:t xml:space="preserve"> materijala potrebnih</w:t>
      </w:r>
      <w:r w:rsidRPr="00714B6E">
        <w:t xml:space="preserve"> za obavljanje </w:t>
      </w:r>
      <w:r w:rsidR="0008374C">
        <w:t xml:space="preserve">poslovanja </w:t>
      </w:r>
      <w:r w:rsidRPr="00714B6E">
        <w:t>kao i ostale direktne troškove.</w:t>
      </w:r>
    </w:p>
    <w:p w:rsidRDefault="0003145F" w:rsidP="002E0F48" w:rsidR="0003145F" w:rsidRPr="006C1275">
      <w:pPr>
        <w:spacing w:lineRule="auto" w:line="360"/>
        <w:jc w:val="both"/>
      </w:pPr>
    </w:p>
    <w:tbl>
      <w:tblPr>
        <w:tblW w:type="dxa" w:w="3380"/>
        <w:jc w:val="center"/>
        <w:tblLook w:val="04A0" w:noVBand="1" w:noHBand="0" w:lastColumn="0" w:firstColumn="1" w:lastRow="0" w:firstRow="1"/>
      </w:tblPr>
      <w:tblGrid>
        <w:gridCol w:w="537"/>
        <w:gridCol w:w="1820"/>
        <w:gridCol w:w="1080"/>
      </w:tblGrid>
      <w:tr w:rsidTr="0003145F" w:rsidR="00C0337A">
        <w:trPr>
          <w:trHeight w:val="320"/>
          <w:jc w:val="center"/>
        </w:trPr>
        <w:tc>
          <w:tcPr>
            <w:tcW w:type="dxa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C0337A" w:rsidR="00C0337A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RB</w:t>
            </w:r>
          </w:p>
        </w:tc>
        <w:tc>
          <w:tcPr>
            <w:tcW w:type="dxa" w:w="18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C0337A" w:rsidR="00C0337A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Opis</w:t>
            </w:r>
          </w:p>
        </w:tc>
        <w:tc>
          <w:tcPr>
            <w:tcW w:type="dxa" w:w="10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C0337A" w:rsidR="00C0337A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Iznos</w:t>
            </w:r>
          </w:p>
        </w:tc>
      </w:tr>
      <w:tr w:rsidTr="0003145F" w:rsidR="00C0337A">
        <w:trPr>
          <w:trHeight w:val="320"/>
          <w:jc w:val="center"/>
        </w:trPr>
        <w:tc>
          <w:tcPr>
            <w:tcW w:type="dxa" w:w="4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0337A" w:rsidR="00C0337A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C0337A" w:rsidR="00C0337A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Režijski troškovi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0337A" w:rsidR="00C0337A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12.100</w:t>
            </w:r>
          </w:p>
        </w:tc>
      </w:tr>
      <w:tr w:rsidTr="0003145F" w:rsidR="00C0337A">
        <w:trPr>
          <w:trHeight w:val="320"/>
          <w:jc w:val="center"/>
        </w:trPr>
        <w:tc>
          <w:tcPr>
            <w:tcW w:type="dxa" w:w="4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0337A" w:rsidR="00C0337A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C0337A" w:rsidR="00C0337A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Bruto plaće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0337A" w:rsidR="00C0337A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11.610</w:t>
            </w:r>
          </w:p>
        </w:tc>
      </w:tr>
      <w:tr w:rsidTr="0003145F" w:rsidR="00C0337A">
        <w:trPr>
          <w:trHeight w:val="320"/>
          <w:jc w:val="center"/>
        </w:trPr>
        <w:tc>
          <w:tcPr>
            <w:tcW w:type="dxa" w:w="4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0337A" w:rsidR="00C0337A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C0337A" w:rsidR="00C0337A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Ostali troškovi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0337A" w:rsidR="00C0337A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3.271</w:t>
            </w:r>
          </w:p>
        </w:tc>
      </w:tr>
      <w:tr w:rsidTr="0003145F" w:rsidR="00C0337A">
        <w:trPr>
          <w:trHeight w:val="320"/>
          <w:jc w:val="center"/>
        </w:trPr>
        <w:tc>
          <w:tcPr>
            <w:tcW w:type="dxa" w:w="4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C0337A" w:rsidR="00C0337A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C0337A" w:rsidR="00C0337A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Ukupno: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C0337A" w:rsidR="00C0337A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26.981</w:t>
            </w:r>
          </w:p>
        </w:tc>
      </w:tr>
    </w:tbl>
    <w:p w:rsidRDefault="002E0F48" w:rsidP="00A067F6" w:rsidR="002E0F48">
      <w:pPr>
        <w:spacing w:lineRule="auto" w:line="360"/>
      </w:pPr>
    </w:p>
    <w:p w:rsidRDefault="002E0F48" w:rsidP="0003145F" w:rsidR="002E0F48" w:rsidRPr="000F3F0D">
      <w:pPr>
        <w:spacing w:lineRule="auto" w:line="360"/>
        <w:jc w:val="center"/>
        <w:rPr>
          <w:i/>
        </w:rPr>
      </w:pPr>
      <w:r w:rsidRPr="000F3F0D">
        <w:rPr>
          <w:i/>
        </w:rPr>
        <w:t xml:space="preserve">Tablica </w:t>
      </w:r>
      <w:r>
        <w:rPr>
          <w:i/>
        </w:rPr>
        <w:t>3</w:t>
      </w:r>
      <w:r w:rsidRPr="000F3F0D">
        <w:rPr>
          <w:i/>
        </w:rPr>
        <w:t xml:space="preserve">: </w:t>
      </w:r>
      <w:r w:rsidR="00C57CAA">
        <w:rPr>
          <w:i/>
        </w:rPr>
        <w:t>Minimalni</w:t>
      </w:r>
      <w:r w:rsidRPr="000F3F0D">
        <w:rPr>
          <w:i/>
        </w:rPr>
        <w:t xml:space="preserve"> mjesečni troškovi</w:t>
      </w:r>
    </w:p>
    <w:p w:rsidRDefault="00477740" w:rsidR="00477740">
      <w:pPr>
        <w:rPr>
          <w:rFonts w:eastAsia="Times New Roman"/>
          <w:b/>
          <w:bCs/>
          <w:noProof/>
          <w:color w:val="4F81BD"/>
          <w:kern w:val="32"/>
          <w:szCs w:val="32"/>
          <w:lang w:eastAsia="hr-HR" w:val="hr-HR"/>
        </w:rPr>
      </w:pPr>
      <w:bookmarkStart w:name="_Toc314077457" w:id="42"/>
      <w:bookmarkStart w:name="_Toc451235628" w:id="43"/>
      <w:r>
        <w:br w:type="page"/>
      </w:r>
    </w:p>
    <w:p w:rsidRDefault="003A6472" w:rsidP="009B53F6" w:rsidR="00893EC0" w:rsidRPr="006C1275">
      <w:pPr>
        <w:pStyle w:val="Naslov1"/>
      </w:pPr>
      <w:bookmarkStart w:name="_Toc462747754" w:id="44"/>
      <w:r w:rsidRPr="006C1275">
        <w:lastRenderedPageBreak/>
        <w:t xml:space="preserve">6. PLANIRANA BILANCA </w:t>
      </w:r>
      <w:r w:rsidR="005B2823" w:rsidRPr="006C1275">
        <w:t>NA ZADNJI DAN PETOGODIŠNJEG RAZDOBLJA</w:t>
      </w:r>
      <w:bookmarkEnd w:id="42"/>
      <w:bookmarkEnd w:id="43"/>
      <w:bookmarkEnd w:id="44"/>
    </w:p>
    <w:p w:rsidRDefault="00D90BE8" w:rsidP="00D90BE8" w:rsidR="00D90BE8" w:rsidRPr="006C1275"/>
    <w:p w:rsidRDefault="00D90BE8" w:rsidP="00D90BE8" w:rsidR="00D90BE8" w:rsidRPr="006C1275"/>
    <w:p w:rsidRDefault="001D5824" w:rsidP="00A25A95" w:rsidR="009F4214">
      <w:pPr>
        <w:spacing w:lineRule="auto" w:line="360"/>
        <w:jc w:val="both"/>
      </w:pPr>
      <w:r>
        <w:t>Obrt</w:t>
      </w:r>
      <w:r w:rsidR="00CC2BF6">
        <w:t xml:space="preserve"> </w:t>
      </w:r>
      <w:r w:rsidR="00D93333" w:rsidRPr="006C1275">
        <w:t>će  ostvarenjem navedenog Plana operativnog i financijsko</w:t>
      </w:r>
      <w:r w:rsidR="00CC2BF6">
        <w:t>g restrukturiranja biti doveden</w:t>
      </w:r>
      <w:r w:rsidR="00D93333" w:rsidRPr="006C1275">
        <w:t xml:space="preserve"> u stanje stabilnog, održivog i neograničenog poslovanja, sa stanjem obveza kako je prikazano u  Bilanci na dan 3</w:t>
      </w:r>
      <w:r w:rsidR="002C11E2" w:rsidRPr="006C1275">
        <w:t>1</w:t>
      </w:r>
      <w:r w:rsidR="00D93333" w:rsidRPr="006C1275">
        <w:t>.12.</w:t>
      </w:r>
      <w:r w:rsidR="00397EEF">
        <w:t>202</w:t>
      </w:r>
      <w:r w:rsidR="00C57CAA">
        <w:t>1</w:t>
      </w:r>
      <w:r w:rsidR="00D41EF7">
        <w:t xml:space="preserve">. godine, </w:t>
      </w:r>
      <w:r w:rsidR="00712F4A" w:rsidRPr="006C1275">
        <w:t>kao zadnjeg dana za koji</w:t>
      </w:r>
      <w:r w:rsidR="00D93333" w:rsidRPr="006C1275">
        <w:t xml:space="preserve"> je sastavljen plan.</w:t>
      </w:r>
    </w:p>
    <w:p w:rsidRDefault="0003145F" w:rsidP="00A25A95" w:rsidR="0003145F">
      <w:pPr>
        <w:spacing w:lineRule="auto" w:line="360"/>
        <w:jc w:val="both"/>
      </w:pPr>
    </w:p>
    <w:tbl>
      <w:tblPr>
        <w:tblW w:type="dxa" w:w="7922"/>
        <w:jc w:val="center"/>
        <w:tblLook w:val="04A0" w:noVBand="1" w:noHBand="0" w:lastColumn="0" w:firstColumn="1" w:lastRow="0" w:firstRow="1"/>
      </w:tblPr>
      <w:tblGrid>
        <w:gridCol w:w="5233"/>
        <w:gridCol w:w="1340"/>
        <w:gridCol w:w="9"/>
        <w:gridCol w:w="1331"/>
        <w:gridCol w:w="9"/>
      </w:tblGrid>
      <w:tr w:rsidTr="0003145F" w:rsidR="00C0337A">
        <w:trPr>
          <w:gridAfter w:val="1"/>
          <w:wAfter w:type="dxa" w:w="9"/>
          <w:trHeight w:val="320"/>
          <w:jc w:val="center"/>
        </w:trPr>
        <w:tc>
          <w:tcPr>
            <w:tcW w:type="dxa" w:w="52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C0337A" w:rsidR="00C0337A">
            <w:pPr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>Naziv pozicije</w:t>
            </w:r>
          </w:p>
        </w:tc>
        <w:tc>
          <w:tcPr>
            <w:tcW w:type="dxa" w:w="13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C0337A" w:rsidR="00C0337A">
            <w:pPr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b/>
                <w:bCs/>
                <w:sz w:val="16"/>
                <w:szCs w:val="16"/>
              </w:rPr>
              <w:t>31.8.2016.</w:t>
            </w:r>
          </w:p>
        </w:tc>
        <w:tc>
          <w:tcPr>
            <w:tcW w:type="dxa" w:w="134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E948B4" w:rsidR="00C0337A">
            <w:pPr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b/>
                <w:bCs/>
                <w:sz w:val="16"/>
                <w:szCs w:val="16"/>
              </w:rPr>
              <w:t>31.12.2021</w:t>
            </w:r>
            <w:r w:rsidR="00C0337A">
              <w:rPr>
                <w:rFonts w:cs="Arial" w:eastAsia="Times New Roman" w:hAnsi="Arial" w:ascii="Arial"/>
                <w:b/>
                <w:bCs/>
                <w:sz w:val="16"/>
                <w:szCs w:val="16"/>
              </w:rPr>
              <w:t>.</w:t>
            </w:r>
          </w:p>
        </w:tc>
      </w:tr>
      <w:tr w:rsidTr="0003145F" w:rsidR="00C0337A">
        <w:trPr>
          <w:trHeight w:val="320"/>
          <w:jc w:val="center"/>
        </w:trPr>
        <w:tc>
          <w:tcPr>
            <w:tcW w:type="dxa" w:w="6582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C0337A" w:rsidR="00C0337A">
            <w:pPr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</w:rPr>
              <w:t>PASIVA</w:t>
            </w:r>
          </w:p>
        </w:tc>
        <w:tc>
          <w:tcPr>
            <w:tcW w:type="dxa" w:w="1340"/>
            <w:gridSpan w:val="2"/>
            <w:tcBorders>
              <w:top w:val="nil"/>
              <w:left w:val="nil"/>
              <w:bottom w:val="nil"/>
              <w:right w:val="nil"/>
            </w:tcBorders>
            <w:shd w:fill="C5D9F1" w:color="000000" w:val="clear"/>
            <w:noWrap/>
            <w:vAlign w:val="bottom"/>
            <w:hideMark/>
          </w:tcPr>
          <w:p w:rsidRDefault="00C0337A" w:rsidR="00C0337A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</w:tr>
      <w:tr w:rsidTr="0003145F" w:rsidR="00C0337A">
        <w:trPr>
          <w:gridAfter w:val="1"/>
          <w:wAfter w:type="dxa" w:w="9"/>
          <w:trHeight w:val="320"/>
          <w:jc w:val="center"/>
        </w:trPr>
        <w:tc>
          <w:tcPr>
            <w:tcW w:type="dxa" w:w="52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337A" w:rsidR="00C0337A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1. Obveze za zajmove, depozite i slično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C0337A" w:rsidR="00C0337A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596.298</w:t>
            </w:r>
          </w:p>
        </w:tc>
        <w:tc>
          <w:tcPr>
            <w:tcW w:type="dxa" w:w="134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C0337A" w:rsidR="00C0337A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432.100</w:t>
            </w:r>
          </w:p>
        </w:tc>
      </w:tr>
      <w:tr w:rsidTr="0003145F" w:rsidR="00C0337A">
        <w:trPr>
          <w:gridAfter w:val="1"/>
          <w:wAfter w:type="dxa" w:w="9"/>
          <w:trHeight w:val="320"/>
          <w:jc w:val="center"/>
        </w:trPr>
        <w:tc>
          <w:tcPr>
            <w:tcW w:type="dxa" w:w="52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337A" w:rsidR="00C0337A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2. Obveze prema bankama i drugim financijskim institucijama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C0337A" w:rsidR="00C0337A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1.139.945</w:t>
            </w:r>
          </w:p>
        </w:tc>
        <w:tc>
          <w:tcPr>
            <w:tcW w:type="dxa" w:w="13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C0337A" w:rsidR="00C0337A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763.890</w:t>
            </w:r>
          </w:p>
        </w:tc>
      </w:tr>
      <w:tr w:rsidTr="0003145F" w:rsidR="00C0337A">
        <w:trPr>
          <w:gridAfter w:val="1"/>
          <w:wAfter w:type="dxa" w:w="9"/>
          <w:trHeight w:val="320"/>
          <w:jc w:val="center"/>
        </w:trPr>
        <w:tc>
          <w:tcPr>
            <w:tcW w:type="dxa" w:w="52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337A" w:rsidR="00C0337A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3. Obveze prema bankama i drugim financijskim institucijama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C0337A" w:rsidR="00C0337A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1.090.690</w:t>
            </w:r>
          </w:p>
        </w:tc>
        <w:tc>
          <w:tcPr>
            <w:tcW w:type="dxa" w:w="13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C0337A" w:rsidR="00C0337A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652.100</w:t>
            </w:r>
          </w:p>
        </w:tc>
      </w:tr>
      <w:tr w:rsidTr="0003145F" w:rsidR="00C0337A">
        <w:trPr>
          <w:gridAfter w:val="1"/>
          <w:wAfter w:type="dxa" w:w="9"/>
          <w:trHeight w:val="320"/>
          <w:jc w:val="center"/>
        </w:trPr>
        <w:tc>
          <w:tcPr>
            <w:tcW w:type="dxa" w:w="52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337A" w:rsidR="00C0337A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4. Obveze za predujmove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C0337A" w:rsidR="00C0337A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876</w:t>
            </w:r>
          </w:p>
        </w:tc>
        <w:tc>
          <w:tcPr>
            <w:tcW w:type="dxa" w:w="13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C0337A" w:rsidR="00C0337A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72.199</w:t>
            </w:r>
          </w:p>
        </w:tc>
      </w:tr>
      <w:tr w:rsidTr="0003145F" w:rsidR="00C0337A">
        <w:trPr>
          <w:gridAfter w:val="1"/>
          <w:wAfter w:type="dxa" w:w="9"/>
          <w:trHeight w:val="320"/>
          <w:jc w:val="center"/>
        </w:trPr>
        <w:tc>
          <w:tcPr>
            <w:tcW w:type="dxa" w:w="52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337A" w:rsidR="00C0337A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5. Obveze prema dobavljačima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C0337A" w:rsidR="00C0337A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1.445.340</w:t>
            </w:r>
          </w:p>
        </w:tc>
        <w:tc>
          <w:tcPr>
            <w:tcW w:type="dxa" w:w="13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C0337A" w:rsidR="00C0337A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762.190</w:t>
            </w:r>
          </w:p>
        </w:tc>
      </w:tr>
      <w:tr w:rsidTr="0003145F" w:rsidR="00C0337A">
        <w:trPr>
          <w:gridAfter w:val="1"/>
          <w:wAfter w:type="dxa" w:w="9"/>
          <w:trHeight w:val="320"/>
          <w:jc w:val="center"/>
        </w:trPr>
        <w:tc>
          <w:tcPr>
            <w:tcW w:type="dxa" w:w="52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337A" w:rsidR="00C0337A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6. Obveze prema zaposlenicima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C0337A" w:rsidR="00C0337A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140.425</w:t>
            </w:r>
          </w:p>
        </w:tc>
        <w:tc>
          <w:tcPr>
            <w:tcW w:type="dxa" w:w="13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C0337A" w:rsidR="00C0337A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03145F" w:rsidR="00C0337A">
        <w:trPr>
          <w:gridAfter w:val="1"/>
          <w:wAfter w:type="dxa" w:w="9"/>
          <w:trHeight w:val="320"/>
          <w:jc w:val="center"/>
        </w:trPr>
        <w:tc>
          <w:tcPr>
            <w:tcW w:type="dxa" w:w="52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337A" w:rsidR="00C0337A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7. Obveze za poreze, doprinose i slična davanja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C0337A" w:rsidR="00C0337A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235.071</w:t>
            </w:r>
          </w:p>
        </w:tc>
        <w:tc>
          <w:tcPr>
            <w:tcW w:type="dxa" w:w="13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C0337A" w:rsidR="00C0337A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129.387</w:t>
            </w:r>
          </w:p>
        </w:tc>
      </w:tr>
      <w:tr w:rsidTr="0003145F" w:rsidR="00C0337A">
        <w:trPr>
          <w:gridAfter w:val="1"/>
          <w:wAfter w:type="dxa" w:w="9"/>
          <w:trHeight w:val="320"/>
          <w:jc w:val="center"/>
        </w:trPr>
        <w:tc>
          <w:tcPr>
            <w:tcW w:type="dxa" w:w="52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C0337A" w:rsidR="00C0337A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>UKUPNO: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C0337A" w:rsidR="00C0337A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4.648.645</w:t>
            </w:r>
          </w:p>
        </w:tc>
        <w:tc>
          <w:tcPr>
            <w:tcW w:type="dxa" w:w="13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C0337A" w:rsidR="00C0337A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2.811.866</w:t>
            </w:r>
          </w:p>
        </w:tc>
      </w:tr>
    </w:tbl>
    <w:p w:rsidRDefault="00435D17" w:rsidP="00811448" w:rsidR="00435D17">
      <w:pPr>
        <w:spacing w:lineRule="auto" w:line="360"/>
        <w:jc w:val="both"/>
      </w:pPr>
    </w:p>
    <w:p w:rsidRDefault="0005207F" w:rsidP="00435D17" w:rsidR="0005207F" w:rsidRPr="006C1275">
      <w:pPr>
        <w:spacing w:lineRule="auto" w:line="360"/>
        <w:ind w:firstLine="708"/>
        <w:jc w:val="center"/>
      </w:pPr>
    </w:p>
    <w:p w:rsidRDefault="00E401FF" w:rsidP="009B53F6" w:rsidR="00E401FF">
      <w:pPr>
        <w:pStyle w:val="Naslov1"/>
      </w:pPr>
    </w:p>
    <w:p w:rsidRDefault="00956B00" w:rsidP="00483326" w:rsidR="00956B00"/>
    <w:p w:rsidRDefault="006358D3" w:rsidP="00483326" w:rsidR="006358D3"/>
    <w:p w:rsidRDefault="006358D3" w:rsidP="00483326" w:rsidR="006358D3"/>
    <w:p w:rsidRDefault="006358D3" w:rsidP="00483326" w:rsidR="006358D3"/>
    <w:p w:rsidRDefault="006358D3" w:rsidP="00483326" w:rsidR="006358D3"/>
    <w:p w:rsidRDefault="006358D3" w:rsidP="00483326" w:rsidR="006358D3"/>
    <w:p w:rsidRDefault="006358D3" w:rsidP="00483326" w:rsidR="006358D3"/>
    <w:p w:rsidRDefault="006358D3" w:rsidP="00483326" w:rsidR="006358D3"/>
    <w:p w:rsidRDefault="006358D3" w:rsidP="00483326" w:rsidR="006358D3"/>
    <w:p w:rsidRDefault="006358D3" w:rsidP="00483326" w:rsidR="006358D3"/>
    <w:p w:rsidRDefault="006358D3" w:rsidP="00483326" w:rsidR="006358D3"/>
    <w:p w:rsidRDefault="006358D3" w:rsidP="00483326" w:rsidR="006358D3"/>
    <w:p w:rsidRDefault="006358D3" w:rsidP="00483326" w:rsidR="006358D3"/>
    <w:p w:rsidRDefault="006358D3" w:rsidP="00483326" w:rsidR="006358D3"/>
    <w:p w:rsidRDefault="006358D3" w:rsidP="00483326" w:rsidR="006358D3"/>
    <w:p w:rsidRDefault="006358D3" w:rsidP="00483326" w:rsidR="006358D3"/>
    <w:p w:rsidRDefault="006358D3" w:rsidP="00483326" w:rsidR="006358D3"/>
    <w:p w:rsidRDefault="006358D3" w:rsidP="00483326" w:rsidR="006358D3"/>
    <w:p w:rsidRDefault="006358D3" w:rsidP="00483326" w:rsidR="006358D3"/>
    <w:p w:rsidRDefault="006358D3" w:rsidP="00483326" w:rsidR="006358D3"/>
    <w:p w:rsidRDefault="006358D3" w:rsidP="00483326" w:rsidR="006358D3"/>
    <w:p w:rsidRDefault="006358D3" w:rsidP="00483326" w:rsidR="006358D3"/>
    <w:p w:rsidRDefault="006358D3" w:rsidP="00483326" w:rsidR="006358D3"/>
    <w:p w:rsidRDefault="00F8462A" w:rsidP="00483326" w:rsidR="00F8462A"/>
    <w:p w:rsidRDefault="00F8462A" w:rsidP="00483326" w:rsidR="00F8462A" w:rsidRPr="00483326"/>
    <w:p w:rsidRDefault="006358D3" w:rsidP="009B53F6" w:rsidR="00214A9D">
      <w:pPr>
        <w:pStyle w:val="Naslov1"/>
      </w:pPr>
      <w:bookmarkStart w:name="_Toc314077459" w:id="45"/>
      <w:bookmarkStart w:name="_Toc451235629" w:id="46"/>
      <w:bookmarkStart w:name="_Toc462747755" w:id="47"/>
      <w:r w:rsidRPr="00944571">
        <w:t>7</w:t>
      </w:r>
      <w:r w:rsidR="00483326" w:rsidRPr="00944571">
        <w:t>. PONUDA VJEROVNICIMA U POSTUPKU PREDSTEČAJNE NAGODBE</w:t>
      </w:r>
      <w:bookmarkEnd w:id="45"/>
      <w:bookmarkEnd w:id="46"/>
      <w:bookmarkEnd w:id="47"/>
    </w:p>
    <w:p w:rsidRDefault="00F8462A" w:rsidP="00F8462A" w:rsidR="00F8462A" w:rsidRPr="00F8462A">
      <w:pPr>
        <w:rPr>
          <w:lang w:eastAsia="hr-HR" w:val="hr-HR"/>
        </w:rPr>
      </w:pPr>
    </w:p>
    <w:p w:rsidRDefault="008C2D5F" w:rsidP="000E6125" w:rsidR="000E6125">
      <w:pPr>
        <w:spacing w:lineRule="auto" w:line="360"/>
        <w:jc w:val="both"/>
      </w:pPr>
      <w:r w:rsidRPr="006C1275">
        <w:t xml:space="preserve">Sukladno prethodno opisnom modelu, prijedlog predstečajne nagodbe </w:t>
      </w:r>
      <w:r w:rsidR="008074E1" w:rsidRPr="006C1275">
        <w:t>bazira se na</w:t>
      </w:r>
      <w:r w:rsidR="00B1120C" w:rsidRPr="006C1275">
        <w:t xml:space="preserve"> otpisu </w:t>
      </w:r>
      <w:r w:rsidR="008074E1" w:rsidRPr="006C1275">
        <w:t xml:space="preserve"> </w:t>
      </w:r>
      <w:r w:rsidR="00695824">
        <w:t>dijela tražbina.</w:t>
      </w:r>
    </w:p>
    <w:p w:rsidRDefault="00714B6E" w:rsidP="000E6125" w:rsidR="00714B6E">
      <w:pPr>
        <w:spacing w:lineRule="auto" w:line="360"/>
        <w:jc w:val="both"/>
      </w:pPr>
    </w:p>
    <w:p w:rsidRDefault="00067783" w:rsidP="000E6125" w:rsidR="00E65A27">
      <w:pPr>
        <w:spacing w:lineRule="auto" w:line="360"/>
        <w:jc w:val="both"/>
        <w:rPr>
          <w:b/>
          <w:u w:val="single"/>
        </w:rPr>
      </w:pPr>
      <w:r w:rsidRPr="006C1275">
        <w:rPr>
          <w:b/>
          <w:u w:val="single"/>
        </w:rPr>
        <w:t>T</w:t>
      </w:r>
      <w:r w:rsidR="0069683B" w:rsidRPr="006C1275">
        <w:rPr>
          <w:b/>
          <w:u w:val="single"/>
        </w:rPr>
        <w:t>ražbin</w:t>
      </w:r>
      <w:r w:rsidRPr="006C1275">
        <w:rPr>
          <w:b/>
          <w:u w:val="single"/>
        </w:rPr>
        <w:t>e</w:t>
      </w:r>
      <w:r w:rsidR="0069683B" w:rsidRPr="006C1275">
        <w:rPr>
          <w:b/>
          <w:u w:val="single"/>
        </w:rPr>
        <w:t xml:space="preserve"> vjerovnika:</w:t>
      </w:r>
    </w:p>
    <w:p w:rsidRDefault="00CC2BF6" w:rsidP="00CC2BF6" w:rsidR="00CC2BF6">
      <w:bookmarkStart w:name="_Toc314077460" w:id="48"/>
      <w:bookmarkStart w:name="_Toc451235630" w:id="49"/>
    </w:p>
    <w:p w:rsidRDefault="00E073C6" w:rsidP="00E073C6" w:rsidR="00E073C6" w:rsidRPr="000B506E">
      <w:pPr>
        <w:spacing w:lineRule="auto" w:line="360"/>
        <w:jc w:val="both"/>
        <w:rPr>
          <w:color w:val="000000"/>
        </w:rPr>
      </w:pPr>
      <w:r w:rsidRPr="00C065C9">
        <w:rPr>
          <w:noProof/>
          <w:color w:val="000000"/>
        </w:rPr>
        <w:t>1</w:t>
      </w:r>
      <w:r w:rsidRPr="000B506E">
        <w:rPr>
          <w:noProof/>
          <w:color w:val="000000"/>
        </w:rPr>
        <w:t xml:space="preserve">. </w:t>
      </w:r>
      <w:r w:rsidRPr="00C065C9">
        <w:rPr>
          <w:noProof/>
          <w:color w:val="000000"/>
        </w:rPr>
        <w:t>A&amp;E EUROPE d.o.o.</w:t>
      </w:r>
      <w:r w:rsidRPr="000B506E">
        <w:rPr>
          <w:noProof/>
          <w:color w:val="000000"/>
        </w:rPr>
        <w:t xml:space="preserve">, </w:t>
      </w:r>
      <w:r w:rsidRPr="000B506E">
        <w:rPr>
          <w:color w:val="000000"/>
        </w:rPr>
        <w:t>OIB:</w:t>
      </w:r>
      <w:r w:rsidRPr="000B506E">
        <w:rPr>
          <w:noProof/>
          <w:color w:val="000000"/>
        </w:rPr>
        <w:t xml:space="preserve"> </w:t>
      </w:r>
      <w:r w:rsidRPr="00C065C9">
        <w:rPr>
          <w:noProof/>
          <w:color w:val="000000"/>
        </w:rPr>
        <w:t xml:space="preserve">           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utvrđeni iznos tražbine iznosi </w:t>
      </w:r>
      <w:r w:rsidRPr="00C065C9">
        <w:rPr>
          <w:noProof/>
          <w:color w:val="000000"/>
        </w:rPr>
        <w:t>6.878,94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kn.  Predstečajni vjerovnik otpušta dužniku dio utvrđene tražbine, što iznosi </w:t>
      </w:r>
      <w:r w:rsidRPr="00C065C9">
        <w:rPr>
          <w:noProof/>
          <w:color w:val="000000"/>
        </w:rPr>
        <w:t>3.439,47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kn. Preostali iznos tražbine od </w:t>
      </w:r>
      <w:r w:rsidRPr="00C065C9">
        <w:rPr>
          <w:noProof/>
          <w:color w:val="000000"/>
        </w:rPr>
        <w:t>3.439,47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 otplatiti će se nakon isteka počeka od 12 mjeseci na </w:t>
      </w:r>
      <w:r>
        <w:rPr>
          <w:color w:val="000000"/>
        </w:rPr>
        <w:t>48</w:t>
      </w:r>
      <w:r w:rsidRPr="000B506E">
        <w:rPr>
          <w:color w:val="000000"/>
        </w:rPr>
        <w:t xml:space="preserve"> jednakih mjesečnih anuiteta</w:t>
      </w:r>
      <w:r>
        <w:rPr>
          <w:color w:val="000000"/>
        </w:rPr>
        <w:t xml:space="preserve"> od kojih svaki iznosi </w:t>
      </w:r>
      <w:r w:rsidRPr="00C065C9">
        <w:rPr>
          <w:rFonts w:eastAsia="MS Mincho"/>
          <w:noProof/>
          <w:color w:val="000000"/>
        </w:rPr>
        <w:t>71,66</w:t>
      </w:r>
      <w:r>
        <w:rPr>
          <w:color w:val="000000"/>
        </w:rPr>
        <w:t xml:space="preserve"> kn</w:t>
      </w:r>
      <w:r w:rsidRPr="000B506E">
        <w:rPr>
          <w:color w:val="000000"/>
        </w:rPr>
        <w:t xml:space="preserve">, bez kamata, računajući od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 xml:space="preserve">. Prvi anuitet će se platiti 15-tog u mjesecu, 12 mjeseci nakon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>, dok će se svaki naredni anuitet platiti mjesečno, najkasnije do 15-tog u mjesecu za prethodni  mjesec.</w:t>
      </w:r>
    </w:p>
    <w:p w:rsidRDefault="00E073C6" w:rsidP="00E073C6" w:rsidR="00E073C6"/>
    <w:p w:rsidRDefault="00E073C6" w:rsidP="00E073C6" w:rsidR="00E073C6" w:rsidRPr="000B506E">
      <w:pPr>
        <w:spacing w:lineRule="auto" w:line="360"/>
        <w:jc w:val="both"/>
        <w:rPr>
          <w:color w:val="000000"/>
        </w:rPr>
      </w:pPr>
      <w:r w:rsidRPr="00C065C9">
        <w:rPr>
          <w:noProof/>
          <w:color w:val="000000"/>
        </w:rPr>
        <w:t>2</w:t>
      </w:r>
      <w:r w:rsidRPr="000B506E">
        <w:rPr>
          <w:noProof/>
          <w:color w:val="000000"/>
        </w:rPr>
        <w:t xml:space="preserve">. </w:t>
      </w:r>
      <w:r w:rsidRPr="00C065C9">
        <w:rPr>
          <w:noProof/>
          <w:color w:val="000000"/>
        </w:rPr>
        <w:t>A&amp;E textil gmbh</w:t>
      </w:r>
      <w:r w:rsidRPr="000B506E">
        <w:rPr>
          <w:noProof/>
          <w:color w:val="000000"/>
        </w:rPr>
        <w:t xml:space="preserve">, </w:t>
      </w:r>
      <w:r w:rsidRPr="000B506E">
        <w:rPr>
          <w:color w:val="000000"/>
        </w:rPr>
        <w:t>OIB:</w:t>
      </w:r>
      <w:r w:rsidRPr="000B506E">
        <w:rPr>
          <w:noProof/>
          <w:color w:val="000000"/>
        </w:rPr>
        <w:t xml:space="preserve"> </w:t>
      </w:r>
      <w:r w:rsidRPr="00C065C9">
        <w:rPr>
          <w:noProof/>
          <w:color w:val="000000"/>
        </w:rPr>
        <w:t xml:space="preserve">           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utvrđeni iznos tražbine iznosi </w:t>
      </w:r>
      <w:r w:rsidRPr="00C065C9">
        <w:rPr>
          <w:noProof/>
          <w:color w:val="000000"/>
        </w:rPr>
        <w:t>7.207,23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kn.  Predstečajni vjerovnik otpušta dužniku dio utvrđene tražbine, što iznosi </w:t>
      </w:r>
      <w:r w:rsidRPr="00C065C9">
        <w:rPr>
          <w:noProof/>
          <w:color w:val="000000"/>
        </w:rPr>
        <w:t>3.603,62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kn. Preostali iznos tražbine od </w:t>
      </w:r>
      <w:r w:rsidRPr="00C065C9">
        <w:rPr>
          <w:noProof/>
          <w:color w:val="000000"/>
        </w:rPr>
        <w:t>3.603,62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 otplatiti će se nakon isteka počeka od 12 mjeseci na </w:t>
      </w:r>
      <w:r>
        <w:rPr>
          <w:color w:val="000000"/>
        </w:rPr>
        <w:t>48</w:t>
      </w:r>
      <w:r w:rsidRPr="000B506E">
        <w:rPr>
          <w:color w:val="000000"/>
        </w:rPr>
        <w:t xml:space="preserve"> jednakih mjesečnih anuiteta</w:t>
      </w:r>
      <w:r>
        <w:rPr>
          <w:color w:val="000000"/>
        </w:rPr>
        <w:t xml:space="preserve"> od kojih svaki iznosi </w:t>
      </w:r>
      <w:r w:rsidRPr="00C065C9">
        <w:rPr>
          <w:rFonts w:eastAsia="MS Mincho"/>
          <w:noProof/>
          <w:color w:val="000000"/>
        </w:rPr>
        <w:t>75,08</w:t>
      </w:r>
      <w:r>
        <w:rPr>
          <w:color w:val="000000"/>
        </w:rPr>
        <w:t xml:space="preserve"> kn</w:t>
      </w:r>
      <w:r w:rsidRPr="000B506E">
        <w:rPr>
          <w:color w:val="000000"/>
        </w:rPr>
        <w:t xml:space="preserve">, bez kamata, računajući od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 xml:space="preserve">. Prvi anuitet će se platiti 15-tog u mjesecu, 12 mjeseci nakon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>, dok će se svaki naredni anuitet platiti mjesečno, najkasnije do 15-tog u mjesecu za prethodni  mjesec.</w:t>
      </w:r>
    </w:p>
    <w:p w:rsidRDefault="00E073C6" w:rsidP="00E073C6" w:rsidR="00E073C6"/>
    <w:p w:rsidRDefault="00E073C6" w:rsidP="00E073C6" w:rsidR="00E073C6" w:rsidRPr="000B506E">
      <w:pPr>
        <w:spacing w:lineRule="auto" w:line="360"/>
        <w:jc w:val="both"/>
        <w:rPr>
          <w:color w:val="000000"/>
        </w:rPr>
      </w:pPr>
      <w:r w:rsidRPr="00C065C9">
        <w:rPr>
          <w:noProof/>
          <w:color w:val="000000"/>
        </w:rPr>
        <w:t>3</w:t>
      </w:r>
      <w:r w:rsidRPr="000B506E">
        <w:rPr>
          <w:noProof/>
          <w:color w:val="000000"/>
        </w:rPr>
        <w:t xml:space="preserve">. </w:t>
      </w:r>
      <w:r w:rsidRPr="00C065C9">
        <w:rPr>
          <w:noProof/>
          <w:color w:val="000000"/>
        </w:rPr>
        <w:t>A2B EXPRESS LOGISTIKA d.o.o. za prijevoz i otpremništvo</w:t>
      </w:r>
      <w:r w:rsidRPr="000B506E">
        <w:rPr>
          <w:noProof/>
          <w:color w:val="000000"/>
        </w:rPr>
        <w:t xml:space="preserve">, </w:t>
      </w:r>
      <w:r w:rsidRPr="000B506E">
        <w:rPr>
          <w:color w:val="000000"/>
        </w:rPr>
        <w:t>OIB:</w:t>
      </w:r>
      <w:r w:rsidRPr="000B506E">
        <w:rPr>
          <w:noProof/>
          <w:color w:val="000000"/>
        </w:rPr>
        <w:t xml:space="preserve"> </w:t>
      </w:r>
      <w:r w:rsidRPr="00C065C9">
        <w:rPr>
          <w:noProof/>
          <w:color w:val="000000"/>
        </w:rPr>
        <w:t>54655542852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utvrđeni iznos tražbine iznosi </w:t>
      </w:r>
      <w:r w:rsidRPr="00C065C9">
        <w:rPr>
          <w:noProof/>
          <w:color w:val="000000"/>
        </w:rPr>
        <w:t>768,85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kn.  Predstečajni vjerovnik otpušta dužniku dio utvrđene tražbine, što iznosi </w:t>
      </w:r>
      <w:r w:rsidRPr="00C065C9">
        <w:rPr>
          <w:noProof/>
          <w:color w:val="000000"/>
        </w:rPr>
        <w:t>384,43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kn. Preostali iznos tražbine od </w:t>
      </w:r>
      <w:r w:rsidRPr="00C065C9">
        <w:rPr>
          <w:noProof/>
          <w:color w:val="000000"/>
        </w:rPr>
        <w:t>384,43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 otplatiti će se nakon isteka počeka od 12 mjeseci na </w:t>
      </w:r>
      <w:r>
        <w:rPr>
          <w:color w:val="000000"/>
        </w:rPr>
        <w:t>48</w:t>
      </w:r>
      <w:r w:rsidRPr="000B506E">
        <w:rPr>
          <w:color w:val="000000"/>
        </w:rPr>
        <w:t xml:space="preserve"> jednakih mjesečnih anuiteta</w:t>
      </w:r>
      <w:r>
        <w:rPr>
          <w:color w:val="000000"/>
        </w:rPr>
        <w:t xml:space="preserve"> od kojih svaki iznosi </w:t>
      </w:r>
      <w:r w:rsidRPr="00C065C9">
        <w:rPr>
          <w:rFonts w:eastAsia="MS Mincho"/>
          <w:noProof/>
          <w:color w:val="000000"/>
        </w:rPr>
        <w:t>8,01</w:t>
      </w:r>
      <w:r>
        <w:rPr>
          <w:color w:val="000000"/>
        </w:rPr>
        <w:t xml:space="preserve"> kn</w:t>
      </w:r>
      <w:r w:rsidRPr="000B506E">
        <w:rPr>
          <w:color w:val="000000"/>
        </w:rPr>
        <w:t xml:space="preserve">, bez kamata, računajući od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 xml:space="preserve">. Prvi anuitet će se platiti 15-tog u mjesecu, 12 mjeseci nakon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>, dok će se svaki naredni anuitet platiti mjesečno, najkasnije do 15-tog u mjesecu za prethodni  mjesec.</w:t>
      </w:r>
    </w:p>
    <w:p w:rsidRDefault="00E073C6" w:rsidP="00E073C6" w:rsidR="00E073C6"/>
    <w:p w:rsidRDefault="00E073C6" w:rsidP="00E073C6" w:rsidR="00E073C6" w:rsidRPr="000B506E">
      <w:pPr>
        <w:spacing w:lineRule="auto" w:line="360"/>
        <w:jc w:val="both"/>
        <w:rPr>
          <w:color w:val="000000"/>
        </w:rPr>
      </w:pPr>
      <w:r w:rsidRPr="00C065C9">
        <w:rPr>
          <w:noProof/>
          <w:color w:val="000000"/>
        </w:rPr>
        <w:t>4</w:t>
      </w:r>
      <w:r w:rsidRPr="000B506E">
        <w:rPr>
          <w:noProof/>
          <w:color w:val="000000"/>
        </w:rPr>
        <w:t xml:space="preserve">. </w:t>
      </w:r>
      <w:r w:rsidRPr="00C065C9">
        <w:rPr>
          <w:noProof/>
          <w:color w:val="000000"/>
        </w:rPr>
        <w:t>Addiko Bank dioničko društvo</w:t>
      </w:r>
      <w:r w:rsidRPr="000B506E">
        <w:rPr>
          <w:noProof/>
          <w:color w:val="000000"/>
        </w:rPr>
        <w:t xml:space="preserve">, </w:t>
      </w:r>
      <w:r w:rsidRPr="000B506E">
        <w:rPr>
          <w:color w:val="000000"/>
        </w:rPr>
        <w:t>OIB:</w:t>
      </w:r>
      <w:r w:rsidRPr="000B506E">
        <w:rPr>
          <w:noProof/>
          <w:color w:val="000000"/>
        </w:rPr>
        <w:t xml:space="preserve"> </w:t>
      </w:r>
      <w:r w:rsidRPr="00C065C9">
        <w:rPr>
          <w:noProof/>
          <w:color w:val="000000"/>
        </w:rPr>
        <w:t>14036333877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utvrđeni iznos tražbine iznosi </w:t>
      </w:r>
      <w:r w:rsidRPr="00C065C9">
        <w:rPr>
          <w:noProof/>
          <w:color w:val="000000"/>
        </w:rPr>
        <w:t>1.382.731,58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kn.  Predstečajni vjerovnik otpušta dužniku dio utvrđene tražbine, što iznosi </w:t>
      </w:r>
      <w:r w:rsidRPr="00C065C9">
        <w:rPr>
          <w:noProof/>
          <w:color w:val="000000"/>
        </w:rPr>
        <w:t>691.365,79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kn. Preostali iznos tražbine od </w:t>
      </w:r>
      <w:r w:rsidRPr="00C065C9">
        <w:rPr>
          <w:noProof/>
          <w:color w:val="000000"/>
        </w:rPr>
        <w:t>691.365,79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 otplatiti će se nakon isteka počeka od 12 mjeseci na </w:t>
      </w:r>
      <w:r>
        <w:rPr>
          <w:color w:val="000000"/>
        </w:rPr>
        <w:t>48</w:t>
      </w:r>
      <w:r w:rsidRPr="000B506E">
        <w:rPr>
          <w:color w:val="000000"/>
        </w:rPr>
        <w:t xml:space="preserve"> jednakih mjesečnih anuiteta</w:t>
      </w:r>
      <w:r>
        <w:rPr>
          <w:color w:val="000000"/>
        </w:rPr>
        <w:t xml:space="preserve"> od kojih svaki iznosi </w:t>
      </w:r>
      <w:r w:rsidRPr="00C065C9">
        <w:rPr>
          <w:rFonts w:eastAsia="MS Mincho"/>
          <w:noProof/>
          <w:color w:val="000000"/>
        </w:rPr>
        <w:t>14.403,45</w:t>
      </w:r>
      <w:r>
        <w:rPr>
          <w:color w:val="000000"/>
        </w:rPr>
        <w:t xml:space="preserve"> kn</w:t>
      </w:r>
      <w:r w:rsidRPr="000B506E">
        <w:rPr>
          <w:color w:val="000000"/>
        </w:rPr>
        <w:t xml:space="preserve">, bez kamata, računajući od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 xml:space="preserve">. Prvi anuitet će se platiti 15-tog u mjesecu, 12 mjeseci nakon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>, dok će se svaki naredni anuitet platiti mjesečno, najkasnije do 15-tog u mjesecu za prethodni  mjesec.</w:t>
      </w:r>
    </w:p>
    <w:p w:rsidRDefault="00E073C6" w:rsidP="00E073C6" w:rsidR="00E073C6"/>
    <w:p w:rsidRDefault="00E073C6" w:rsidP="00E073C6" w:rsidR="00E073C6" w:rsidRPr="000B506E">
      <w:pPr>
        <w:spacing w:lineRule="auto" w:line="360"/>
        <w:jc w:val="both"/>
        <w:rPr>
          <w:color w:val="000000"/>
        </w:rPr>
      </w:pPr>
      <w:r w:rsidRPr="00C065C9">
        <w:rPr>
          <w:noProof/>
          <w:color w:val="000000"/>
        </w:rPr>
        <w:t>5</w:t>
      </w:r>
      <w:r w:rsidRPr="000B506E">
        <w:rPr>
          <w:noProof/>
          <w:color w:val="000000"/>
        </w:rPr>
        <w:t xml:space="preserve">. </w:t>
      </w:r>
      <w:r w:rsidRPr="00C065C9">
        <w:rPr>
          <w:noProof/>
          <w:color w:val="000000"/>
        </w:rPr>
        <w:t>ALFACOMMERCE d.o.o. za grafičke usluge i trgovinu</w:t>
      </w:r>
      <w:r w:rsidRPr="000B506E">
        <w:rPr>
          <w:noProof/>
          <w:color w:val="000000"/>
        </w:rPr>
        <w:t xml:space="preserve">, </w:t>
      </w:r>
      <w:r w:rsidRPr="000B506E">
        <w:rPr>
          <w:color w:val="000000"/>
        </w:rPr>
        <w:t>OIB:</w:t>
      </w:r>
      <w:r w:rsidRPr="000B506E">
        <w:rPr>
          <w:noProof/>
          <w:color w:val="000000"/>
        </w:rPr>
        <w:t xml:space="preserve"> </w:t>
      </w:r>
      <w:r w:rsidRPr="00C065C9">
        <w:rPr>
          <w:noProof/>
          <w:color w:val="000000"/>
        </w:rPr>
        <w:t>50060614918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utvrđeni iznos tražbine iznosi </w:t>
      </w:r>
      <w:r w:rsidRPr="00C065C9">
        <w:rPr>
          <w:noProof/>
          <w:color w:val="000000"/>
        </w:rPr>
        <w:t>4.931,87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kn.  Predstečajni vjerovnik otpušta dužniku dio utvrđene tražbine, što iznosi </w:t>
      </w:r>
      <w:r w:rsidRPr="00C065C9">
        <w:rPr>
          <w:noProof/>
          <w:color w:val="000000"/>
        </w:rPr>
        <w:t>2.465,94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kn. Preostali iznos tražbine od </w:t>
      </w:r>
      <w:r w:rsidRPr="00C065C9">
        <w:rPr>
          <w:noProof/>
          <w:color w:val="000000"/>
        </w:rPr>
        <w:t>2.465,94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 otplatiti će se nakon isteka počeka od 12 mjeseci na </w:t>
      </w:r>
      <w:r>
        <w:rPr>
          <w:color w:val="000000"/>
        </w:rPr>
        <w:t>48</w:t>
      </w:r>
      <w:r w:rsidRPr="000B506E">
        <w:rPr>
          <w:color w:val="000000"/>
        </w:rPr>
        <w:t xml:space="preserve"> jednakih mjesečnih anuiteta</w:t>
      </w:r>
      <w:r>
        <w:rPr>
          <w:color w:val="000000"/>
        </w:rPr>
        <w:t xml:space="preserve"> od kojih svaki iznosi </w:t>
      </w:r>
      <w:r w:rsidRPr="00C065C9">
        <w:rPr>
          <w:rFonts w:eastAsia="MS Mincho"/>
          <w:noProof/>
          <w:color w:val="000000"/>
        </w:rPr>
        <w:t>51,37</w:t>
      </w:r>
      <w:r>
        <w:rPr>
          <w:color w:val="000000"/>
        </w:rPr>
        <w:t xml:space="preserve"> kn</w:t>
      </w:r>
      <w:r w:rsidRPr="000B506E">
        <w:rPr>
          <w:color w:val="000000"/>
        </w:rPr>
        <w:t xml:space="preserve">, bez kamata, računajući od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 xml:space="preserve">. Prvi anuitet će se platiti 15-tog u mjesecu, 12 mjeseci nakon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>, dok će se svaki naredni anuitet platiti mjesečno, najkasnije do 15-tog u mjesecu za prethodni  mjesec.</w:t>
      </w:r>
    </w:p>
    <w:p w:rsidRDefault="00E073C6" w:rsidP="00E073C6" w:rsidR="00E073C6"/>
    <w:p w:rsidRDefault="00E073C6" w:rsidP="00E073C6" w:rsidR="00E073C6" w:rsidRPr="000B506E">
      <w:pPr>
        <w:spacing w:lineRule="auto" w:line="360"/>
        <w:jc w:val="both"/>
        <w:rPr>
          <w:color w:val="000000"/>
        </w:rPr>
      </w:pPr>
      <w:r w:rsidRPr="00C065C9">
        <w:rPr>
          <w:noProof/>
          <w:color w:val="000000"/>
        </w:rPr>
        <w:t>6</w:t>
      </w:r>
      <w:r w:rsidRPr="000B506E">
        <w:rPr>
          <w:noProof/>
          <w:color w:val="000000"/>
        </w:rPr>
        <w:t xml:space="preserve">. </w:t>
      </w:r>
      <w:r w:rsidRPr="00C065C9">
        <w:rPr>
          <w:noProof/>
          <w:color w:val="000000"/>
        </w:rPr>
        <w:t>AUTO CENTAR VASILJ d.o.o. za trgovinu, održavanje i popravak motornih vozila</w:t>
      </w:r>
      <w:r w:rsidRPr="000B506E">
        <w:rPr>
          <w:noProof/>
          <w:color w:val="000000"/>
        </w:rPr>
        <w:t xml:space="preserve">, </w:t>
      </w:r>
      <w:r w:rsidRPr="000B506E">
        <w:rPr>
          <w:color w:val="000000"/>
        </w:rPr>
        <w:t>OIB:</w:t>
      </w:r>
      <w:r w:rsidRPr="000B506E">
        <w:rPr>
          <w:noProof/>
          <w:color w:val="000000"/>
        </w:rPr>
        <w:t xml:space="preserve"> </w:t>
      </w:r>
      <w:r w:rsidRPr="00C065C9">
        <w:rPr>
          <w:noProof/>
          <w:color w:val="000000"/>
        </w:rPr>
        <w:t>05345206421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utvrđeni iznos tražbine iznosi </w:t>
      </w:r>
      <w:r w:rsidRPr="00C065C9">
        <w:rPr>
          <w:noProof/>
          <w:color w:val="000000"/>
        </w:rPr>
        <w:t>5.415,89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kn.  Predstečajni vjerovnik otpušta dužniku dio utvrđene tražbine, što iznosi </w:t>
      </w:r>
      <w:r w:rsidRPr="00C065C9">
        <w:rPr>
          <w:noProof/>
          <w:color w:val="000000"/>
        </w:rPr>
        <w:t>2.707,95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kn. Preostali iznos tražbine od </w:t>
      </w:r>
      <w:r w:rsidRPr="00C065C9">
        <w:rPr>
          <w:noProof/>
          <w:color w:val="000000"/>
        </w:rPr>
        <w:t>2.707,95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 otplatiti će se nakon isteka počeka od 12 mjeseci na </w:t>
      </w:r>
      <w:r>
        <w:rPr>
          <w:color w:val="000000"/>
        </w:rPr>
        <w:t>48</w:t>
      </w:r>
      <w:r w:rsidRPr="000B506E">
        <w:rPr>
          <w:color w:val="000000"/>
        </w:rPr>
        <w:t xml:space="preserve"> jednakih mjesečnih anuiteta</w:t>
      </w:r>
      <w:r>
        <w:rPr>
          <w:color w:val="000000"/>
        </w:rPr>
        <w:t xml:space="preserve"> od kojih svaki iznosi </w:t>
      </w:r>
      <w:r w:rsidRPr="00C065C9">
        <w:rPr>
          <w:rFonts w:eastAsia="MS Mincho"/>
          <w:noProof/>
          <w:color w:val="000000"/>
        </w:rPr>
        <w:t>56,42</w:t>
      </w:r>
      <w:r>
        <w:rPr>
          <w:color w:val="000000"/>
        </w:rPr>
        <w:t xml:space="preserve"> kn</w:t>
      </w:r>
      <w:r w:rsidRPr="000B506E">
        <w:rPr>
          <w:color w:val="000000"/>
        </w:rPr>
        <w:t xml:space="preserve">, bez kamata, računajući od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 xml:space="preserve">. Prvi anuitet će se platiti 15-tog u mjesecu, 12 mjeseci nakon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>, dok će se svaki naredni anuitet platiti mjesečno, najkasnije do 15-tog u mjesecu za prethodni  mjesec.</w:t>
      </w:r>
    </w:p>
    <w:p w:rsidRDefault="00E073C6" w:rsidP="00E073C6" w:rsidR="00E073C6"/>
    <w:p w:rsidRDefault="00E073C6" w:rsidP="00E073C6" w:rsidR="00E073C6" w:rsidRPr="000B506E">
      <w:pPr>
        <w:spacing w:lineRule="auto" w:line="360"/>
        <w:jc w:val="both"/>
        <w:rPr>
          <w:color w:val="000000"/>
        </w:rPr>
      </w:pPr>
      <w:r w:rsidRPr="00C065C9">
        <w:rPr>
          <w:noProof/>
          <w:color w:val="000000"/>
        </w:rPr>
        <w:t>7</w:t>
      </w:r>
      <w:r w:rsidRPr="000B506E">
        <w:rPr>
          <w:noProof/>
          <w:color w:val="000000"/>
        </w:rPr>
        <w:t xml:space="preserve">. </w:t>
      </w:r>
      <w:r w:rsidRPr="00C065C9">
        <w:rPr>
          <w:noProof/>
          <w:color w:val="000000"/>
        </w:rPr>
        <w:t>AUTO KANTOCI, trgovina i usluge, d.o.o.</w:t>
      </w:r>
      <w:r w:rsidRPr="000B506E">
        <w:rPr>
          <w:noProof/>
          <w:color w:val="000000"/>
        </w:rPr>
        <w:t xml:space="preserve">, </w:t>
      </w:r>
      <w:r w:rsidRPr="000B506E">
        <w:rPr>
          <w:color w:val="000000"/>
        </w:rPr>
        <w:t>OIB:</w:t>
      </w:r>
      <w:r w:rsidRPr="000B506E">
        <w:rPr>
          <w:noProof/>
          <w:color w:val="000000"/>
        </w:rPr>
        <w:t xml:space="preserve"> </w:t>
      </w:r>
      <w:r w:rsidRPr="00C065C9">
        <w:rPr>
          <w:noProof/>
          <w:color w:val="000000"/>
        </w:rPr>
        <w:t>61995520253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utvrđeni iznos tražbine iznosi </w:t>
      </w:r>
      <w:r w:rsidRPr="00C065C9">
        <w:rPr>
          <w:noProof/>
          <w:color w:val="000000"/>
        </w:rPr>
        <w:t>8.962,65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kn.  Predstečajni vjerovnik otpušta dužniku dio utvrđene tražbine, što iznosi </w:t>
      </w:r>
      <w:r w:rsidRPr="00C065C9">
        <w:rPr>
          <w:noProof/>
          <w:color w:val="000000"/>
        </w:rPr>
        <w:t>4.481,33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kn. Preostali iznos tražbine od </w:t>
      </w:r>
      <w:r w:rsidRPr="00C065C9">
        <w:rPr>
          <w:noProof/>
          <w:color w:val="000000"/>
        </w:rPr>
        <w:t>4.481,33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 otplatiti će se nakon isteka počeka od 12 mjeseci na </w:t>
      </w:r>
      <w:r>
        <w:rPr>
          <w:color w:val="000000"/>
        </w:rPr>
        <w:t>48</w:t>
      </w:r>
      <w:r w:rsidRPr="000B506E">
        <w:rPr>
          <w:color w:val="000000"/>
        </w:rPr>
        <w:t xml:space="preserve"> jednakih mjesečnih anuiteta</w:t>
      </w:r>
      <w:r>
        <w:rPr>
          <w:color w:val="000000"/>
        </w:rPr>
        <w:t xml:space="preserve"> od kojih svaki iznosi </w:t>
      </w:r>
      <w:r w:rsidRPr="00C065C9">
        <w:rPr>
          <w:rFonts w:eastAsia="MS Mincho"/>
          <w:noProof/>
          <w:color w:val="000000"/>
        </w:rPr>
        <w:t>93,36</w:t>
      </w:r>
      <w:r>
        <w:rPr>
          <w:color w:val="000000"/>
        </w:rPr>
        <w:t xml:space="preserve"> kn</w:t>
      </w:r>
      <w:r w:rsidRPr="000B506E">
        <w:rPr>
          <w:color w:val="000000"/>
        </w:rPr>
        <w:t xml:space="preserve">, bez kamata, </w:t>
      </w:r>
      <w:r w:rsidRPr="000B506E">
        <w:rPr>
          <w:color w:val="000000"/>
        </w:rPr>
        <w:lastRenderedPageBreak/>
        <w:t xml:space="preserve">računajući od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 xml:space="preserve">. Prvi anuitet će se platiti 15-tog u mjesecu, 12 mjeseci nakon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>, dok će se svaki naredni anuitet platiti mjesečno, najkasnije do 15-tog u mjesecu za prethodni  mjesec.</w:t>
      </w:r>
    </w:p>
    <w:p w:rsidRDefault="00E073C6" w:rsidP="00E073C6" w:rsidR="00E073C6"/>
    <w:p w:rsidRDefault="00E073C6" w:rsidP="00E073C6" w:rsidR="00E073C6" w:rsidRPr="000B506E">
      <w:pPr>
        <w:spacing w:lineRule="auto" w:line="360"/>
        <w:jc w:val="both"/>
        <w:rPr>
          <w:color w:val="000000"/>
        </w:rPr>
      </w:pPr>
      <w:r w:rsidRPr="00C065C9">
        <w:rPr>
          <w:noProof/>
          <w:color w:val="000000"/>
        </w:rPr>
        <w:t>8</w:t>
      </w:r>
      <w:r w:rsidRPr="000B506E">
        <w:rPr>
          <w:noProof/>
          <w:color w:val="000000"/>
        </w:rPr>
        <w:t xml:space="preserve">. </w:t>
      </w:r>
      <w:r w:rsidRPr="00C065C9">
        <w:rPr>
          <w:noProof/>
          <w:color w:val="000000"/>
        </w:rPr>
        <w:t>BETI  PLETIVA d.o.o.</w:t>
      </w:r>
      <w:r w:rsidRPr="000B506E">
        <w:rPr>
          <w:noProof/>
          <w:color w:val="000000"/>
        </w:rPr>
        <w:t xml:space="preserve">, </w:t>
      </w:r>
      <w:r w:rsidRPr="000B506E">
        <w:rPr>
          <w:color w:val="000000"/>
        </w:rPr>
        <w:t>OIB:</w:t>
      </w:r>
      <w:r w:rsidRPr="000B506E">
        <w:rPr>
          <w:noProof/>
          <w:color w:val="000000"/>
        </w:rPr>
        <w:t xml:space="preserve"> </w:t>
      </w:r>
      <w:r w:rsidRPr="00C065C9">
        <w:rPr>
          <w:noProof/>
          <w:color w:val="000000"/>
        </w:rPr>
        <w:t xml:space="preserve">           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utvrđeni iznos tražbine iznosi </w:t>
      </w:r>
      <w:r w:rsidRPr="00C065C9">
        <w:rPr>
          <w:noProof/>
          <w:color w:val="000000"/>
        </w:rPr>
        <w:t>278.454,41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kn.  Predstečajni vjerovnik otpušta dužniku dio utvrđene tražbine, što iznosi </w:t>
      </w:r>
      <w:r w:rsidRPr="00C065C9">
        <w:rPr>
          <w:noProof/>
          <w:color w:val="000000"/>
        </w:rPr>
        <w:t>139.227,21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kn. Preostali iznos tražbine od </w:t>
      </w:r>
      <w:r w:rsidRPr="00C065C9">
        <w:rPr>
          <w:noProof/>
          <w:color w:val="000000"/>
        </w:rPr>
        <w:t>139.227,21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 otplatiti će se nakon isteka počeka od 12 mjeseci na </w:t>
      </w:r>
      <w:r>
        <w:rPr>
          <w:color w:val="000000"/>
        </w:rPr>
        <w:t>48</w:t>
      </w:r>
      <w:r w:rsidRPr="000B506E">
        <w:rPr>
          <w:color w:val="000000"/>
        </w:rPr>
        <w:t xml:space="preserve"> jednakih mjesečnih anuiteta</w:t>
      </w:r>
      <w:r>
        <w:rPr>
          <w:color w:val="000000"/>
        </w:rPr>
        <w:t xml:space="preserve"> od kojih svaki iznosi </w:t>
      </w:r>
      <w:r w:rsidRPr="00C065C9">
        <w:rPr>
          <w:rFonts w:eastAsia="MS Mincho"/>
          <w:noProof/>
          <w:color w:val="000000"/>
        </w:rPr>
        <w:t>2.900,57</w:t>
      </w:r>
      <w:r>
        <w:rPr>
          <w:color w:val="000000"/>
        </w:rPr>
        <w:t xml:space="preserve"> kn</w:t>
      </w:r>
      <w:r w:rsidRPr="000B506E">
        <w:rPr>
          <w:color w:val="000000"/>
        </w:rPr>
        <w:t xml:space="preserve">, bez kamata, računajući od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 xml:space="preserve">. Prvi anuitet će se platiti 15-tog u mjesecu, 12 mjeseci nakon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>, dok će se svaki naredni anuitet platiti mjesečno, najkasnije do 15-tog u mjesecu za prethodni  mjesec.</w:t>
      </w:r>
    </w:p>
    <w:p w:rsidRDefault="00E073C6" w:rsidP="00E073C6" w:rsidR="00E073C6"/>
    <w:p w:rsidRDefault="00E073C6" w:rsidP="00E073C6" w:rsidR="00E073C6" w:rsidRPr="000B506E">
      <w:pPr>
        <w:spacing w:lineRule="auto" w:line="360"/>
        <w:jc w:val="both"/>
        <w:rPr>
          <w:color w:val="000000"/>
        </w:rPr>
      </w:pPr>
      <w:r w:rsidRPr="00C065C9">
        <w:rPr>
          <w:noProof/>
          <w:color w:val="000000"/>
        </w:rPr>
        <w:t>9</w:t>
      </w:r>
      <w:r w:rsidRPr="000B506E">
        <w:rPr>
          <w:noProof/>
          <w:color w:val="000000"/>
        </w:rPr>
        <w:t xml:space="preserve">. </w:t>
      </w:r>
      <w:r w:rsidRPr="00C065C9">
        <w:rPr>
          <w:noProof/>
          <w:color w:val="000000"/>
        </w:rPr>
        <w:t>CONVEL d.o.o.</w:t>
      </w:r>
      <w:r w:rsidRPr="000B506E">
        <w:rPr>
          <w:noProof/>
          <w:color w:val="000000"/>
        </w:rPr>
        <w:t xml:space="preserve">, </w:t>
      </w:r>
      <w:r w:rsidRPr="000B506E">
        <w:rPr>
          <w:color w:val="000000"/>
        </w:rPr>
        <w:t>OIB:</w:t>
      </w:r>
      <w:r w:rsidRPr="000B506E">
        <w:rPr>
          <w:noProof/>
          <w:color w:val="000000"/>
        </w:rPr>
        <w:t xml:space="preserve"> </w:t>
      </w:r>
      <w:r w:rsidRPr="00C065C9">
        <w:rPr>
          <w:noProof/>
          <w:color w:val="000000"/>
        </w:rPr>
        <w:t>58216381969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utvrđeni iznos tražbine iznosi </w:t>
      </w:r>
      <w:r w:rsidRPr="00C065C9">
        <w:rPr>
          <w:noProof/>
          <w:color w:val="000000"/>
        </w:rPr>
        <w:t>876,25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kn.  Predstečajni vjerovnik otpušta dužniku dio utvrđene tražbine, što iznosi </w:t>
      </w:r>
      <w:r w:rsidRPr="00C065C9">
        <w:rPr>
          <w:noProof/>
          <w:color w:val="000000"/>
        </w:rPr>
        <w:t>438,13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kn. Preostali iznos tražbine od </w:t>
      </w:r>
      <w:r w:rsidRPr="00C065C9">
        <w:rPr>
          <w:noProof/>
          <w:color w:val="000000"/>
        </w:rPr>
        <w:t>438,13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 otplatiti će se nakon isteka počeka od 12 mjeseci na </w:t>
      </w:r>
      <w:r>
        <w:rPr>
          <w:color w:val="000000"/>
        </w:rPr>
        <w:t>48</w:t>
      </w:r>
      <w:r w:rsidRPr="000B506E">
        <w:rPr>
          <w:color w:val="000000"/>
        </w:rPr>
        <w:t xml:space="preserve"> jednakih mjesečnih anuiteta</w:t>
      </w:r>
      <w:r>
        <w:rPr>
          <w:color w:val="000000"/>
        </w:rPr>
        <w:t xml:space="preserve"> od kojih svaki iznosi </w:t>
      </w:r>
      <w:r w:rsidRPr="00C065C9">
        <w:rPr>
          <w:rFonts w:eastAsia="MS Mincho"/>
          <w:noProof/>
          <w:color w:val="000000"/>
        </w:rPr>
        <w:t>9,13</w:t>
      </w:r>
      <w:r>
        <w:rPr>
          <w:color w:val="000000"/>
        </w:rPr>
        <w:t xml:space="preserve"> kn</w:t>
      </w:r>
      <w:r w:rsidRPr="000B506E">
        <w:rPr>
          <w:color w:val="000000"/>
        </w:rPr>
        <w:t xml:space="preserve">, bez kamata, računajući od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 xml:space="preserve">. Prvi anuitet će se platiti 15-tog u mjesecu, 12 mjeseci nakon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>, dok će se svaki naredni anuitet platiti mjesečno, najkasnije do 15-tog u mjesecu za prethodni  mjesec.</w:t>
      </w:r>
    </w:p>
    <w:p w:rsidRDefault="00E073C6" w:rsidP="00E073C6" w:rsidR="00E073C6"/>
    <w:p w:rsidRDefault="00E073C6" w:rsidP="00E073C6" w:rsidR="00E073C6" w:rsidRPr="000B506E">
      <w:pPr>
        <w:spacing w:lineRule="auto" w:line="360"/>
        <w:jc w:val="both"/>
        <w:rPr>
          <w:color w:val="000000"/>
        </w:rPr>
      </w:pPr>
      <w:r w:rsidRPr="00C065C9">
        <w:rPr>
          <w:noProof/>
          <w:color w:val="000000"/>
        </w:rPr>
        <w:t>10</w:t>
      </w:r>
      <w:r w:rsidRPr="000B506E">
        <w:rPr>
          <w:noProof/>
          <w:color w:val="000000"/>
        </w:rPr>
        <w:t xml:space="preserve">. </w:t>
      </w:r>
      <w:r w:rsidRPr="00C065C9">
        <w:rPr>
          <w:noProof/>
          <w:color w:val="000000"/>
        </w:rPr>
        <w:t>EDEL WEISS MASCHENSTOFFE gmbh</w:t>
      </w:r>
      <w:r w:rsidRPr="000B506E">
        <w:rPr>
          <w:noProof/>
          <w:color w:val="000000"/>
        </w:rPr>
        <w:t xml:space="preserve">, </w:t>
      </w:r>
      <w:r w:rsidRPr="000B506E">
        <w:rPr>
          <w:color w:val="000000"/>
        </w:rPr>
        <w:t>OIB:</w:t>
      </w:r>
      <w:r w:rsidRPr="000B506E">
        <w:rPr>
          <w:noProof/>
          <w:color w:val="000000"/>
        </w:rPr>
        <w:t xml:space="preserve"> </w:t>
      </w:r>
      <w:r w:rsidRPr="00C065C9">
        <w:rPr>
          <w:noProof/>
          <w:color w:val="000000"/>
        </w:rPr>
        <w:t xml:space="preserve">           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utvrđeni iznos tražbine iznosi </w:t>
      </w:r>
      <w:r w:rsidRPr="00C065C9">
        <w:rPr>
          <w:noProof/>
          <w:color w:val="000000"/>
        </w:rPr>
        <w:t>223.373,45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kn.  Predstečajni vjerovnik otpušta dužniku dio utvrđene tražbine, što iznosi </w:t>
      </w:r>
      <w:r w:rsidRPr="00C065C9">
        <w:rPr>
          <w:noProof/>
          <w:color w:val="000000"/>
        </w:rPr>
        <w:t>111.686,73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kn. Preostali iznos tražbine od </w:t>
      </w:r>
      <w:r w:rsidRPr="00C065C9">
        <w:rPr>
          <w:noProof/>
          <w:color w:val="000000"/>
        </w:rPr>
        <w:t>111.686,73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 otplatiti će se nakon isteka počeka od 12 mjeseci na </w:t>
      </w:r>
      <w:r>
        <w:rPr>
          <w:color w:val="000000"/>
        </w:rPr>
        <w:t>48</w:t>
      </w:r>
      <w:r w:rsidRPr="000B506E">
        <w:rPr>
          <w:color w:val="000000"/>
        </w:rPr>
        <w:t xml:space="preserve"> jednakih mjesečnih anuiteta</w:t>
      </w:r>
      <w:r>
        <w:rPr>
          <w:color w:val="000000"/>
        </w:rPr>
        <w:t xml:space="preserve"> od kojih svaki iznosi </w:t>
      </w:r>
      <w:r w:rsidRPr="00C065C9">
        <w:rPr>
          <w:rFonts w:eastAsia="MS Mincho"/>
          <w:noProof/>
          <w:color w:val="000000"/>
        </w:rPr>
        <w:t>2.326,81</w:t>
      </w:r>
      <w:r>
        <w:rPr>
          <w:color w:val="000000"/>
        </w:rPr>
        <w:t xml:space="preserve"> kn</w:t>
      </w:r>
      <w:r w:rsidRPr="000B506E">
        <w:rPr>
          <w:color w:val="000000"/>
        </w:rPr>
        <w:t xml:space="preserve">, bez kamata, računajući od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 xml:space="preserve">. Prvi anuitet će se platiti 15-tog u mjesecu, 12 mjeseci nakon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>, dok će se svaki naredni anuitet platiti mjesečno, najkasnije do 15-tog u mjesecu za prethodni  mjesec.</w:t>
      </w:r>
    </w:p>
    <w:p w:rsidRDefault="00E073C6" w:rsidP="00E073C6" w:rsidR="00E073C6"/>
    <w:p w:rsidRDefault="00E073C6" w:rsidP="00E073C6" w:rsidR="00E073C6" w:rsidRPr="000B506E">
      <w:pPr>
        <w:spacing w:lineRule="auto" w:line="360"/>
        <w:jc w:val="both"/>
        <w:rPr>
          <w:color w:val="000000"/>
        </w:rPr>
      </w:pPr>
      <w:r w:rsidRPr="00C065C9">
        <w:rPr>
          <w:noProof/>
          <w:color w:val="000000"/>
        </w:rPr>
        <w:t>11</w:t>
      </w:r>
      <w:r w:rsidRPr="000B506E">
        <w:rPr>
          <w:noProof/>
          <w:color w:val="000000"/>
        </w:rPr>
        <w:t xml:space="preserve">. </w:t>
      </w:r>
      <w:r w:rsidRPr="00C065C9">
        <w:rPr>
          <w:noProof/>
          <w:color w:val="000000"/>
        </w:rPr>
        <w:t>ETIKETA TISKARNA d.d.</w:t>
      </w:r>
      <w:r w:rsidRPr="000B506E">
        <w:rPr>
          <w:noProof/>
          <w:color w:val="000000"/>
        </w:rPr>
        <w:t xml:space="preserve">, </w:t>
      </w:r>
      <w:r w:rsidRPr="000B506E">
        <w:rPr>
          <w:color w:val="000000"/>
        </w:rPr>
        <w:t>OIB:</w:t>
      </w:r>
      <w:r w:rsidRPr="000B506E">
        <w:rPr>
          <w:noProof/>
          <w:color w:val="000000"/>
        </w:rPr>
        <w:t xml:space="preserve"> </w:t>
      </w:r>
      <w:r w:rsidRPr="00C065C9">
        <w:rPr>
          <w:noProof/>
          <w:color w:val="000000"/>
        </w:rPr>
        <w:t xml:space="preserve">           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utvrđeni iznos tražbine iznosi </w:t>
      </w:r>
      <w:r w:rsidRPr="00C065C9">
        <w:rPr>
          <w:noProof/>
          <w:color w:val="000000"/>
        </w:rPr>
        <w:t>8.600,75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kn.  Predstečajni vjerovnik otpušta dužniku dio utvrđene tražbine, što iznosi </w:t>
      </w:r>
      <w:r w:rsidRPr="00C065C9">
        <w:rPr>
          <w:noProof/>
          <w:color w:val="000000"/>
        </w:rPr>
        <w:t>4.300,38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kn. </w:t>
      </w:r>
      <w:r w:rsidRPr="000B506E">
        <w:rPr>
          <w:color w:val="000000"/>
        </w:rPr>
        <w:lastRenderedPageBreak/>
        <w:t xml:space="preserve">Preostali iznos tražbine od </w:t>
      </w:r>
      <w:r w:rsidRPr="00C065C9">
        <w:rPr>
          <w:noProof/>
          <w:color w:val="000000"/>
        </w:rPr>
        <w:t>4.300,38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 otplatiti će se nakon isteka počeka od 12 mjeseci na </w:t>
      </w:r>
      <w:r>
        <w:rPr>
          <w:color w:val="000000"/>
        </w:rPr>
        <w:t>48</w:t>
      </w:r>
      <w:r w:rsidRPr="000B506E">
        <w:rPr>
          <w:color w:val="000000"/>
        </w:rPr>
        <w:t xml:space="preserve"> jednakih mjesečnih anuiteta</w:t>
      </w:r>
      <w:r>
        <w:rPr>
          <w:color w:val="000000"/>
        </w:rPr>
        <w:t xml:space="preserve"> od kojih svaki iznosi </w:t>
      </w:r>
      <w:r w:rsidRPr="00C065C9">
        <w:rPr>
          <w:rFonts w:eastAsia="MS Mincho"/>
          <w:noProof/>
          <w:color w:val="000000"/>
        </w:rPr>
        <w:t>89,59</w:t>
      </w:r>
      <w:r>
        <w:rPr>
          <w:color w:val="000000"/>
        </w:rPr>
        <w:t xml:space="preserve"> kn</w:t>
      </w:r>
      <w:r w:rsidRPr="000B506E">
        <w:rPr>
          <w:color w:val="000000"/>
        </w:rPr>
        <w:t xml:space="preserve">, bez kamata, računajući od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 xml:space="preserve">. Prvi anuitet će se platiti 15-tog u mjesecu, 12 mjeseci nakon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>, dok će se svaki naredni anuitet platiti mjesečno, najkasnije do 15-tog u mjesecu za prethodni  mjesec.</w:t>
      </w:r>
    </w:p>
    <w:p w:rsidRDefault="00E073C6" w:rsidP="00E073C6" w:rsidR="00E073C6"/>
    <w:p w:rsidRDefault="00E073C6" w:rsidP="00E073C6" w:rsidR="00E073C6" w:rsidRPr="000B506E">
      <w:pPr>
        <w:spacing w:lineRule="auto" w:line="360"/>
        <w:jc w:val="both"/>
        <w:rPr>
          <w:color w:val="000000"/>
        </w:rPr>
      </w:pPr>
      <w:r w:rsidRPr="00C065C9">
        <w:rPr>
          <w:noProof/>
          <w:color w:val="000000"/>
        </w:rPr>
        <w:t>12</w:t>
      </w:r>
      <w:r w:rsidRPr="000B506E">
        <w:rPr>
          <w:noProof/>
          <w:color w:val="000000"/>
        </w:rPr>
        <w:t xml:space="preserve">. </w:t>
      </w:r>
      <w:r w:rsidRPr="00C065C9">
        <w:rPr>
          <w:noProof/>
          <w:color w:val="000000"/>
        </w:rPr>
        <w:t>Financijska agencija</w:t>
      </w:r>
      <w:r w:rsidRPr="000B506E">
        <w:rPr>
          <w:noProof/>
          <w:color w:val="000000"/>
        </w:rPr>
        <w:t xml:space="preserve">, </w:t>
      </w:r>
      <w:r w:rsidRPr="000B506E">
        <w:rPr>
          <w:color w:val="000000"/>
        </w:rPr>
        <w:t>OIB:</w:t>
      </w:r>
      <w:r w:rsidRPr="000B506E">
        <w:rPr>
          <w:noProof/>
          <w:color w:val="000000"/>
        </w:rPr>
        <w:t xml:space="preserve"> </w:t>
      </w:r>
      <w:r w:rsidRPr="00C065C9">
        <w:rPr>
          <w:noProof/>
          <w:color w:val="000000"/>
        </w:rPr>
        <w:t>85821130368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utvrđeni iznos tražbine iznosi </w:t>
      </w:r>
      <w:r w:rsidRPr="00C065C9">
        <w:rPr>
          <w:noProof/>
          <w:color w:val="000000"/>
        </w:rPr>
        <w:t>100,00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kn.  Predstečajni vjerovnik otpušta dužniku dio utvrđene tražbine, što iznosi </w:t>
      </w:r>
      <w:r w:rsidRPr="00C065C9">
        <w:rPr>
          <w:noProof/>
          <w:color w:val="000000"/>
        </w:rPr>
        <w:t>50,00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kn. Preostali iznos tražbine od </w:t>
      </w:r>
      <w:r w:rsidRPr="00C065C9">
        <w:rPr>
          <w:noProof/>
          <w:color w:val="000000"/>
        </w:rPr>
        <w:t>50,00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 otplatiti će se nakon isteka počeka od 12 mjeseci na </w:t>
      </w:r>
      <w:r>
        <w:rPr>
          <w:color w:val="000000"/>
        </w:rPr>
        <w:t>48</w:t>
      </w:r>
      <w:r w:rsidRPr="000B506E">
        <w:rPr>
          <w:color w:val="000000"/>
        </w:rPr>
        <w:t xml:space="preserve"> jednakih mjesečnih anuiteta</w:t>
      </w:r>
      <w:r>
        <w:rPr>
          <w:color w:val="000000"/>
        </w:rPr>
        <w:t xml:space="preserve"> od kojih svaki iznosi </w:t>
      </w:r>
      <w:r w:rsidRPr="00C065C9">
        <w:rPr>
          <w:rFonts w:eastAsia="MS Mincho"/>
          <w:noProof/>
          <w:color w:val="000000"/>
        </w:rPr>
        <w:t>1,04</w:t>
      </w:r>
      <w:r>
        <w:rPr>
          <w:color w:val="000000"/>
        </w:rPr>
        <w:t xml:space="preserve"> kn</w:t>
      </w:r>
      <w:r w:rsidRPr="000B506E">
        <w:rPr>
          <w:color w:val="000000"/>
        </w:rPr>
        <w:t xml:space="preserve">, bez kamata, računajući od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 xml:space="preserve">. Prvi anuitet će se platiti 15-tog u mjesecu, 12 mjeseci nakon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>, dok će se svaki naredni anuitet platiti mjesečno, najkasnije do 15-tog u mjesecu za prethodni  mjesec.</w:t>
      </w:r>
    </w:p>
    <w:p w:rsidRDefault="00E073C6" w:rsidP="00E073C6" w:rsidR="00E073C6"/>
    <w:p w:rsidRDefault="00E073C6" w:rsidP="00E073C6" w:rsidR="00E073C6" w:rsidRPr="000B506E">
      <w:pPr>
        <w:spacing w:lineRule="auto" w:line="360"/>
        <w:jc w:val="both"/>
        <w:rPr>
          <w:color w:val="000000"/>
        </w:rPr>
      </w:pPr>
      <w:r w:rsidRPr="00C065C9">
        <w:rPr>
          <w:noProof/>
          <w:color w:val="000000"/>
        </w:rPr>
        <w:t>13</w:t>
      </w:r>
      <w:r w:rsidRPr="000B506E">
        <w:rPr>
          <w:noProof/>
          <w:color w:val="000000"/>
        </w:rPr>
        <w:t xml:space="preserve">. </w:t>
      </w:r>
      <w:r w:rsidRPr="00C065C9">
        <w:rPr>
          <w:noProof/>
          <w:color w:val="000000"/>
        </w:rPr>
        <w:t>FRIVA VITAL d.o.o. za trgovinu i usluge</w:t>
      </w:r>
      <w:r w:rsidRPr="000B506E">
        <w:rPr>
          <w:noProof/>
          <w:color w:val="000000"/>
        </w:rPr>
        <w:t xml:space="preserve">, </w:t>
      </w:r>
      <w:r w:rsidRPr="000B506E">
        <w:rPr>
          <w:color w:val="000000"/>
        </w:rPr>
        <w:t>OIB:</w:t>
      </w:r>
      <w:r w:rsidRPr="000B506E">
        <w:rPr>
          <w:noProof/>
          <w:color w:val="000000"/>
        </w:rPr>
        <w:t xml:space="preserve"> </w:t>
      </w:r>
      <w:r w:rsidRPr="00C065C9">
        <w:rPr>
          <w:noProof/>
          <w:color w:val="000000"/>
        </w:rPr>
        <w:t>77628747666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utvrđeni iznos tražbine iznosi </w:t>
      </w:r>
      <w:r w:rsidRPr="00C065C9">
        <w:rPr>
          <w:noProof/>
          <w:color w:val="000000"/>
        </w:rPr>
        <w:t>15.631,94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kn.  Predstečajni vjerovnik otpušta dužniku dio utvrđene tražbine, što iznosi </w:t>
      </w:r>
      <w:r w:rsidRPr="00C065C9">
        <w:rPr>
          <w:noProof/>
          <w:color w:val="000000"/>
        </w:rPr>
        <w:t>7.815,97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kn. Preostali iznos tražbine od </w:t>
      </w:r>
      <w:r w:rsidRPr="00C065C9">
        <w:rPr>
          <w:noProof/>
          <w:color w:val="000000"/>
        </w:rPr>
        <w:t>7.815,97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 otplatiti će se nakon isteka počeka od 12 mjeseci na </w:t>
      </w:r>
      <w:r>
        <w:rPr>
          <w:color w:val="000000"/>
        </w:rPr>
        <w:t>48</w:t>
      </w:r>
      <w:r w:rsidRPr="000B506E">
        <w:rPr>
          <w:color w:val="000000"/>
        </w:rPr>
        <w:t xml:space="preserve"> jednakih mjesečnih anuiteta</w:t>
      </w:r>
      <w:r>
        <w:rPr>
          <w:color w:val="000000"/>
        </w:rPr>
        <w:t xml:space="preserve"> od kojih svaki iznosi </w:t>
      </w:r>
      <w:r w:rsidRPr="00C065C9">
        <w:rPr>
          <w:rFonts w:eastAsia="MS Mincho"/>
          <w:noProof/>
          <w:color w:val="000000"/>
        </w:rPr>
        <w:t>162,83</w:t>
      </w:r>
      <w:r>
        <w:rPr>
          <w:color w:val="000000"/>
        </w:rPr>
        <w:t xml:space="preserve"> kn</w:t>
      </w:r>
      <w:r w:rsidRPr="000B506E">
        <w:rPr>
          <w:color w:val="000000"/>
        </w:rPr>
        <w:t xml:space="preserve">, bez kamata, računajući od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 xml:space="preserve">. Prvi anuitet će se platiti 15-tog u mjesecu, 12 mjeseci nakon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>, dok će se svaki naredni anuitet platiti mjesečno, najkasnije do 15-tog u mjesecu za prethodni  mjesec.</w:t>
      </w:r>
    </w:p>
    <w:p w:rsidRDefault="00E073C6" w:rsidP="00E073C6" w:rsidR="00E073C6"/>
    <w:p w:rsidRDefault="00E073C6" w:rsidP="00E073C6" w:rsidR="00E073C6" w:rsidRPr="000B506E">
      <w:pPr>
        <w:spacing w:lineRule="auto" w:line="360"/>
        <w:jc w:val="both"/>
        <w:rPr>
          <w:color w:val="000000"/>
        </w:rPr>
      </w:pPr>
      <w:r w:rsidRPr="00C065C9">
        <w:rPr>
          <w:noProof/>
          <w:color w:val="000000"/>
        </w:rPr>
        <w:t>14</w:t>
      </w:r>
      <w:r w:rsidRPr="000B506E">
        <w:rPr>
          <w:noProof/>
          <w:color w:val="000000"/>
        </w:rPr>
        <w:t xml:space="preserve">. </w:t>
      </w:r>
      <w:r w:rsidRPr="00C065C9">
        <w:rPr>
          <w:noProof/>
          <w:color w:val="000000"/>
        </w:rPr>
        <w:t>GALEB d.d.</w:t>
      </w:r>
      <w:r w:rsidRPr="000B506E">
        <w:rPr>
          <w:noProof/>
          <w:color w:val="000000"/>
        </w:rPr>
        <w:t xml:space="preserve">, </w:t>
      </w:r>
      <w:r w:rsidRPr="000B506E">
        <w:rPr>
          <w:color w:val="000000"/>
        </w:rPr>
        <w:t>OIB:</w:t>
      </w:r>
      <w:r w:rsidRPr="000B506E">
        <w:rPr>
          <w:noProof/>
          <w:color w:val="000000"/>
        </w:rPr>
        <w:t xml:space="preserve"> </w:t>
      </w:r>
      <w:r w:rsidRPr="00C065C9">
        <w:rPr>
          <w:noProof/>
          <w:color w:val="000000"/>
        </w:rPr>
        <w:t>74554924553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utvrđeni iznos tražbine iznosi </w:t>
      </w:r>
      <w:r w:rsidRPr="00C065C9">
        <w:rPr>
          <w:noProof/>
          <w:color w:val="000000"/>
        </w:rPr>
        <w:t>80.009,06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kn.  Predstečajni vjerovnik otpušta dužniku dio utvrđene tražbine, što iznosi </w:t>
      </w:r>
      <w:r w:rsidRPr="00C065C9">
        <w:rPr>
          <w:noProof/>
          <w:color w:val="000000"/>
        </w:rPr>
        <w:t>40.004,53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kn. Preostali iznos tražbine od </w:t>
      </w:r>
      <w:r w:rsidRPr="00C065C9">
        <w:rPr>
          <w:noProof/>
          <w:color w:val="000000"/>
        </w:rPr>
        <w:t>40.004,53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 otplatiti će se nakon isteka počeka od 12 mjeseci na </w:t>
      </w:r>
      <w:r>
        <w:rPr>
          <w:color w:val="000000"/>
        </w:rPr>
        <w:t>48</w:t>
      </w:r>
      <w:r w:rsidRPr="000B506E">
        <w:rPr>
          <w:color w:val="000000"/>
        </w:rPr>
        <w:t xml:space="preserve"> jednakih mjesečnih anuiteta</w:t>
      </w:r>
      <w:r>
        <w:rPr>
          <w:color w:val="000000"/>
        </w:rPr>
        <w:t xml:space="preserve"> od kojih svaki iznosi </w:t>
      </w:r>
      <w:r w:rsidRPr="00C065C9">
        <w:rPr>
          <w:rFonts w:eastAsia="MS Mincho"/>
          <w:noProof/>
          <w:color w:val="000000"/>
        </w:rPr>
        <w:t>833,43</w:t>
      </w:r>
      <w:r>
        <w:rPr>
          <w:color w:val="000000"/>
        </w:rPr>
        <w:t xml:space="preserve"> kn</w:t>
      </w:r>
      <w:r w:rsidRPr="000B506E">
        <w:rPr>
          <w:color w:val="000000"/>
        </w:rPr>
        <w:t xml:space="preserve">, bez kamata, računajući od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 xml:space="preserve">. Prvi anuitet će se platiti 15-tog u mjesecu, 12 mjeseci nakon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>, dok će se svaki naredni anuitet platiti mjesečno, najkasnije do 15-tog u mjesecu za prethodni  mjesec.</w:t>
      </w:r>
    </w:p>
    <w:p w:rsidRDefault="00E073C6" w:rsidP="00E073C6" w:rsidR="00E073C6"/>
    <w:p w:rsidRDefault="00E073C6" w:rsidP="00E073C6" w:rsidR="00E073C6" w:rsidRPr="000B506E">
      <w:pPr>
        <w:spacing w:lineRule="auto" w:line="360"/>
        <w:jc w:val="both"/>
        <w:rPr>
          <w:color w:val="000000"/>
        </w:rPr>
      </w:pPr>
      <w:r w:rsidRPr="00C065C9">
        <w:rPr>
          <w:noProof/>
          <w:color w:val="000000"/>
        </w:rPr>
        <w:lastRenderedPageBreak/>
        <w:t>15</w:t>
      </w:r>
      <w:r w:rsidRPr="000B506E">
        <w:rPr>
          <w:noProof/>
          <w:color w:val="000000"/>
        </w:rPr>
        <w:t xml:space="preserve">. </w:t>
      </w:r>
      <w:r w:rsidRPr="00C065C9">
        <w:rPr>
          <w:noProof/>
          <w:color w:val="000000"/>
        </w:rPr>
        <w:t>GLASTEX Handelsellschaft m.b.bH</w:t>
      </w:r>
      <w:r w:rsidRPr="000B506E">
        <w:rPr>
          <w:noProof/>
          <w:color w:val="000000"/>
        </w:rPr>
        <w:t xml:space="preserve">, </w:t>
      </w:r>
      <w:r w:rsidRPr="000B506E">
        <w:rPr>
          <w:color w:val="000000"/>
        </w:rPr>
        <w:t>OIB:</w:t>
      </w:r>
      <w:r w:rsidRPr="000B506E">
        <w:rPr>
          <w:noProof/>
          <w:color w:val="000000"/>
        </w:rPr>
        <w:t xml:space="preserve"> </w:t>
      </w:r>
      <w:r w:rsidRPr="00C065C9">
        <w:rPr>
          <w:noProof/>
          <w:color w:val="000000"/>
        </w:rPr>
        <w:t xml:space="preserve">           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utvrđeni iznos tražbine iznosi </w:t>
      </w:r>
      <w:r w:rsidRPr="00C065C9">
        <w:rPr>
          <w:noProof/>
          <w:color w:val="000000"/>
        </w:rPr>
        <w:t>8.401,70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kn.  Predstečajni vjerovnik otpušta dužniku dio utvrđene tražbine, što iznosi </w:t>
      </w:r>
      <w:r w:rsidRPr="00C065C9">
        <w:rPr>
          <w:noProof/>
          <w:color w:val="000000"/>
        </w:rPr>
        <w:t>4.200,85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kn. Preostali iznos tražbine od </w:t>
      </w:r>
      <w:r w:rsidRPr="00C065C9">
        <w:rPr>
          <w:noProof/>
          <w:color w:val="000000"/>
        </w:rPr>
        <w:t>4.200,85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 otplatiti će se nakon isteka počeka od 12 mjeseci na </w:t>
      </w:r>
      <w:r>
        <w:rPr>
          <w:color w:val="000000"/>
        </w:rPr>
        <w:t>48</w:t>
      </w:r>
      <w:r w:rsidRPr="000B506E">
        <w:rPr>
          <w:color w:val="000000"/>
        </w:rPr>
        <w:t xml:space="preserve"> jednakih mjesečnih anuiteta</w:t>
      </w:r>
      <w:r>
        <w:rPr>
          <w:color w:val="000000"/>
        </w:rPr>
        <w:t xml:space="preserve"> od kojih svaki iznosi </w:t>
      </w:r>
      <w:r w:rsidRPr="00C065C9">
        <w:rPr>
          <w:rFonts w:eastAsia="MS Mincho"/>
          <w:noProof/>
          <w:color w:val="000000"/>
        </w:rPr>
        <w:t>87,52</w:t>
      </w:r>
      <w:r>
        <w:rPr>
          <w:color w:val="000000"/>
        </w:rPr>
        <w:t xml:space="preserve"> kn</w:t>
      </w:r>
      <w:r w:rsidRPr="000B506E">
        <w:rPr>
          <w:color w:val="000000"/>
        </w:rPr>
        <w:t xml:space="preserve">, bez kamata, računajući od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 xml:space="preserve">. Prvi anuitet će se platiti 15-tog u mjesecu, 12 mjeseci nakon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>, dok će se svaki naredni anuitet platiti mjesečno, najkasnije do 15-tog u mjesecu za prethodni  mjesec.</w:t>
      </w:r>
    </w:p>
    <w:p w:rsidRDefault="00E073C6" w:rsidP="00E073C6" w:rsidR="00E073C6"/>
    <w:p w:rsidRDefault="00E073C6" w:rsidP="00E073C6" w:rsidR="00E073C6" w:rsidRPr="000B506E">
      <w:pPr>
        <w:spacing w:lineRule="auto" w:line="360"/>
        <w:jc w:val="both"/>
        <w:rPr>
          <w:color w:val="000000"/>
        </w:rPr>
      </w:pPr>
      <w:r w:rsidRPr="00C065C9">
        <w:rPr>
          <w:noProof/>
          <w:color w:val="000000"/>
        </w:rPr>
        <w:t>16</w:t>
      </w:r>
      <w:r w:rsidRPr="000B506E">
        <w:rPr>
          <w:noProof/>
          <w:color w:val="000000"/>
        </w:rPr>
        <w:t xml:space="preserve">. </w:t>
      </w:r>
      <w:r w:rsidRPr="00C065C9">
        <w:rPr>
          <w:noProof/>
          <w:color w:val="000000"/>
        </w:rPr>
        <w:t>GRAD SAMOBOR</w:t>
      </w:r>
      <w:r w:rsidRPr="000B506E">
        <w:rPr>
          <w:noProof/>
          <w:color w:val="000000"/>
        </w:rPr>
        <w:t xml:space="preserve">, </w:t>
      </w:r>
      <w:r w:rsidRPr="000B506E">
        <w:rPr>
          <w:color w:val="000000"/>
        </w:rPr>
        <w:t>OIB:</w:t>
      </w:r>
      <w:r w:rsidRPr="000B506E">
        <w:rPr>
          <w:noProof/>
          <w:color w:val="000000"/>
        </w:rPr>
        <w:t xml:space="preserve"> </w:t>
      </w:r>
      <w:r w:rsidRPr="00C065C9">
        <w:rPr>
          <w:noProof/>
          <w:color w:val="000000"/>
        </w:rPr>
        <w:t>33544271925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utvrđeni iznos tražbine iznosi </w:t>
      </w:r>
      <w:r w:rsidRPr="00C065C9">
        <w:rPr>
          <w:noProof/>
          <w:color w:val="000000"/>
        </w:rPr>
        <w:t>3.665,17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kn.  Predstečajni vjerovnik otpušta dužniku dio utvrđene tražbine, što iznosi </w:t>
      </w:r>
      <w:r w:rsidRPr="00C065C9">
        <w:rPr>
          <w:noProof/>
          <w:color w:val="000000"/>
        </w:rPr>
        <w:t>1.832,59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kn. Preostali iznos tražbine od </w:t>
      </w:r>
      <w:r w:rsidRPr="00C065C9">
        <w:rPr>
          <w:noProof/>
          <w:color w:val="000000"/>
        </w:rPr>
        <w:t>1.832,59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 otplatiti će se nakon isteka počeka od 12 mjeseci na </w:t>
      </w:r>
      <w:r>
        <w:rPr>
          <w:color w:val="000000"/>
        </w:rPr>
        <w:t>48</w:t>
      </w:r>
      <w:r w:rsidRPr="000B506E">
        <w:rPr>
          <w:color w:val="000000"/>
        </w:rPr>
        <w:t xml:space="preserve"> jednakih mjesečnih anuiteta</w:t>
      </w:r>
      <w:r>
        <w:rPr>
          <w:color w:val="000000"/>
        </w:rPr>
        <w:t xml:space="preserve"> od kojih svaki iznosi </w:t>
      </w:r>
      <w:r w:rsidRPr="00C065C9">
        <w:rPr>
          <w:rFonts w:eastAsia="MS Mincho"/>
          <w:noProof/>
          <w:color w:val="000000"/>
        </w:rPr>
        <w:t>38,18</w:t>
      </w:r>
      <w:r>
        <w:rPr>
          <w:color w:val="000000"/>
        </w:rPr>
        <w:t xml:space="preserve"> kn</w:t>
      </w:r>
      <w:r w:rsidRPr="000B506E">
        <w:rPr>
          <w:color w:val="000000"/>
        </w:rPr>
        <w:t xml:space="preserve">, bez kamata, računajući od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 xml:space="preserve">. Prvi anuitet će se platiti 15-tog u mjesecu, 12 mjeseci nakon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>, dok će se svaki naredni anuitet platiti mjesečno, najkasnije do 15-tog u mjesecu za prethodni  mjesec.</w:t>
      </w:r>
    </w:p>
    <w:p w:rsidRDefault="00E073C6" w:rsidP="00E073C6" w:rsidR="00E073C6"/>
    <w:p w:rsidRDefault="00E073C6" w:rsidP="00E073C6" w:rsidR="00E073C6" w:rsidRPr="000B506E">
      <w:pPr>
        <w:spacing w:lineRule="auto" w:line="360"/>
        <w:jc w:val="both"/>
        <w:rPr>
          <w:color w:val="000000"/>
        </w:rPr>
      </w:pPr>
      <w:r w:rsidRPr="00C065C9">
        <w:rPr>
          <w:noProof/>
          <w:color w:val="000000"/>
        </w:rPr>
        <w:t>17</w:t>
      </w:r>
      <w:r w:rsidRPr="000B506E">
        <w:rPr>
          <w:noProof/>
          <w:color w:val="000000"/>
        </w:rPr>
        <w:t xml:space="preserve">. </w:t>
      </w:r>
      <w:r w:rsidRPr="00C065C9">
        <w:rPr>
          <w:noProof/>
          <w:color w:val="000000"/>
        </w:rPr>
        <w:t>GRAD ZAGREB</w:t>
      </w:r>
      <w:r w:rsidRPr="000B506E">
        <w:rPr>
          <w:noProof/>
          <w:color w:val="000000"/>
        </w:rPr>
        <w:t xml:space="preserve">, </w:t>
      </w:r>
      <w:r w:rsidRPr="000B506E">
        <w:rPr>
          <w:color w:val="000000"/>
        </w:rPr>
        <w:t>OIB:</w:t>
      </w:r>
      <w:r w:rsidRPr="000B506E">
        <w:rPr>
          <w:noProof/>
          <w:color w:val="000000"/>
        </w:rPr>
        <w:t xml:space="preserve"> </w:t>
      </w:r>
      <w:r w:rsidRPr="00C065C9">
        <w:rPr>
          <w:noProof/>
          <w:color w:val="000000"/>
        </w:rPr>
        <w:t>61817894937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utvrđeni iznos tražbine iznosi </w:t>
      </w:r>
      <w:r w:rsidRPr="00C065C9">
        <w:rPr>
          <w:noProof/>
          <w:color w:val="000000"/>
        </w:rPr>
        <w:t>447,18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kn.  Predstečajni vjerovnik otpušta dužniku dio utvrđene tražbine, što iznosi </w:t>
      </w:r>
      <w:r w:rsidRPr="00C065C9">
        <w:rPr>
          <w:noProof/>
          <w:color w:val="000000"/>
        </w:rPr>
        <w:t>223,59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kn. Preostali iznos tražbine od </w:t>
      </w:r>
      <w:r w:rsidRPr="00C065C9">
        <w:rPr>
          <w:noProof/>
          <w:color w:val="000000"/>
        </w:rPr>
        <w:t>223,59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 otplatiti će se nakon isteka počeka od 12 mjeseci na </w:t>
      </w:r>
      <w:r>
        <w:rPr>
          <w:color w:val="000000"/>
        </w:rPr>
        <w:t>48</w:t>
      </w:r>
      <w:r w:rsidRPr="000B506E">
        <w:rPr>
          <w:color w:val="000000"/>
        </w:rPr>
        <w:t xml:space="preserve"> jednakih mjesečnih anuiteta</w:t>
      </w:r>
      <w:r>
        <w:rPr>
          <w:color w:val="000000"/>
        </w:rPr>
        <w:t xml:space="preserve"> od kojih svaki iznosi </w:t>
      </w:r>
      <w:r w:rsidRPr="00C065C9">
        <w:rPr>
          <w:rFonts w:eastAsia="MS Mincho"/>
          <w:noProof/>
          <w:color w:val="000000"/>
        </w:rPr>
        <w:t>4,66</w:t>
      </w:r>
      <w:r>
        <w:rPr>
          <w:color w:val="000000"/>
        </w:rPr>
        <w:t xml:space="preserve"> kn</w:t>
      </w:r>
      <w:r w:rsidRPr="000B506E">
        <w:rPr>
          <w:color w:val="000000"/>
        </w:rPr>
        <w:t xml:space="preserve">, bez kamata, računajući od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 xml:space="preserve">. Prvi anuitet će se platiti 15-tog u mjesecu, 12 mjeseci nakon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>, dok će se svaki naredni anuitet platiti mjesečno, najkasnije do 15-tog u mjesecu za prethodni  mjesec.</w:t>
      </w:r>
    </w:p>
    <w:p w:rsidRDefault="00E073C6" w:rsidP="00E073C6" w:rsidR="00E073C6"/>
    <w:p w:rsidRDefault="00E073C6" w:rsidP="00E073C6" w:rsidR="00E073C6" w:rsidRPr="000B506E">
      <w:pPr>
        <w:spacing w:lineRule="auto" w:line="360"/>
        <w:jc w:val="both"/>
        <w:rPr>
          <w:color w:val="000000"/>
        </w:rPr>
      </w:pPr>
      <w:r w:rsidRPr="00C065C9">
        <w:rPr>
          <w:noProof/>
          <w:color w:val="000000"/>
        </w:rPr>
        <w:t>18</w:t>
      </w:r>
      <w:r w:rsidRPr="000B506E">
        <w:rPr>
          <w:noProof/>
          <w:color w:val="000000"/>
        </w:rPr>
        <w:t xml:space="preserve">. </w:t>
      </w:r>
      <w:r w:rsidRPr="00C065C9">
        <w:rPr>
          <w:noProof/>
          <w:color w:val="000000"/>
        </w:rPr>
        <w:t>Gradsko komunalno poduzeće KOMUNALAC d.o.o.</w:t>
      </w:r>
      <w:r w:rsidRPr="000B506E">
        <w:rPr>
          <w:noProof/>
          <w:color w:val="000000"/>
        </w:rPr>
        <w:t xml:space="preserve">, </w:t>
      </w:r>
      <w:r w:rsidRPr="000B506E">
        <w:rPr>
          <w:color w:val="000000"/>
        </w:rPr>
        <w:t>OIB:</w:t>
      </w:r>
      <w:r w:rsidRPr="000B506E">
        <w:rPr>
          <w:noProof/>
          <w:color w:val="000000"/>
        </w:rPr>
        <w:t xml:space="preserve"> </w:t>
      </w:r>
      <w:r w:rsidRPr="00C065C9">
        <w:rPr>
          <w:noProof/>
          <w:color w:val="000000"/>
        </w:rPr>
        <w:t>41412434130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utvrđeni iznos tražbine iznosi </w:t>
      </w:r>
      <w:r w:rsidRPr="00C065C9">
        <w:rPr>
          <w:noProof/>
          <w:color w:val="000000"/>
        </w:rPr>
        <w:t>4.782,97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kn.  Predstečajni vjerovnik otpušta dužniku dio utvrđene tražbine, što iznosi </w:t>
      </w:r>
      <w:r w:rsidRPr="00C065C9">
        <w:rPr>
          <w:noProof/>
          <w:color w:val="000000"/>
        </w:rPr>
        <w:t>2.391,49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kn. Preostali iznos tražbine od </w:t>
      </w:r>
      <w:r w:rsidRPr="00C065C9">
        <w:rPr>
          <w:noProof/>
          <w:color w:val="000000"/>
        </w:rPr>
        <w:t>2.391,49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 otplatiti će se nakon isteka počeka od 12 mjeseci na </w:t>
      </w:r>
      <w:r>
        <w:rPr>
          <w:color w:val="000000"/>
        </w:rPr>
        <w:t>48</w:t>
      </w:r>
      <w:r w:rsidRPr="000B506E">
        <w:rPr>
          <w:color w:val="000000"/>
        </w:rPr>
        <w:t xml:space="preserve"> jednakih mjesečnih anuiteta</w:t>
      </w:r>
      <w:r>
        <w:rPr>
          <w:color w:val="000000"/>
        </w:rPr>
        <w:t xml:space="preserve"> od kojih svaki iznosi </w:t>
      </w:r>
      <w:r w:rsidRPr="00C065C9">
        <w:rPr>
          <w:rFonts w:eastAsia="MS Mincho"/>
          <w:noProof/>
          <w:color w:val="000000"/>
        </w:rPr>
        <w:t>49,82</w:t>
      </w:r>
      <w:r>
        <w:rPr>
          <w:color w:val="000000"/>
        </w:rPr>
        <w:t xml:space="preserve"> kn</w:t>
      </w:r>
      <w:r w:rsidRPr="000B506E">
        <w:rPr>
          <w:color w:val="000000"/>
        </w:rPr>
        <w:t xml:space="preserve">, bez kamata, računajući od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 xml:space="preserve">. Prvi anuitet će se platiti 15-tog u mjesecu, 12 mjeseci nakon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 xml:space="preserve">, dok će </w:t>
      </w:r>
      <w:r w:rsidRPr="000B506E">
        <w:rPr>
          <w:color w:val="000000"/>
        </w:rPr>
        <w:lastRenderedPageBreak/>
        <w:t>se svaki naredni anuitet platiti mjesečno, najkasnije do 15-tog u mjesecu za prethodni  mjesec.</w:t>
      </w:r>
    </w:p>
    <w:p w:rsidRDefault="00E073C6" w:rsidP="00E073C6" w:rsidR="00E073C6"/>
    <w:p w:rsidRDefault="00E073C6" w:rsidP="00E073C6" w:rsidR="00E073C6" w:rsidRPr="000B506E">
      <w:pPr>
        <w:spacing w:lineRule="auto" w:line="360"/>
        <w:jc w:val="both"/>
        <w:rPr>
          <w:color w:val="000000"/>
        </w:rPr>
      </w:pPr>
      <w:r w:rsidRPr="00C065C9">
        <w:rPr>
          <w:noProof/>
          <w:color w:val="000000"/>
        </w:rPr>
        <w:t>19</w:t>
      </w:r>
      <w:r w:rsidRPr="000B506E">
        <w:rPr>
          <w:noProof/>
          <w:color w:val="000000"/>
        </w:rPr>
        <w:t xml:space="preserve">. </w:t>
      </w:r>
      <w:r w:rsidRPr="00C065C9">
        <w:rPr>
          <w:noProof/>
          <w:color w:val="000000"/>
        </w:rPr>
        <w:t>GRAFOKOR društvo s ograničenom odgovornošću za grafičko-izdavačku djelatnost, unutarnju i vanjsku trgovinu</w:t>
      </w:r>
      <w:r w:rsidRPr="000B506E">
        <w:rPr>
          <w:noProof/>
          <w:color w:val="000000"/>
        </w:rPr>
        <w:t xml:space="preserve">, </w:t>
      </w:r>
      <w:r w:rsidRPr="000B506E">
        <w:rPr>
          <w:color w:val="000000"/>
        </w:rPr>
        <w:t>OIB:</w:t>
      </w:r>
      <w:r w:rsidRPr="000B506E">
        <w:rPr>
          <w:noProof/>
          <w:color w:val="000000"/>
        </w:rPr>
        <w:t xml:space="preserve"> </w:t>
      </w:r>
      <w:r w:rsidRPr="00C065C9">
        <w:rPr>
          <w:noProof/>
          <w:color w:val="000000"/>
        </w:rPr>
        <w:t>03774142644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utvrđeni iznos tražbine iznosi </w:t>
      </w:r>
      <w:r w:rsidRPr="00C065C9">
        <w:rPr>
          <w:noProof/>
          <w:color w:val="000000"/>
        </w:rPr>
        <w:t>51.019,32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kn.  Predstečajni vjerovnik otpušta dužniku dio utvrđene tražbine, što iznosi </w:t>
      </w:r>
      <w:r w:rsidRPr="00C065C9">
        <w:rPr>
          <w:noProof/>
          <w:color w:val="000000"/>
        </w:rPr>
        <w:t>25.509,66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kn. Preostali iznos tražbine od </w:t>
      </w:r>
      <w:r w:rsidRPr="00C065C9">
        <w:rPr>
          <w:noProof/>
          <w:color w:val="000000"/>
        </w:rPr>
        <w:t>25.509,66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 otplatiti će se nakon isteka počeka od 12 mjeseci na </w:t>
      </w:r>
      <w:r>
        <w:rPr>
          <w:color w:val="000000"/>
        </w:rPr>
        <w:t>48</w:t>
      </w:r>
      <w:r w:rsidRPr="000B506E">
        <w:rPr>
          <w:color w:val="000000"/>
        </w:rPr>
        <w:t xml:space="preserve"> jednakih mjesečnih anuiteta</w:t>
      </w:r>
      <w:r>
        <w:rPr>
          <w:color w:val="000000"/>
        </w:rPr>
        <w:t xml:space="preserve"> od kojih svaki iznosi </w:t>
      </w:r>
      <w:r w:rsidRPr="00C065C9">
        <w:rPr>
          <w:rFonts w:eastAsia="MS Mincho"/>
          <w:noProof/>
          <w:color w:val="000000"/>
        </w:rPr>
        <w:t>531,45</w:t>
      </w:r>
      <w:r>
        <w:rPr>
          <w:color w:val="000000"/>
        </w:rPr>
        <w:t xml:space="preserve"> kn</w:t>
      </w:r>
      <w:r w:rsidRPr="000B506E">
        <w:rPr>
          <w:color w:val="000000"/>
        </w:rPr>
        <w:t xml:space="preserve">, bez kamata, računajući od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 xml:space="preserve">. Prvi anuitet će se platiti 15-tog u mjesecu, 12 mjeseci nakon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>, dok će se svaki naredni anuitet platiti mjesečno, najkasnije do 15-tog u mjesecu za prethodni  mjesec.</w:t>
      </w:r>
    </w:p>
    <w:p w:rsidRDefault="00E073C6" w:rsidP="00E073C6" w:rsidR="00E073C6"/>
    <w:p w:rsidRDefault="00E073C6" w:rsidP="00E073C6" w:rsidR="00E073C6" w:rsidRPr="000B506E">
      <w:pPr>
        <w:spacing w:lineRule="auto" w:line="360"/>
        <w:jc w:val="both"/>
        <w:rPr>
          <w:color w:val="000000"/>
        </w:rPr>
      </w:pPr>
      <w:r w:rsidRPr="00C065C9">
        <w:rPr>
          <w:noProof/>
          <w:color w:val="000000"/>
        </w:rPr>
        <w:t>20</w:t>
      </w:r>
      <w:r w:rsidRPr="000B506E">
        <w:rPr>
          <w:noProof/>
          <w:color w:val="000000"/>
        </w:rPr>
        <w:t xml:space="preserve">. </w:t>
      </w:r>
      <w:r w:rsidRPr="00C065C9">
        <w:rPr>
          <w:noProof/>
          <w:color w:val="000000"/>
        </w:rPr>
        <w:t>GS1 CROATIA - HRVATSKO UDRUŽENJE ZA AUTOMATSKU IDENTIFIKACIJU, ELEKTRONIČKU RAZMJENU PODATAKA I UPRAVLJANJE POSLOVNIM  PROCESIMA</w:t>
      </w:r>
      <w:r w:rsidRPr="000B506E">
        <w:rPr>
          <w:noProof/>
          <w:color w:val="000000"/>
        </w:rPr>
        <w:t xml:space="preserve">, </w:t>
      </w:r>
      <w:r w:rsidRPr="000B506E">
        <w:rPr>
          <w:color w:val="000000"/>
        </w:rPr>
        <w:t>OIB:</w:t>
      </w:r>
      <w:r w:rsidRPr="000B506E">
        <w:rPr>
          <w:noProof/>
          <w:color w:val="000000"/>
        </w:rPr>
        <w:t xml:space="preserve"> </w:t>
      </w:r>
      <w:r w:rsidRPr="00C065C9">
        <w:rPr>
          <w:noProof/>
          <w:color w:val="000000"/>
        </w:rPr>
        <w:t>03365973101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utvrđeni iznos tražbine iznosi </w:t>
      </w:r>
      <w:r w:rsidRPr="00C065C9">
        <w:rPr>
          <w:noProof/>
          <w:color w:val="000000"/>
        </w:rPr>
        <w:t>2.700,00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kn.  Predstečajni vjerovnik otpušta dužniku dio utvrđene tražbine, što iznosi </w:t>
      </w:r>
      <w:r w:rsidRPr="00C065C9">
        <w:rPr>
          <w:noProof/>
          <w:color w:val="000000"/>
        </w:rPr>
        <w:t>1.350,00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kn. Preostali iznos tražbine od </w:t>
      </w:r>
      <w:r w:rsidRPr="00C065C9">
        <w:rPr>
          <w:noProof/>
          <w:color w:val="000000"/>
        </w:rPr>
        <w:t>1.350,00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 otplatiti će se nakon isteka počeka od 12 mjeseci na </w:t>
      </w:r>
      <w:r>
        <w:rPr>
          <w:color w:val="000000"/>
        </w:rPr>
        <w:t>48</w:t>
      </w:r>
      <w:r w:rsidRPr="000B506E">
        <w:rPr>
          <w:color w:val="000000"/>
        </w:rPr>
        <w:t xml:space="preserve"> jednakih mjesečnih anuiteta</w:t>
      </w:r>
      <w:r>
        <w:rPr>
          <w:color w:val="000000"/>
        </w:rPr>
        <w:t xml:space="preserve"> od kojih svaki iznosi </w:t>
      </w:r>
      <w:r w:rsidRPr="00C065C9">
        <w:rPr>
          <w:rFonts w:eastAsia="MS Mincho"/>
          <w:noProof/>
          <w:color w:val="000000"/>
        </w:rPr>
        <w:t>28,13</w:t>
      </w:r>
      <w:r>
        <w:rPr>
          <w:color w:val="000000"/>
        </w:rPr>
        <w:t xml:space="preserve"> kn</w:t>
      </w:r>
      <w:r w:rsidRPr="000B506E">
        <w:rPr>
          <w:color w:val="000000"/>
        </w:rPr>
        <w:t xml:space="preserve">, bez kamata, računajući od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 xml:space="preserve">. Prvi anuitet će se platiti 15-tog u mjesecu, 12 mjeseci nakon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>, dok će se svaki naredni anuitet platiti mjesečno, najkasnije do 15-tog u mjesecu za prethodni  mjesec.</w:t>
      </w:r>
    </w:p>
    <w:p w:rsidRDefault="00E073C6" w:rsidP="00E073C6" w:rsidR="00E073C6"/>
    <w:p w:rsidRDefault="00E073C6" w:rsidP="00E073C6" w:rsidR="00E073C6" w:rsidRPr="000B506E">
      <w:pPr>
        <w:spacing w:lineRule="auto" w:line="360"/>
        <w:jc w:val="both"/>
        <w:rPr>
          <w:color w:val="000000"/>
        </w:rPr>
      </w:pPr>
      <w:r w:rsidRPr="00C065C9">
        <w:rPr>
          <w:noProof/>
          <w:color w:val="000000"/>
        </w:rPr>
        <w:t>21</w:t>
      </w:r>
      <w:r w:rsidRPr="000B506E">
        <w:rPr>
          <w:noProof/>
          <w:color w:val="000000"/>
        </w:rPr>
        <w:t xml:space="preserve">. </w:t>
      </w:r>
      <w:r w:rsidRPr="00C065C9">
        <w:rPr>
          <w:noProof/>
          <w:color w:val="000000"/>
        </w:rPr>
        <w:t>HAKADESCH d.o.o.</w:t>
      </w:r>
      <w:r w:rsidRPr="000B506E">
        <w:rPr>
          <w:noProof/>
          <w:color w:val="000000"/>
        </w:rPr>
        <w:t xml:space="preserve">, </w:t>
      </w:r>
      <w:r w:rsidRPr="000B506E">
        <w:rPr>
          <w:color w:val="000000"/>
        </w:rPr>
        <w:t>OIB:</w:t>
      </w:r>
      <w:r w:rsidRPr="000B506E">
        <w:rPr>
          <w:noProof/>
          <w:color w:val="000000"/>
        </w:rPr>
        <w:t xml:space="preserve"> </w:t>
      </w:r>
      <w:r w:rsidRPr="00C065C9">
        <w:rPr>
          <w:noProof/>
          <w:color w:val="000000"/>
        </w:rPr>
        <w:t>17101881288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utvrđeni iznos tražbine iznosi </w:t>
      </w:r>
      <w:r w:rsidRPr="00C065C9">
        <w:rPr>
          <w:noProof/>
          <w:color w:val="000000"/>
        </w:rPr>
        <w:t>7.138,72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kn.  Predstečajni vjerovnik otpušta dužniku dio utvrđene tražbine, što iznosi </w:t>
      </w:r>
      <w:r w:rsidRPr="00C065C9">
        <w:rPr>
          <w:noProof/>
          <w:color w:val="000000"/>
        </w:rPr>
        <w:t>3.569,36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kn. Preostali iznos tražbine od </w:t>
      </w:r>
      <w:r w:rsidRPr="00C065C9">
        <w:rPr>
          <w:noProof/>
          <w:color w:val="000000"/>
        </w:rPr>
        <w:t>3.569,36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 otplatiti će se nakon isteka počeka od 12 mjeseci na </w:t>
      </w:r>
      <w:r>
        <w:rPr>
          <w:color w:val="000000"/>
        </w:rPr>
        <w:t>48</w:t>
      </w:r>
      <w:r w:rsidRPr="000B506E">
        <w:rPr>
          <w:color w:val="000000"/>
        </w:rPr>
        <w:t xml:space="preserve"> jednakih mjesečnih anuiteta</w:t>
      </w:r>
      <w:r>
        <w:rPr>
          <w:color w:val="000000"/>
        </w:rPr>
        <w:t xml:space="preserve"> od kojih svaki iznosi </w:t>
      </w:r>
      <w:r w:rsidRPr="00C065C9">
        <w:rPr>
          <w:rFonts w:eastAsia="MS Mincho"/>
          <w:noProof/>
          <w:color w:val="000000"/>
        </w:rPr>
        <w:t>74,36</w:t>
      </w:r>
      <w:r>
        <w:rPr>
          <w:color w:val="000000"/>
        </w:rPr>
        <w:t xml:space="preserve"> kn</w:t>
      </w:r>
      <w:r w:rsidRPr="000B506E">
        <w:rPr>
          <w:color w:val="000000"/>
        </w:rPr>
        <w:t xml:space="preserve">, bez kamata, računajući od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 xml:space="preserve">. Prvi anuitet će se platiti 15-tog u mjesecu, 12 mjeseci nakon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>, dok će se svaki naredni anuitet platiti mjesečno, najkasnije do 15-tog u mjesecu za prethodni  mjesec.</w:t>
      </w:r>
    </w:p>
    <w:p w:rsidRDefault="00E073C6" w:rsidP="00E073C6" w:rsidR="00E073C6"/>
    <w:p w:rsidRDefault="00E073C6" w:rsidP="00E073C6" w:rsidR="00E073C6" w:rsidRPr="000B506E">
      <w:pPr>
        <w:spacing w:lineRule="auto" w:line="360"/>
        <w:jc w:val="both"/>
        <w:rPr>
          <w:color w:val="000000"/>
        </w:rPr>
      </w:pPr>
      <w:r w:rsidRPr="00C065C9">
        <w:rPr>
          <w:noProof/>
          <w:color w:val="000000"/>
        </w:rPr>
        <w:t>22</w:t>
      </w:r>
      <w:r w:rsidRPr="000B506E">
        <w:rPr>
          <w:noProof/>
          <w:color w:val="000000"/>
        </w:rPr>
        <w:t xml:space="preserve">. </w:t>
      </w:r>
      <w:r w:rsidRPr="00C065C9">
        <w:rPr>
          <w:noProof/>
          <w:color w:val="000000"/>
        </w:rPr>
        <w:t>HEP ELEKTRA d.o.o. za opskrbu električnom energijom</w:t>
      </w:r>
      <w:r w:rsidRPr="000B506E">
        <w:rPr>
          <w:noProof/>
          <w:color w:val="000000"/>
        </w:rPr>
        <w:t xml:space="preserve">, </w:t>
      </w:r>
      <w:r w:rsidRPr="000B506E">
        <w:rPr>
          <w:color w:val="000000"/>
        </w:rPr>
        <w:t>OIB:</w:t>
      </w:r>
      <w:r w:rsidRPr="000B506E">
        <w:rPr>
          <w:noProof/>
          <w:color w:val="000000"/>
        </w:rPr>
        <w:t xml:space="preserve"> </w:t>
      </w:r>
      <w:r w:rsidRPr="00C065C9">
        <w:rPr>
          <w:noProof/>
          <w:color w:val="000000"/>
        </w:rPr>
        <w:t>43965974818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utvrđeni iznos tražbine iznosi </w:t>
      </w:r>
      <w:r w:rsidRPr="00C065C9">
        <w:rPr>
          <w:noProof/>
          <w:color w:val="000000"/>
        </w:rPr>
        <w:t>819,70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kn.  Predstečajni vjerovnik otpušta dužniku dio utvrđene </w:t>
      </w:r>
      <w:r w:rsidRPr="000B506E">
        <w:rPr>
          <w:color w:val="000000"/>
        </w:rPr>
        <w:lastRenderedPageBreak/>
        <w:t xml:space="preserve">tražbine, što iznosi </w:t>
      </w:r>
      <w:r w:rsidRPr="00C065C9">
        <w:rPr>
          <w:noProof/>
          <w:color w:val="000000"/>
        </w:rPr>
        <w:t>409,85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kn. Preostali iznos tražbine od </w:t>
      </w:r>
      <w:r w:rsidRPr="00C065C9">
        <w:rPr>
          <w:noProof/>
          <w:color w:val="000000"/>
        </w:rPr>
        <w:t>409,85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 otplatiti će se nakon isteka počeka od 12 mjeseci na </w:t>
      </w:r>
      <w:r>
        <w:rPr>
          <w:color w:val="000000"/>
        </w:rPr>
        <w:t>48</w:t>
      </w:r>
      <w:r w:rsidRPr="000B506E">
        <w:rPr>
          <w:color w:val="000000"/>
        </w:rPr>
        <w:t xml:space="preserve"> jednakih mjesečnih anuiteta</w:t>
      </w:r>
      <w:r>
        <w:rPr>
          <w:color w:val="000000"/>
        </w:rPr>
        <w:t xml:space="preserve"> od kojih svaki iznosi </w:t>
      </w:r>
      <w:r w:rsidRPr="00C065C9">
        <w:rPr>
          <w:rFonts w:eastAsia="MS Mincho"/>
          <w:noProof/>
          <w:color w:val="000000"/>
        </w:rPr>
        <w:t>8,54</w:t>
      </w:r>
      <w:r>
        <w:rPr>
          <w:color w:val="000000"/>
        </w:rPr>
        <w:t xml:space="preserve"> kn</w:t>
      </w:r>
      <w:r w:rsidRPr="000B506E">
        <w:rPr>
          <w:color w:val="000000"/>
        </w:rPr>
        <w:t xml:space="preserve">, bez kamata, računajući od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 xml:space="preserve">. Prvi anuitet će se platiti 15-tog u mjesecu, 12 mjeseci nakon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>, dok će se svaki naredni anuitet platiti mjesečno, najkasnije do 15-tog u mjesecu za prethodni  mjesec.</w:t>
      </w:r>
    </w:p>
    <w:p w:rsidRDefault="00E073C6" w:rsidP="00E073C6" w:rsidR="00E073C6"/>
    <w:p w:rsidRDefault="00E073C6" w:rsidP="00E073C6" w:rsidR="00E073C6" w:rsidRPr="000B506E">
      <w:pPr>
        <w:spacing w:lineRule="auto" w:line="360"/>
        <w:jc w:val="both"/>
        <w:rPr>
          <w:color w:val="000000"/>
        </w:rPr>
      </w:pPr>
      <w:r w:rsidRPr="00C065C9">
        <w:rPr>
          <w:noProof/>
          <w:color w:val="000000"/>
        </w:rPr>
        <w:t>23</w:t>
      </w:r>
      <w:r w:rsidRPr="000B506E">
        <w:rPr>
          <w:noProof/>
          <w:color w:val="000000"/>
        </w:rPr>
        <w:t xml:space="preserve">. </w:t>
      </w:r>
      <w:r w:rsidRPr="00C065C9">
        <w:rPr>
          <w:noProof/>
          <w:color w:val="000000"/>
        </w:rPr>
        <w:t>HEP-Operator distribucijskog sustava d.o.o. za distribuciju i opskrbu električne energije</w:t>
      </w:r>
      <w:r w:rsidRPr="000B506E">
        <w:rPr>
          <w:noProof/>
          <w:color w:val="000000"/>
        </w:rPr>
        <w:t xml:space="preserve">, </w:t>
      </w:r>
      <w:r w:rsidRPr="000B506E">
        <w:rPr>
          <w:color w:val="000000"/>
        </w:rPr>
        <w:t>OIB:</w:t>
      </w:r>
      <w:r w:rsidRPr="000B506E">
        <w:rPr>
          <w:noProof/>
          <w:color w:val="000000"/>
        </w:rPr>
        <w:t xml:space="preserve"> </w:t>
      </w:r>
      <w:r w:rsidRPr="00C065C9">
        <w:rPr>
          <w:noProof/>
          <w:color w:val="000000"/>
        </w:rPr>
        <w:t>46830600751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utvrđeni iznos tražbine iznosi </w:t>
      </w:r>
      <w:r w:rsidRPr="00C065C9">
        <w:rPr>
          <w:noProof/>
          <w:color w:val="000000"/>
        </w:rPr>
        <w:t>236,19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kn.  Predstečajni vjerovnik otpušta dužniku dio utvrđene tražbine, što iznosi </w:t>
      </w:r>
      <w:r w:rsidRPr="00C065C9">
        <w:rPr>
          <w:noProof/>
          <w:color w:val="000000"/>
        </w:rPr>
        <w:t>118,10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kn. Preostali iznos tražbine od </w:t>
      </w:r>
      <w:r w:rsidRPr="00C065C9">
        <w:rPr>
          <w:noProof/>
          <w:color w:val="000000"/>
        </w:rPr>
        <w:t>118,10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 otplatiti će se nakon isteka počeka od 12 mjeseci na </w:t>
      </w:r>
      <w:r>
        <w:rPr>
          <w:color w:val="000000"/>
        </w:rPr>
        <w:t>48</w:t>
      </w:r>
      <w:r w:rsidRPr="000B506E">
        <w:rPr>
          <w:color w:val="000000"/>
        </w:rPr>
        <w:t xml:space="preserve"> jednakih mjesečnih anuiteta</w:t>
      </w:r>
      <w:r>
        <w:rPr>
          <w:color w:val="000000"/>
        </w:rPr>
        <w:t xml:space="preserve"> od kojih svaki iznosi </w:t>
      </w:r>
      <w:r w:rsidRPr="00C065C9">
        <w:rPr>
          <w:rFonts w:eastAsia="MS Mincho"/>
          <w:noProof/>
          <w:color w:val="000000"/>
        </w:rPr>
        <w:t>2,46</w:t>
      </w:r>
      <w:r>
        <w:rPr>
          <w:color w:val="000000"/>
        </w:rPr>
        <w:t xml:space="preserve"> kn</w:t>
      </w:r>
      <w:r w:rsidRPr="000B506E">
        <w:rPr>
          <w:color w:val="000000"/>
        </w:rPr>
        <w:t xml:space="preserve">, bez kamata, računajući od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 xml:space="preserve">. Prvi anuitet će se platiti 15-tog u mjesecu, 12 mjeseci nakon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>, dok će se svaki naredni anuitet platiti mjesečno, najkasnije do 15-tog u mjesecu za prethodni  mjesec.</w:t>
      </w:r>
    </w:p>
    <w:p w:rsidRDefault="00E073C6" w:rsidP="00E073C6" w:rsidR="00E073C6"/>
    <w:p w:rsidRDefault="00E073C6" w:rsidP="00E073C6" w:rsidR="00E073C6" w:rsidRPr="000B506E">
      <w:pPr>
        <w:spacing w:lineRule="auto" w:line="360"/>
        <w:jc w:val="both"/>
        <w:rPr>
          <w:color w:val="000000"/>
        </w:rPr>
      </w:pPr>
      <w:r w:rsidRPr="00C065C9">
        <w:rPr>
          <w:noProof/>
          <w:color w:val="000000"/>
        </w:rPr>
        <w:t>24</w:t>
      </w:r>
      <w:r w:rsidRPr="000B506E">
        <w:rPr>
          <w:noProof/>
          <w:color w:val="000000"/>
        </w:rPr>
        <w:t xml:space="preserve">. </w:t>
      </w:r>
      <w:r w:rsidRPr="00C065C9">
        <w:rPr>
          <w:noProof/>
          <w:color w:val="000000"/>
        </w:rPr>
        <w:t>HEP-Operator distribucijskog sustava d.o.o. za distribuciju i opskrbu električne energije - ELEKTRA KOPRIVNICA</w:t>
      </w:r>
      <w:r w:rsidRPr="000B506E">
        <w:rPr>
          <w:noProof/>
          <w:color w:val="000000"/>
        </w:rPr>
        <w:t xml:space="preserve">, </w:t>
      </w:r>
      <w:r w:rsidRPr="000B506E">
        <w:rPr>
          <w:color w:val="000000"/>
        </w:rPr>
        <w:t>OIB:</w:t>
      </w:r>
      <w:r w:rsidRPr="000B506E">
        <w:rPr>
          <w:noProof/>
          <w:color w:val="000000"/>
        </w:rPr>
        <w:t xml:space="preserve"> </w:t>
      </w:r>
      <w:r w:rsidRPr="00C065C9">
        <w:rPr>
          <w:noProof/>
          <w:color w:val="000000"/>
        </w:rPr>
        <w:t>46830600751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utvrđeni iznos tražbine iznosi </w:t>
      </w:r>
      <w:r w:rsidRPr="00C065C9">
        <w:rPr>
          <w:noProof/>
          <w:color w:val="000000"/>
        </w:rPr>
        <w:t>260,38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kn.  Predstečajni vjerovnik otpušta dužniku dio utvrđene tražbine, što iznosi </w:t>
      </w:r>
      <w:r w:rsidRPr="00C065C9">
        <w:rPr>
          <w:noProof/>
          <w:color w:val="000000"/>
        </w:rPr>
        <w:t>130,19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kn. Preostali iznos tražbine od </w:t>
      </w:r>
      <w:r w:rsidRPr="00C065C9">
        <w:rPr>
          <w:noProof/>
          <w:color w:val="000000"/>
        </w:rPr>
        <w:t>130,19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 otplatiti će se nakon isteka počeka od 12 mjeseci na </w:t>
      </w:r>
      <w:r>
        <w:rPr>
          <w:color w:val="000000"/>
        </w:rPr>
        <w:t>48</w:t>
      </w:r>
      <w:r w:rsidRPr="000B506E">
        <w:rPr>
          <w:color w:val="000000"/>
        </w:rPr>
        <w:t xml:space="preserve"> jednakih mjesečnih anuiteta</w:t>
      </w:r>
      <w:r>
        <w:rPr>
          <w:color w:val="000000"/>
        </w:rPr>
        <w:t xml:space="preserve"> od kojih svaki iznosi </w:t>
      </w:r>
      <w:r w:rsidRPr="00C065C9">
        <w:rPr>
          <w:rFonts w:eastAsia="MS Mincho"/>
          <w:noProof/>
          <w:color w:val="000000"/>
        </w:rPr>
        <w:t>2,71</w:t>
      </w:r>
      <w:r>
        <w:rPr>
          <w:color w:val="000000"/>
        </w:rPr>
        <w:t xml:space="preserve"> kn</w:t>
      </w:r>
      <w:r w:rsidRPr="000B506E">
        <w:rPr>
          <w:color w:val="000000"/>
        </w:rPr>
        <w:t xml:space="preserve">, bez kamata, računajući od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 xml:space="preserve">. Prvi anuitet će se platiti 15-tog u mjesecu, 12 mjeseci nakon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>, dok će se svaki naredni anuitet platiti mjesečno, najkasnije do 15-tog u mjesecu za prethodni  mjesec.</w:t>
      </w:r>
    </w:p>
    <w:p w:rsidRDefault="00E073C6" w:rsidP="00E073C6" w:rsidR="00E073C6"/>
    <w:p w:rsidRDefault="00E073C6" w:rsidP="00E073C6" w:rsidR="00E073C6" w:rsidRPr="000B506E">
      <w:pPr>
        <w:spacing w:lineRule="auto" w:line="360"/>
        <w:jc w:val="both"/>
        <w:rPr>
          <w:color w:val="000000"/>
        </w:rPr>
      </w:pPr>
      <w:r w:rsidRPr="00C065C9">
        <w:rPr>
          <w:noProof/>
          <w:color w:val="000000"/>
        </w:rPr>
        <w:t>25</w:t>
      </w:r>
      <w:r w:rsidRPr="000B506E">
        <w:rPr>
          <w:noProof/>
          <w:color w:val="000000"/>
        </w:rPr>
        <w:t xml:space="preserve">. </w:t>
      </w:r>
      <w:r w:rsidRPr="00C065C9">
        <w:rPr>
          <w:noProof/>
          <w:color w:val="000000"/>
        </w:rPr>
        <w:t>HERC-ŠPED d.o.o. za međunarodno otpremništvo</w:t>
      </w:r>
      <w:r w:rsidRPr="000B506E">
        <w:rPr>
          <w:noProof/>
          <w:color w:val="000000"/>
        </w:rPr>
        <w:t xml:space="preserve">, </w:t>
      </w:r>
      <w:r w:rsidRPr="000B506E">
        <w:rPr>
          <w:color w:val="000000"/>
        </w:rPr>
        <w:t>OIB:</w:t>
      </w:r>
      <w:r w:rsidRPr="000B506E">
        <w:rPr>
          <w:noProof/>
          <w:color w:val="000000"/>
        </w:rPr>
        <w:t xml:space="preserve"> </w:t>
      </w:r>
      <w:r w:rsidRPr="00C065C9">
        <w:rPr>
          <w:noProof/>
          <w:color w:val="000000"/>
        </w:rPr>
        <w:t>70405603813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utvrđeni iznos tražbine iznosi </w:t>
      </w:r>
      <w:r w:rsidRPr="00C065C9">
        <w:rPr>
          <w:noProof/>
          <w:color w:val="000000"/>
        </w:rPr>
        <w:t>15.995,52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kn.  Predstečajni vjerovnik otpušta dužniku dio utvrđene tražbine, što iznosi </w:t>
      </w:r>
      <w:r w:rsidRPr="00C065C9">
        <w:rPr>
          <w:noProof/>
          <w:color w:val="000000"/>
        </w:rPr>
        <w:t>7.997,76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kn. Preostali iznos tražbine od </w:t>
      </w:r>
      <w:r w:rsidRPr="00C065C9">
        <w:rPr>
          <w:noProof/>
          <w:color w:val="000000"/>
        </w:rPr>
        <w:t>7.997,76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 otplatiti će se nakon isteka počeka od 12 mjeseci na </w:t>
      </w:r>
      <w:r>
        <w:rPr>
          <w:color w:val="000000"/>
        </w:rPr>
        <w:t>48</w:t>
      </w:r>
      <w:r w:rsidRPr="000B506E">
        <w:rPr>
          <w:color w:val="000000"/>
        </w:rPr>
        <w:t xml:space="preserve"> jednakih mjesečnih anuiteta</w:t>
      </w:r>
      <w:r>
        <w:rPr>
          <w:color w:val="000000"/>
        </w:rPr>
        <w:t xml:space="preserve"> od kojih svaki iznosi </w:t>
      </w:r>
      <w:r w:rsidRPr="00C065C9">
        <w:rPr>
          <w:rFonts w:eastAsia="MS Mincho"/>
          <w:noProof/>
          <w:color w:val="000000"/>
        </w:rPr>
        <w:t>166,62</w:t>
      </w:r>
      <w:r>
        <w:rPr>
          <w:color w:val="000000"/>
        </w:rPr>
        <w:t xml:space="preserve"> kn</w:t>
      </w:r>
      <w:r w:rsidRPr="000B506E">
        <w:rPr>
          <w:color w:val="000000"/>
        </w:rPr>
        <w:t xml:space="preserve">, bez kamata, računajući od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 xml:space="preserve">. Prvi anuitet će se platiti 15-tog u mjesecu, 12 mjeseci nakon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 xml:space="preserve">, dok će </w:t>
      </w:r>
      <w:r w:rsidRPr="000B506E">
        <w:rPr>
          <w:color w:val="000000"/>
        </w:rPr>
        <w:lastRenderedPageBreak/>
        <w:t>se svaki naredni anuitet platiti mjesečno, najkasnije do 15-tog u mjesecu za prethodni  mjesec.</w:t>
      </w:r>
    </w:p>
    <w:p w:rsidRDefault="00E073C6" w:rsidP="00E073C6" w:rsidR="00E073C6"/>
    <w:p w:rsidRDefault="00E073C6" w:rsidP="00E073C6" w:rsidR="00E073C6" w:rsidRPr="000B506E">
      <w:pPr>
        <w:spacing w:lineRule="auto" w:line="360"/>
        <w:jc w:val="both"/>
        <w:rPr>
          <w:color w:val="000000"/>
        </w:rPr>
      </w:pPr>
      <w:r w:rsidRPr="00C065C9">
        <w:rPr>
          <w:noProof/>
          <w:color w:val="000000"/>
        </w:rPr>
        <w:t>26</w:t>
      </w:r>
      <w:r w:rsidRPr="000B506E">
        <w:rPr>
          <w:noProof/>
          <w:color w:val="000000"/>
        </w:rPr>
        <w:t xml:space="preserve">. </w:t>
      </w:r>
      <w:r w:rsidRPr="00C065C9">
        <w:rPr>
          <w:noProof/>
          <w:color w:val="000000"/>
        </w:rPr>
        <w:t>HRVATSKA BANKA ZA OBNOVU I RAZVITAK</w:t>
      </w:r>
      <w:r w:rsidRPr="000B506E">
        <w:rPr>
          <w:noProof/>
          <w:color w:val="000000"/>
        </w:rPr>
        <w:t xml:space="preserve">, </w:t>
      </w:r>
      <w:r w:rsidRPr="000B506E">
        <w:rPr>
          <w:color w:val="000000"/>
        </w:rPr>
        <w:t>OIB:</w:t>
      </w:r>
      <w:r w:rsidRPr="000B506E">
        <w:rPr>
          <w:noProof/>
          <w:color w:val="000000"/>
        </w:rPr>
        <w:t xml:space="preserve"> </w:t>
      </w:r>
      <w:r w:rsidRPr="00C065C9">
        <w:rPr>
          <w:noProof/>
          <w:color w:val="000000"/>
        </w:rPr>
        <w:t>26702280390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utvrđeni iznos tražbine iznosi </w:t>
      </w:r>
      <w:r w:rsidRPr="00C065C9">
        <w:rPr>
          <w:noProof/>
          <w:color w:val="000000"/>
        </w:rPr>
        <w:t>25.567,09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kn.  Predstečajni vjerovnik otpušta dužniku dio utvrđene tražbine, što iznosi </w:t>
      </w:r>
      <w:r w:rsidRPr="00C065C9">
        <w:rPr>
          <w:noProof/>
          <w:color w:val="000000"/>
        </w:rPr>
        <w:t>12.783,55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kn. Preostali iznos tražbine od </w:t>
      </w:r>
      <w:r w:rsidRPr="00C065C9">
        <w:rPr>
          <w:noProof/>
          <w:color w:val="000000"/>
        </w:rPr>
        <w:t>12.783,55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 otplatiti će se nakon isteka počeka od 12 mjeseci na </w:t>
      </w:r>
      <w:r>
        <w:rPr>
          <w:color w:val="000000"/>
        </w:rPr>
        <w:t>48</w:t>
      </w:r>
      <w:r w:rsidRPr="000B506E">
        <w:rPr>
          <w:color w:val="000000"/>
        </w:rPr>
        <w:t xml:space="preserve"> jednakih mjesečnih anuiteta</w:t>
      </w:r>
      <w:r>
        <w:rPr>
          <w:color w:val="000000"/>
        </w:rPr>
        <w:t xml:space="preserve"> od kojih svaki iznosi </w:t>
      </w:r>
      <w:r w:rsidRPr="00C065C9">
        <w:rPr>
          <w:rFonts w:eastAsia="MS Mincho"/>
          <w:noProof/>
          <w:color w:val="000000"/>
        </w:rPr>
        <w:t>266,32</w:t>
      </w:r>
      <w:r>
        <w:rPr>
          <w:color w:val="000000"/>
        </w:rPr>
        <w:t xml:space="preserve"> kn</w:t>
      </w:r>
      <w:r w:rsidRPr="000B506E">
        <w:rPr>
          <w:color w:val="000000"/>
        </w:rPr>
        <w:t xml:space="preserve">, bez kamata, računajući od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 xml:space="preserve">. Prvi anuitet će se platiti 15-tog u mjesecu, 12 mjeseci nakon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>, dok će se svaki naredni anuitet platiti mjesečno, najkasnije do 15-tog u mjesecu za prethodni  mjesec.</w:t>
      </w:r>
    </w:p>
    <w:p w:rsidRDefault="00E073C6" w:rsidP="00E073C6" w:rsidR="00E073C6"/>
    <w:p w:rsidRDefault="00E073C6" w:rsidP="00E073C6" w:rsidR="00E073C6" w:rsidRPr="000B506E">
      <w:pPr>
        <w:spacing w:lineRule="auto" w:line="360"/>
        <w:jc w:val="both"/>
        <w:rPr>
          <w:color w:val="000000"/>
        </w:rPr>
      </w:pPr>
      <w:r w:rsidRPr="00C065C9">
        <w:rPr>
          <w:noProof/>
          <w:color w:val="000000"/>
        </w:rPr>
        <w:t>27</w:t>
      </w:r>
      <w:r w:rsidRPr="000B506E">
        <w:rPr>
          <w:noProof/>
          <w:color w:val="000000"/>
        </w:rPr>
        <w:t xml:space="preserve">. </w:t>
      </w:r>
      <w:r w:rsidRPr="00C065C9">
        <w:rPr>
          <w:noProof/>
          <w:color w:val="000000"/>
        </w:rPr>
        <w:t>Hrvatska radiotelevizija</w:t>
      </w:r>
      <w:r w:rsidRPr="000B506E">
        <w:rPr>
          <w:noProof/>
          <w:color w:val="000000"/>
        </w:rPr>
        <w:t xml:space="preserve">, </w:t>
      </w:r>
      <w:r w:rsidRPr="000B506E">
        <w:rPr>
          <w:color w:val="000000"/>
        </w:rPr>
        <w:t>OIB:</w:t>
      </w:r>
      <w:r w:rsidRPr="000B506E">
        <w:rPr>
          <w:noProof/>
          <w:color w:val="000000"/>
        </w:rPr>
        <w:t xml:space="preserve"> </w:t>
      </w:r>
      <w:r w:rsidRPr="00C065C9">
        <w:rPr>
          <w:noProof/>
          <w:color w:val="000000"/>
        </w:rPr>
        <w:t>68419124305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utvrđeni iznos tražbine iznosi </w:t>
      </w:r>
      <w:r w:rsidRPr="00C065C9">
        <w:rPr>
          <w:noProof/>
          <w:color w:val="000000"/>
        </w:rPr>
        <w:t>405,52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kn.  Predstečajni vjerovnik otpušta dužniku dio utvrđene tražbine, što iznosi </w:t>
      </w:r>
      <w:r w:rsidRPr="00C065C9">
        <w:rPr>
          <w:noProof/>
          <w:color w:val="000000"/>
        </w:rPr>
        <w:t>202,76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kn. Preostali iznos tražbine od </w:t>
      </w:r>
      <w:r w:rsidRPr="00C065C9">
        <w:rPr>
          <w:noProof/>
          <w:color w:val="000000"/>
        </w:rPr>
        <w:t>202,76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 otplatiti će se nakon isteka počeka od 12 mjeseci na </w:t>
      </w:r>
      <w:r>
        <w:rPr>
          <w:color w:val="000000"/>
        </w:rPr>
        <w:t>48</w:t>
      </w:r>
      <w:r w:rsidRPr="000B506E">
        <w:rPr>
          <w:color w:val="000000"/>
        </w:rPr>
        <w:t xml:space="preserve"> jednakih mjesečnih anuiteta</w:t>
      </w:r>
      <w:r>
        <w:rPr>
          <w:color w:val="000000"/>
        </w:rPr>
        <w:t xml:space="preserve"> od kojih svaki iznosi </w:t>
      </w:r>
      <w:r w:rsidRPr="00C065C9">
        <w:rPr>
          <w:rFonts w:eastAsia="MS Mincho"/>
          <w:noProof/>
          <w:color w:val="000000"/>
        </w:rPr>
        <w:t>4,22</w:t>
      </w:r>
      <w:r>
        <w:rPr>
          <w:color w:val="000000"/>
        </w:rPr>
        <w:t xml:space="preserve"> kn</w:t>
      </w:r>
      <w:r w:rsidRPr="000B506E">
        <w:rPr>
          <w:color w:val="000000"/>
        </w:rPr>
        <w:t xml:space="preserve">, bez kamata, računajući od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 xml:space="preserve">. Prvi anuitet će se platiti 15-tog u mjesecu, 12 mjeseci nakon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>, dok će se svaki naredni anuitet platiti mjesečno, najkasnije do 15-tog u mjesecu za prethodni  mjesec.</w:t>
      </w:r>
    </w:p>
    <w:p w:rsidRDefault="00E073C6" w:rsidP="00E073C6" w:rsidR="00E073C6"/>
    <w:p w:rsidRDefault="00E073C6" w:rsidP="00E073C6" w:rsidR="00E073C6" w:rsidRPr="000B506E">
      <w:pPr>
        <w:spacing w:lineRule="auto" w:line="360"/>
        <w:jc w:val="both"/>
        <w:rPr>
          <w:color w:val="000000"/>
        </w:rPr>
      </w:pPr>
      <w:r w:rsidRPr="00C065C9">
        <w:rPr>
          <w:noProof/>
          <w:color w:val="000000"/>
        </w:rPr>
        <w:t>28</w:t>
      </w:r>
      <w:r w:rsidRPr="000B506E">
        <w:rPr>
          <w:noProof/>
          <w:color w:val="000000"/>
        </w:rPr>
        <w:t xml:space="preserve">. </w:t>
      </w:r>
      <w:r w:rsidRPr="00C065C9">
        <w:rPr>
          <w:noProof/>
          <w:color w:val="000000"/>
        </w:rPr>
        <w:t>Hrvatske vode, pravna osoba za upravljanje vodama</w:t>
      </w:r>
      <w:r w:rsidRPr="000B506E">
        <w:rPr>
          <w:noProof/>
          <w:color w:val="000000"/>
        </w:rPr>
        <w:t xml:space="preserve">, </w:t>
      </w:r>
      <w:r w:rsidRPr="000B506E">
        <w:rPr>
          <w:color w:val="000000"/>
        </w:rPr>
        <w:t>OIB:</w:t>
      </w:r>
      <w:r w:rsidRPr="000B506E">
        <w:rPr>
          <w:noProof/>
          <w:color w:val="000000"/>
        </w:rPr>
        <w:t xml:space="preserve"> </w:t>
      </w:r>
      <w:r w:rsidRPr="00C065C9">
        <w:rPr>
          <w:noProof/>
          <w:color w:val="000000"/>
        </w:rPr>
        <w:t>28921383001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utvrđeni iznos tražbine iznosi </w:t>
      </w:r>
      <w:r w:rsidRPr="00C065C9">
        <w:rPr>
          <w:noProof/>
          <w:color w:val="000000"/>
        </w:rPr>
        <w:t>18.256,54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kn.  Predstečajni vjerovnik otpušta dužniku dio utvrđene tražbine, što iznosi </w:t>
      </w:r>
      <w:r w:rsidRPr="00C065C9">
        <w:rPr>
          <w:noProof/>
          <w:color w:val="000000"/>
        </w:rPr>
        <w:t>9.128,27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kn. Preostali iznos tražbine od </w:t>
      </w:r>
      <w:r w:rsidRPr="00C065C9">
        <w:rPr>
          <w:noProof/>
          <w:color w:val="000000"/>
        </w:rPr>
        <w:t>9.128,27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 otplatiti će se nakon isteka počeka od 12 mjeseci na </w:t>
      </w:r>
      <w:r>
        <w:rPr>
          <w:color w:val="000000"/>
        </w:rPr>
        <w:t>48</w:t>
      </w:r>
      <w:r w:rsidRPr="000B506E">
        <w:rPr>
          <w:color w:val="000000"/>
        </w:rPr>
        <w:t xml:space="preserve"> jednakih mjesečnih anuiteta</w:t>
      </w:r>
      <w:r>
        <w:rPr>
          <w:color w:val="000000"/>
        </w:rPr>
        <w:t xml:space="preserve"> od kojih svaki iznosi </w:t>
      </w:r>
      <w:r w:rsidRPr="00C065C9">
        <w:rPr>
          <w:rFonts w:eastAsia="MS Mincho"/>
          <w:noProof/>
          <w:color w:val="000000"/>
        </w:rPr>
        <w:t>190,17</w:t>
      </w:r>
      <w:r>
        <w:rPr>
          <w:color w:val="000000"/>
        </w:rPr>
        <w:t xml:space="preserve"> kn</w:t>
      </w:r>
      <w:r w:rsidRPr="000B506E">
        <w:rPr>
          <w:color w:val="000000"/>
        </w:rPr>
        <w:t xml:space="preserve">, bez kamata, računajući od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 xml:space="preserve">. Prvi anuitet će se platiti 15-tog u mjesecu, 12 mjeseci nakon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>, dok će se svaki naredni anuitet platiti mjesečno, najkasnije do 15-tog u mjesecu za prethodni  mjesec.</w:t>
      </w:r>
    </w:p>
    <w:p w:rsidRDefault="00E073C6" w:rsidP="00E073C6" w:rsidR="00E073C6"/>
    <w:p w:rsidRDefault="00E073C6" w:rsidP="00E073C6" w:rsidR="00E073C6" w:rsidRPr="000B506E">
      <w:pPr>
        <w:spacing w:lineRule="auto" w:line="360"/>
        <w:jc w:val="both"/>
        <w:rPr>
          <w:color w:val="000000"/>
        </w:rPr>
      </w:pPr>
      <w:r w:rsidRPr="00C065C9">
        <w:rPr>
          <w:noProof/>
          <w:color w:val="000000"/>
        </w:rPr>
        <w:t>29</w:t>
      </w:r>
      <w:r w:rsidRPr="000B506E">
        <w:rPr>
          <w:noProof/>
          <w:color w:val="000000"/>
        </w:rPr>
        <w:t xml:space="preserve">. </w:t>
      </w:r>
      <w:r w:rsidRPr="00C065C9">
        <w:rPr>
          <w:noProof/>
          <w:color w:val="000000"/>
        </w:rPr>
        <w:t>Hrvatske vode, pravna osoba za upravljanje vodama - VGO za GORNJU SAVU</w:t>
      </w:r>
      <w:r w:rsidRPr="000B506E">
        <w:rPr>
          <w:noProof/>
          <w:color w:val="000000"/>
        </w:rPr>
        <w:t xml:space="preserve">, </w:t>
      </w:r>
      <w:r w:rsidRPr="000B506E">
        <w:rPr>
          <w:color w:val="000000"/>
        </w:rPr>
        <w:t>OIB:</w:t>
      </w:r>
      <w:r w:rsidRPr="000B506E">
        <w:rPr>
          <w:noProof/>
          <w:color w:val="000000"/>
        </w:rPr>
        <w:t xml:space="preserve"> </w:t>
      </w:r>
      <w:r w:rsidRPr="00C065C9">
        <w:rPr>
          <w:noProof/>
          <w:color w:val="000000"/>
        </w:rPr>
        <w:t>28921383001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utvrđeni iznos tražbine iznosi </w:t>
      </w:r>
      <w:r w:rsidRPr="00C065C9">
        <w:rPr>
          <w:noProof/>
          <w:color w:val="000000"/>
        </w:rPr>
        <w:t>128,40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kn.  Predstečajni vjerovnik otpušta dužniku dio utvrđene tražbine, što iznosi </w:t>
      </w:r>
      <w:r w:rsidRPr="00C065C9">
        <w:rPr>
          <w:noProof/>
          <w:color w:val="000000"/>
        </w:rPr>
        <w:t>64,20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kn. Preostali iznos tražbine od </w:t>
      </w:r>
      <w:r w:rsidRPr="00C065C9">
        <w:rPr>
          <w:noProof/>
          <w:color w:val="000000"/>
        </w:rPr>
        <w:t>64,20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 </w:t>
      </w:r>
      <w:r w:rsidRPr="000B506E">
        <w:rPr>
          <w:color w:val="000000"/>
        </w:rPr>
        <w:lastRenderedPageBreak/>
        <w:t xml:space="preserve">otplatiti će se nakon isteka počeka od 12 mjeseci na </w:t>
      </w:r>
      <w:r>
        <w:rPr>
          <w:color w:val="000000"/>
        </w:rPr>
        <w:t>48</w:t>
      </w:r>
      <w:r w:rsidRPr="000B506E">
        <w:rPr>
          <w:color w:val="000000"/>
        </w:rPr>
        <w:t xml:space="preserve"> jednakih mjesečnih anuiteta</w:t>
      </w:r>
      <w:r>
        <w:rPr>
          <w:color w:val="000000"/>
        </w:rPr>
        <w:t xml:space="preserve"> od kojih svaki iznosi </w:t>
      </w:r>
      <w:r w:rsidRPr="00C065C9">
        <w:rPr>
          <w:rFonts w:eastAsia="MS Mincho"/>
          <w:noProof/>
          <w:color w:val="000000"/>
        </w:rPr>
        <w:t>1,34</w:t>
      </w:r>
      <w:r>
        <w:rPr>
          <w:color w:val="000000"/>
        </w:rPr>
        <w:t xml:space="preserve"> kn</w:t>
      </w:r>
      <w:r w:rsidRPr="000B506E">
        <w:rPr>
          <w:color w:val="000000"/>
        </w:rPr>
        <w:t xml:space="preserve">, bez kamata, računajući od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 xml:space="preserve">. Prvi anuitet će se platiti 15-tog u mjesecu, 12 mjeseci nakon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>, dok će se svaki naredni anuitet platiti mjesečno, najkasnije do 15-tog u mjesecu za prethodni  mjesec.</w:t>
      </w:r>
    </w:p>
    <w:p w:rsidRDefault="00E073C6" w:rsidP="00E073C6" w:rsidR="00E073C6"/>
    <w:p w:rsidRDefault="00E073C6" w:rsidP="00E073C6" w:rsidR="00E073C6" w:rsidRPr="00333C01">
      <w:pPr>
        <w:spacing w:lineRule="auto" w:line="360"/>
        <w:jc w:val="both"/>
      </w:pPr>
      <w:r w:rsidRPr="00C065C9">
        <w:rPr>
          <w:noProof/>
          <w:color w:val="000000"/>
        </w:rPr>
        <w:t>30</w:t>
      </w:r>
      <w:r w:rsidRPr="000B506E">
        <w:rPr>
          <w:noProof/>
          <w:color w:val="000000"/>
        </w:rPr>
        <w:t xml:space="preserve">. </w:t>
      </w:r>
      <w:r w:rsidRPr="00C065C9">
        <w:rPr>
          <w:noProof/>
          <w:color w:val="000000"/>
        </w:rPr>
        <w:t>Hrvatski Telekom d.d.</w:t>
      </w:r>
      <w:r w:rsidRPr="000B506E">
        <w:rPr>
          <w:noProof/>
          <w:color w:val="000000"/>
        </w:rPr>
        <w:t xml:space="preserve">, </w:t>
      </w:r>
      <w:r w:rsidRPr="000B506E">
        <w:rPr>
          <w:color w:val="000000"/>
        </w:rPr>
        <w:t>OIB:</w:t>
      </w:r>
      <w:r w:rsidRPr="000B506E">
        <w:rPr>
          <w:noProof/>
          <w:color w:val="000000"/>
        </w:rPr>
        <w:t xml:space="preserve"> </w:t>
      </w:r>
      <w:r w:rsidRPr="00C065C9">
        <w:rPr>
          <w:noProof/>
          <w:color w:val="000000"/>
        </w:rPr>
        <w:t>81793146560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utvrđeni iznos tražbine iznosi </w:t>
      </w:r>
      <w:r w:rsidRPr="00C065C9">
        <w:rPr>
          <w:noProof/>
          <w:color w:val="000000"/>
        </w:rPr>
        <w:t>2.497,45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kn.  Predstečajni vjerovnik otpušta dužniku dio utvrđene tražbine, što iznosi </w:t>
      </w:r>
      <w:r w:rsidRPr="00C065C9">
        <w:rPr>
          <w:noProof/>
          <w:color w:val="000000"/>
        </w:rPr>
        <w:t>1.248,73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kn. Preostali iznos tražbine od </w:t>
      </w:r>
      <w:r w:rsidRPr="00C065C9">
        <w:rPr>
          <w:noProof/>
          <w:color w:val="000000"/>
        </w:rPr>
        <w:t>1.248,73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 otplatiti će se nakon isteka počeka od 12 mjeseci na </w:t>
      </w:r>
      <w:r>
        <w:rPr>
          <w:color w:val="000000"/>
        </w:rPr>
        <w:t>48</w:t>
      </w:r>
      <w:r w:rsidRPr="000B506E">
        <w:rPr>
          <w:color w:val="000000"/>
        </w:rPr>
        <w:t xml:space="preserve"> jednakih mjesečnih anuiteta</w:t>
      </w:r>
      <w:r>
        <w:rPr>
          <w:color w:val="000000"/>
        </w:rPr>
        <w:t xml:space="preserve"> od kojih svaki iznosi </w:t>
      </w:r>
      <w:r w:rsidRPr="00C065C9">
        <w:rPr>
          <w:rFonts w:eastAsia="MS Mincho"/>
          <w:noProof/>
          <w:color w:val="000000"/>
        </w:rPr>
        <w:t>26,02</w:t>
      </w:r>
      <w:r>
        <w:rPr>
          <w:color w:val="000000"/>
        </w:rPr>
        <w:t xml:space="preserve"> kn</w:t>
      </w:r>
      <w:r w:rsidRPr="000B506E">
        <w:rPr>
          <w:color w:val="000000"/>
        </w:rPr>
        <w:t xml:space="preserve">, bez kamata, računajući od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 xml:space="preserve">. Prvi anuitet će se platiti 15-tog u mjesecu, 12 mjeseci nakon pravomoćnosti Rješenja Trgovačkog </w:t>
      </w:r>
      <w:r w:rsidRPr="00333C01">
        <w:t>suda o sklopljenom predstečajnom sporazumu, dok će se svaki naredni anuitet platiti mjesečno, najkasnije do 15-tog u mjesecu za prethodni  mjesec.</w:t>
      </w:r>
    </w:p>
    <w:p w:rsidRDefault="00E073C6" w:rsidP="00E073C6" w:rsidR="00E073C6" w:rsidRPr="00333C01"/>
    <w:p w:rsidRDefault="00E073C6" w:rsidP="00E073C6" w:rsidR="00E073C6" w:rsidRPr="00333C01">
      <w:pPr>
        <w:spacing w:lineRule="auto" w:line="360"/>
        <w:jc w:val="both"/>
      </w:pPr>
      <w:r w:rsidRPr="00333C01">
        <w:rPr>
          <w:noProof/>
        </w:rPr>
        <w:t xml:space="preserve">31. INTEREUROPA, logističke usluge d.o.o., </w:t>
      </w:r>
      <w:r w:rsidRPr="00333C01">
        <w:t>OIB:</w:t>
      </w:r>
      <w:r w:rsidRPr="00333C01">
        <w:rPr>
          <w:noProof/>
        </w:rPr>
        <w:t xml:space="preserve"> 85514716931  </w:t>
      </w:r>
      <w:r w:rsidRPr="00333C01">
        <w:t xml:space="preserve">utvrđeni iznos tražbine iznosi </w:t>
      </w:r>
      <w:r w:rsidRPr="00333C01">
        <w:rPr>
          <w:noProof/>
        </w:rPr>
        <w:t xml:space="preserve">700,00 </w:t>
      </w:r>
      <w:r w:rsidRPr="00333C01">
        <w:t xml:space="preserve">kn.  Predstečajni vjerovnik otpušta dužniku dio utvrđene tražbine, što iznosi </w:t>
      </w:r>
      <w:r w:rsidRPr="00333C01">
        <w:rPr>
          <w:noProof/>
        </w:rPr>
        <w:t xml:space="preserve">350,00  </w:t>
      </w:r>
      <w:r w:rsidRPr="00333C01">
        <w:t xml:space="preserve">kn. Preostali iznos tražbine od </w:t>
      </w:r>
      <w:r w:rsidRPr="00333C01">
        <w:rPr>
          <w:noProof/>
        </w:rPr>
        <w:t xml:space="preserve">350,00 </w:t>
      </w:r>
      <w:r w:rsidRPr="00333C01">
        <w:t xml:space="preserve">kn otplatiti će se nakon isteka počeka od 12 mjeseci na 48 jednakih mjesečnih anuiteta od kojih svaki iznosi </w:t>
      </w:r>
      <w:r w:rsidRPr="00333C01">
        <w:rPr>
          <w:rFonts w:eastAsia="MS Mincho"/>
          <w:noProof/>
        </w:rPr>
        <w:t>7,29</w:t>
      </w:r>
      <w:r w:rsidRPr="00333C01">
        <w:t xml:space="preserve"> kn, bez kamata, računajući od pravomoćnosti Rješenja Trgovačkog suda o sklopljenom predstečajnom sporazumu. Prvi anuitet će se platiti 15-tog u mjesecu, 12 mjeseci nakon pravomoćnosti Rješenja Trgovačkog suda o sklopljenom predstečajnom sporazumu, dok će se svaki naredni anuitet platiti mjesečno, najkasnije do 15-tog u mjesecu za prethodni  mjesec.</w:t>
      </w:r>
    </w:p>
    <w:p w:rsidRDefault="00E073C6" w:rsidP="00E073C6" w:rsidR="00E073C6" w:rsidRPr="00333C01"/>
    <w:p w:rsidRDefault="00E073C6" w:rsidP="00A14266" w:rsidR="00E073C6" w:rsidRPr="00333C01">
      <w:pPr>
        <w:spacing w:lineRule="auto" w:line="360"/>
        <w:jc w:val="both"/>
      </w:pPr>
      <w:r w:rsidRPr="00333C01">
        <w:t xml:space="preserve">32. JADRANKA VOJNOVIĆ  , OIB:              utvrđeni iznos tražbine iznosi 1.332.673,61 kn.  </w:t>
      </w:r>
      <w:r w:rsidR="002D4C5F" w:rsidRPr="00333C01">
        <w:t xml:space="preserve">U slučaju nastupa regresnog prava </w:t>
      </w:r>
      <w:r w:rsidRPr="00333C01">
        <w:t xml:space="preserve">Predstečajni vjerovnik otpušta dužniku dio utvrđene tražbine, što iznosi </w:t>
      </w:r>
      <w:r w:rsidR="00A14266" w:rsidRPr="00333C01">
        <w:t>666.336,81</w:t>
      </w:r>
      <w:r w:rsidRPr="00333C01">
        <w:t xml:space="preserve">  kn. Preostali iznos tražbine od </w:t>
      </w:r>
      <w:r w:rsidR="00A14266" w:rsidRPr="00333C01">
        <w:t xml:space="preserve">666.336,81  </w:t>
      </w:r>
      <w:r w:rsidRPr="00333C01">
        <w:t xml:space="preserve"> kn otplatiti će se nakon isteka počeka od 12 mjeseci na 48 jednakih mjesečnih anuiteta od kojih svaki iznosi  </w:t>
      </w:r>
      <w:r w:rsidR="00A14266" w:rsidRPr="00333C01">
        <w:t xml:space="preserve">13.882,02 </w:t>
      </w:r>
      <w:r w:rsidRPr="00333C01">
        <w:t xml:space="preserve">kn, bez kamata, računajući od pravomoćnosti Rješenja Trgovačkog suda o sklopljenom predstečajnom sporazumu. </w:t>
      </w:r>
      <w:r w:rsidR="006C163B" w:rsidRPr="00333C01">
        <w:t>Prvi anuitet će se platiti 15-tog u mjesecu, 12 mjeseci nakon nastupa regresnog prava, dok će se svaki naredni anuitet platiti mjesečno, najkasnije do 15-tog u mjesecu za prethodni  mjesec.</w:t>
      </w:r>
    </w:p>
    <w:p w:rsidRDefault="006C163B" w:rsidP="00A14266" w:rsidR="006C163B" w:rsidRPr="00333C01">
      <w:pPr>
        <w:spacing w:lineRule="auto" w:line="360"/>
        <w:jc w:val="both"/>
      </w:pPr>
    </w:p>
    <w:p w:rsidRDefault="00E073C6" w:rsidP="00A14266" w:rsidR="00E073C6" w:rsidRPr="00333C01">
      <w:pPr>
        <w:spacing w:lineRule="auto" w:line="360"/>
        <w:jc w:val="both"/>
      </w:pPr>
      <w:r w:rsidRPr="00333C01">
        <w:rPr>
          <w:noProof/>
        </w:rPr>
        <w:lastRenderedPageBreak/>
        <w:t xml:space="preserve">33. JURA-TEKSTIL društvo s ograničenom odgovornošću za unutarnju i vanjsku trgovinu, ugostiteljstvo i usluge, </w:t>
      </w:r>
      <w:r w:rsidRPr="00333C01">
        <w:t>OIB:</w:t>
      </w:r>
      <w:r w:rsidRPr="00333C01">
        <w:rPr>
          <w:noProof/>
        </w:rPr>
        <w:t xml:space="preserve"> 47234790498  </w:t>
      </w:r>
      <w:r w:rsidRPr="00333C01">
        <w:t xml:space="preserve">utvrđeni iznos tražbine iznosi </w:t>
      </w:r>
      <w:r w:rsidRPr="00333C01">
        <w:rPr>
          <w:noProof/>
        </w:rPr>
        <w:t xml:space="preserve">1.360.050,19 </w:t>
      </w:r>
      <w:r w:rsidRPr="00333C01">
        <w:t xml:space="preserve">kn.  </w:t>
      </w:r>
      <w:r w:rsidR="006C163B" w:rsidRPr="00333C01">
        <w:t xml:space="preserve">U slučaju nastupa regresnog prava </w:t>
      </w:r>
      <w:r w:rsidRPr="00333C01">
        <w:t xml:space="preserve">Predstečajni vjerovnik otpušta dužniku dio utvrđene tražbine, što iznosi </w:t>
      </w:r>
      <w:r w:rsidRPr="00333C01">
        <w:rPr>
          <w:noProof/>
        </w:rPr>
        <w:t xml:space="preserve">680.025,10  </w:t>
      </w:r>
      <w:r w:rsidRPr="00333C01">
        <w:t xml:space="preserve">kn. Preostali iznos tražbine od </w:t>
      </w:r>
      <w:r w:rsidRPr="00333C01">
        <w:rPr>
          <w:noProof/>
        </w:rPr>
        <w:t xml:space="preserve">680.025,10 </w:t>
      </w:r>
      <w:r w:rsidRPr="00333C01">
        <w:t xml:space="preserve">kn otplatiti će se nakon isteka počeka od 12 mjeseci na 48 jednakih mjesečnih anuiteta od kojih svaki iznosi </w:t>
      </w:r>
      <w:r w:rsidRPr="00333C01">
        <w:rPr>
          <w:rFonts w:eastAsia="MS Mincho"/>
          <w:noProof/>
        </w:rPr>
        <w:t>14.167,19</w:t>
      </w:r>
      <w:r w:rsidRPr="00333C01">
        <w:t xml:space="preserve"> kn, bez kamata, računajući od pravomoćnosti Rješenja Trgovačkog suda o sklopljenom predstečajnom sporazumu. </w:t>
      </w:r>
      <w:r w:rsidR="006C163B" w:rsidRPr="00333C01">
        <w:t>Prvi anuitet će se platiti 15-tog u mjesecu, 12 mjeseci nakon nastupa regresnog prava, dok će se svaki naredni anuitet platiti mjesečno, najkasnije do 15-tog u mjesecu za prethodni  mjesec.</w:t>
      </w:r>
    </w:p>
    <w:p w:rsidRDefault="00E073C6" w:rsidP="00E073C6" w:rsidR="00E073C6" w:rsidRPr="00333C01"/>
    <w:p w:rsidRDefault="00E073C6" w:rsidP="00E073C6" w:rsidR="00E073C6" w:rsidRPr="00333C01">
      <w:pPr>
        <w:spacing w:lineRule="auto" w:line="360"/>
        <w:jc w:val="both"/>
      </w:pPr>
      <w:r w:rsidRPr="00333C01">
        <w:rPr>
          <w:noProof/>
        </w:rPr>
        <w:t xml:space="preserve">34. KIMATEKS d.o.o., </w:t>
      </w:r>
      <w:r w:rsidRPr="00333C01">
        <w:t>OIB:</w:t>
      </w:r>
      <w:r w:rsidRPr="00333C01">
        <w:rPr>
          <w:noProof/>
        </w:rPr>
        <w:t xml:space="preserve"> 99459456097  </w:t>
      </w:r>
      <w:r w:rsidRPr="00333C01">
        <w:t xml:space="preserve">utvrđeni iznos tražbine iznosi </w:t>
      </w:r>
      <w:r w:rsidRPr="00333C01">
        <w:rPr>
          <w:noProof/>
        </w:rPr>
        <w:t xml:space="preserve">2.785,70 </w:t>
      </w:r>
      <w:r w:rsidRPr="00333C01">
        <w:t xml:space="preserve">kn.  Predstečajni vjerovnik otpušta dužniku dio utvrđene tražbine, što iznosi </w:t>
      </w:r>
      <w:r w:rsidRPr="00333C01">
        <w:rPr>
          <w:noProof/>
        </w:rPr>
        <w:t xml:space="preserve">1.392,85  </w:t>
      </w:r>
      <w:r w:rsidRPr="00333C01">
        <w:t xml:space="preserve">kn. Preostali iznos tražbine od </w:t>
      </w:r>
      <w:r w:rsidRPr="00333C01">
        <w:rPr>
          <w:noProof/>
        </w:rPr>
        <w:t xml:space="preserve">1.392,85 </w:t>
      </w:r>
      <w:r w:rsidRPr="00333C01">
        <w:t xml:space="preserve">kn otplatiti će se nakon isteka počeka od 12 mjeseci na 48 jednakih mjesečnih anuiteta od kojih svaki iznosi </w:t>
      </w:r>
      <w:r w:rsidRPr="00333C01">
        <w:rPr>
          <w:rFonts w:eastAsia="MS Mincho"/>
          <w:noProof/>
        </w:rPr>
        <w:t>29,02</w:t>
      </w:r>
      <w:r w:rsidRPr="00333C01">
        <w:t xml:space="preserve"> kn, bez kamata, računajući od pravomoćnosti Rješenja Trgovačkog suda o sklopljenom predstečajnom sporazumu. Prvi anuitet će se platiti 15-tog u mjesecu, 12 mjeseci nakon pravomoćnosti Rješenja Trgovačkog suda o sklopljenom predstečajnom sporazumu, dok će se svaki naredni anuitet platiti mjesečno, najkasnije do 15-tog u mjesecu za prethodni  mjesec.</w:t>
      </w:r>
    </w:p>
    <w:p w:rsidRDefault="00E073C6" w:rsidP="00E073C6" w:rsidR="00E073C6" w:rsidRPr="00333C01"/>
    <w:p w:rsidRDefault="00E073C6" w:rsidP="00E073C6" w:rsidR="00E073C6" w:rsidRPr="00333C01">
      <w:pPr>
        <w:spacing w:lineRule="auto" w:line="360"/>
        <w:jc w:val="both"/>
      </w:pPr>
      <w:r w:rsidRPr="00333C01">
        <w:rPr>
          <w:noProof/>
        </w:rPr>
        <w:t xml:space="preserve">35. KOMUNALAC d.o.o., </w:t>
      </w:r>
      <w:r w:rsidRPr="00333C01">
        <w:t>OIB:</w:t>
      </w:r>
      <w:r w:rsidRPr="00333C01">
        <w:rPr>
          <w:noProof/>
        </w:rPr>
        <w:t xml:space="preserve"> 17055681355  </w:t>
      </w:r>
      <w:r w:rsidRPr="00333C01">
        <w:t xml:space="preserve">utvrđeni iznos tražbine iznosi </w:t>
      </w:r>
      <w:r w:rsidRPr="00333C01">
        <w:rPr>
          <w:noProof/>
        </w:rPr>
        <w:t xml:space="preserve">15.282,76 </w:t>
      </w:r>
      <w:r w:rsidRPr="00333C01">
        <w:t xml:space="preserve">kn.  Predstečajni vjerovnik otpušta dužniku dio utvrđene tražbine, što iznosi </w:t>
      </w:r>
      <w:r w:rsidRPr="00333C01">
        <w:rPr>
          <w:noProof/>
        </w:rPr>
        <w:t xml:space="preserve">7.641,38  </w:t>
      </w:r>
      <w:r w:rsidRPr="00333C01">
        <w:t xml:space="preserve">kn. Preostali iznos tražbine od </w:t>
      </w:r>
      <w:r w:rsidRPr="00333C01">
        <w:rPr>
          <w:noProof/>
        </w:rPr>
        <w:t xml:space="preserve">7.641,38 </w:t>
      </w:r>
      <w:r w:rsidRPr="00333C01">
        <w:t xml:space="preserve">kn otplatiti će se nakon isteka počeka od 12 mjeseci na 48 jednakih mjesečnih anuiteta od kojih svaki iznosi </w:t>
      </w:r>
      <w:r w:rsidRPr="00333C01">
        <w:rPr>
          <w:rFonts w:eastAsia="MS Mincho"/>
          <w:noProof/>
        </w:rPr>
        <w:t>159,20</w:t>
      </w:r>
      <w:r w:rsidRPr="00333C01">
        <w:t xml:space="preserve"> kn, bez kamata, računajući od pravomoćnosti Rješenja Trgovačkog suda o sklopljenom predstečajnom sporazumu. Prvi anuitet će se platiti 15-tog u mjesecu, 12 mjeseci nakon pravomoćnosti Rješenja Trgovačkog suda o sklopljenom predstečajnom sporazumu, dok će se svaki naredni anuitet platiti mjesečno, najkasnije do 15-tog u mjesecu za prethodni  mjesec.</w:t>
      </w:r>
    </w:p>
    <w:p w:rsidRDefault="00E073C6" w:rsidP="00E073C6" w:rsidR="00E073C6" w:rsidRPr="00333C01"/>
    <w:p w:rsidRDefault="00E073C6" w:rsidP="00E073C6" w:rsidR="00E073C6" w:rsidRPr="00333C01">
      <w:pPr>
        <w:spacing w:lineRule="auto" w:line="360"/>
        <w:jc w:val="both"/>
      </w:pPr>
      <w:r w:rsidRPr="00333C01">
        <w:rPr>
          <w:noProof/>
        </w:rPr>
        <w:t xml:space="preserve">36. KONZUM trgovina na veliko i malo d.d., </w:t>
      </w:r>
      <w:r w:rsidRPr="00333C01">
        <w:t>OIB:</w:t>
      </w:r>
      <w:r w:rsidRPr="00333C01">
        <w:rPr>
          <w:noProof/>
        </w:rPr>
        <w:t xml:space="preserve"> 29955634590  </w:t>
      </w:r>
      <w:r w:rsidRPr="00333C01">
        <w:t xml:space="preserve">utvrđeni iznos tražbine iznosi </w:t>
      </w:r>
      <w:r w:rsidRPr="00333C01">
        <w:rPr>
          <w:noProof/>
        </w:rPr>
        <w:t xml:space="preserve">165.963,08 </w:t>
      </w:r>
      <w:r w:rsidRPr="00333C01">
        <w:t xml:space="preserve">kn.  Predstečajni vjerovnik otpušta dužniku dio utvrđene tražbine, što iznosi </w:t>
      </w:r>
      <w:r w:rsidRPr="00333C01">
        <w:rPr>
          <w:noProof/>
        </w:rPr>
        <w:t xml:space="preserve">82.981,54  </w:t>
      </w:r>
      <w:r w:rsidRPr="00333C01">
        <w:t xml:space="preserve">kn. Preostali iznos tražbine od </w:t>
      </w:r>
      <w:r w:rsidRPr="00333C01">
        <w:rPr>
          <w:noProof/>
        </w:rPr>
        <w:t xml:space="preserve">82.981,54 </w:t>
      </w:r>
      <w:r w:rsidRPr="00333C01">
        <w:t xml:space="preserve">kn otplatiti će se nakon isteka počeka od 12 mjeseci na 48 jednakih mjesečnih anuiteta od kojih svaki iznosi </w:t>
      </w:r>
      <w:r w:rsidRPr="00333C01">
        <w:rPr>
          <w:rFonts w:eastAsia="MS Mincho"/>
          <w:noProof/>
        </w:rPr>
        <w:t>1.728,78</w:t>
      </w:r>
      <w:r w:rsidRPr="00333C01">
        <w:t xml:space="preserve"> kn, bez kamata, računajući od pravomoćnosti Rješenja Trgovačkog suda o sklopljenom predstečajnom sporazumu. Prvi anuitet će se platiti 15-tog u mjesecu, 12 mjeseci nakon pravomoćnosti Rješenja Trgovačkog suda o sklopljenom predstečajnom sporazumu, dok će </w:t>
      </w:r>
      <w:r w:rsidRPr="00333C01">
        <w:lastRenderedPageBreak/>
        <w:t>se svaki naredni anuitet platiti mjesečno, najkasnije do 15-tog u mjesecu za prethodni  mjesec.</w:t>
      </w:r>
    </w:p>
    <w:p w:rsidRDefault="00E073C6" w:rsidP="00E073C6" w:rsidR="00E073C6" w:rsidRPr="00333C01"/>
    <w:p w:rsidRDefault="00E073C6" w:rsidP="00E073C6" w:rsidR="00E073C6" w:rsidRPr="00333C01">
      <w:pPr>
        <w:spacing w:lineRule="auto" w:line="360"/>
        <w:jc w:val="both"/>
      </w:pPr>
      <w:r w:rsidRPr="00333C01">
        <w:rPr>
          <w:noProof/>
        </w:rPr>
        <w:t xml:space="preserve">37. KSENIJA, Obrt za proizvodnju i prodaju tekstilnih proizvoda vl. OGNJEN BOŠNJAK, </w:t>
      </w:r>
      <w:r w:rsidRPr="00333C01">
        <w:t>OIB:</w:t>
      </w:r>
      <w:r w:rsidRPr="00333C01">
        <w:rPr>
          <w:noProof/>
        </w:rPr>
        <w:t xml:space="preserve"> 91253708777  </w:t>
      </w:r>
      <w:r w:rsidRPr="00333C01">
        <w:t xml:space="preserve">utvrđeni iznos tražbine iznosi </w:t>
      </w:r>
      <w:r w:rsidRPr="00333C01">
        <w:rPr>
          <w:noProof/>
        </w:rPr>
        <w:t xml:space="preserve">6.829,24 </w:t>
      </w:r>
      <w:r w:rsidRPr="00333C01">
        <w:t xml:space="preserve">kn.  Predstečajni vjerovnik otpušta dužniku dio utvrđene tražbine, što iznosi </w:t>
      </w:r>
      <w:r w:rsidRPr="00333C01">
        <w:rPr>
          <w:noProof/>
        </w:rPr>
        <w:t xml:space="preserve">3.414,62  </w:t>
      </w:r>
      <w:r w:rsidRPr="00333C01">
        <w:t xml:space="preserve">kn. Preostali iznos tražbine od </w:t>
      </w:r>
      <w:r w:rsidRPr="00333C01">
        <w:rPr>
          <w:noProof/>
        </w:rPr>
        <w:t xml:space="preserve">3.414,62 </w:t>
      </w:r>
      <w:r w:rsidRPr="00333C01">
        <w:t xml:space="preserve">kn otplatiti će se nakon isteka počeka od 12 mjeseci na 48 jednakih mjesečnih anuiteta od kojih svaki iznosi </w:t>
      </w:r>
      <w:r w:rsidRPr="00333C01">
        <w:rPr>
          <w:rFonts w:eastAsia="MS Mincho"/>
          <w:noProof/>
        </w:rPr>
        <w:t>71,14</w:t>
      </w:r>
      <w:r w:rsidRPr="00333C01">
        <w:t xml:space="preserve"> kn, bez kamata, računajući od pravomoćnosti Rješenja Trgovačkog suda o sklopljenom predstečajnom sporazumu. Prvi anuitet će se platiti 15-tog u mjesecu, 12 mjeseci nakon pravomoćnosti Rješenja Trgovačkog suda o sklopljenom predstečajnom sporazumu, dok će se svaki naredni anuitet platiti mjesečno, najkasnije do 15-tog u mjesecu za prethodni  mjesec.</w:t>
      </w:r>
    </w:p>
    <w:p w:rsidRDefault="00E073C6" w:rsidP="00E073C6" w:rsidR="00E073C6" w:rsidRPr="00333C01"/>
    <w:p w:rsidRDefault="00E073C6" w:rsidP="00E073C6" w:rsidR="00E073C6" w:rsidRPr="00333C01">
      <w:pPr>
        <w:spacing w:lineRule="auto" w:line="360"/>
        <w:jc w:val="both"/>
      </w:pPr>
      <w:r w:rsidRPr="00333C01">
        <w:rPr>
          <w:noProof/>
        </w:rPr>
        <w:t xml:space="preserve">38. KUM TRADE ENGINEERING d.o.o., </w:t>
      </w:r>
      <w:r w:rsidRPr="00333C01">
        <w:t>OIB:</w:t>
      </w:r>
      <w:r w:rsidRPr="00333C01">
        <w:rPr>
          <w:noProof/>
        </w:rPr>
        <w:t xml:space="preserve"> 15856331916  </w:t>
      </w:r>
      <w:r w:rsidRPr="00333C01">
        <w:t xml:space="preserve">utvrđeni iznos tražbine iznosi </w:t>
      </w:r>
      <w:r w:rsidRPr="00333C01">
        <w:rPr>
          <w:noProof/>
        </w:rPr>
        <w:t xml:space="preserve">2.719,11 </w:t>
      </w:r>
      <w:r w:rsidRPr="00333C01">
        <w:t xml:space="preserve">kn.  Predstečajni vjerovnik otpušta dužniku dio utvrđene tražbine, što iznosi </w:t>
      </w:r>
      <w:r w:rsidRPr="00333C01">
        <w:rPr>
          <w:noProof/>
        </w:rPr>
        <w:t xml:space="preserve">1.359,56  </w:t>
      </w:r>
      <w:r w:rsidRPr="00333C01">
        <w:t xml:space="preserve">kn. Preostali iznos tražbine od </w:t>
      </w:r>
      <w:r w:rsidRPr="00333C01">
        <w:rPr>
          <w:noProof/>
        </w:rPr>
        <w:t xml:space="preserve">1.359,56 </w:t>
      </w:r>
      <w:r w:rsidRPr="00333C01">
        <w:t xml:space="preserve">kn otplatiti će se nakon isteka počeka od 12 mjeseci na 48 jednakih mjesečnih anuiteta od kojih svaki iznosi </w:t>
      </w:r>
      <w:r w:rsidRPr="00333C01">
        <w:rPr>
          <w:rFonts w:eastAsia="MS Mincho"/>
          <w:noProof/>
        </w:rPr>
        <w:t>28,32</w:t>
      </w:r>
      <w:r w:rsidRPr="00333C01">
        <w:t xml:space="preserve"> kn, bez kamata, računajući od pravomoćnosti Rješenja Trgovačkog suda o sklopljenom predstečajnom sporazumu. Prvi anuitet će se platiti 15-tog u mjesecu, 12 mjeseci nakon pravomoćnosti Rješenja Trgovačkog suda o sklopljenom predstečajnom sporazumu, dok će se svaki naredni anuitet platiti mjesečno, najkasnije do 15-tog u mjesecu za prethodni  mjesec.</w:t>
      </w:r>
    </w:p>
    <w:p w:rsidRDefault="00E073C6" w:rsidP="00E073C6" w:rsidR="00E073C6" w:rsidRPr="00333C01"/>
    <w:p w:rsidRDefault="00E073C6" w:rsidP="00E073C6" w:rsidR="00E073C6" w:rsidRPr="00333C01">
      <w:pPr>
        <w:spacing w:lineRule="auto" w:line="360"/>
        <w:jc w:val="both"/>
      </w:pPr>
      <w:r w:rsidRPr="00333C01">
        <w:rPr>
          <w:noProof/>
        </w:rPr>
        <w:t xml:space="preserve">39. LAUS INTERNATIONAL d.o.o., </w:t>
      </w:r>
      <w:r w:rsidRPr="00333C01">
        <w:t>OIB:</w:t>
      </w:r>
      <w:r w:rsidRPr="00333C01">
        <w:rPr>
          <w:noProof/>
        </w:rPr>
        <w:t xml:space="preserve"> 93039509752  </w:t>
      </w:r>
      <w:r w:rsidRPr="00333C01">
        <w:t xml:space="preserve">utvrđeni iznos tražbine iznosi </w:t>
      </w:r>
      <w:r w:rsidRPr="00333C01">
        <w:rPr>
          <w:noProof/>
        </w:rPr>
        <w:t xml:space="preserve">1.370,33 </w:t>
      </w:r>
      <w:r w:rsidRPr="00333C01">
        <w:t xml:space="preserve">kn.  Predstečajni vjerovnik otpušta dužniku dio utvrđene tražbine, što iznosi </w:t>
      </w:r>
      <w:r w:rsidRPr="00333C01">
        <w:rPr>
          <w:noProof/>
        </w:rPr>
        <w:t xml:space="preserve">685,17  </w:t>
      </w:r>
      <w:r w:rsidRPr="00333C01">
        <w:t xml:space="preserve">kn. Preostali iznos tražbine od </w:t>
      </w:r>
      <w:r w:rsidRPr="00333C01">
        <w:rPr>
          <w:noProof/>
        </w:rPr>
        <w:t xml:space="preserve">685,17 </w:t>
      </w:r>
      <w:r w:rsidRPr="00333C01">
        <w:t xml:space="preserve">kn otplatiti će se nakon isteka počeka od 12 mjeseci na 48 jednakih mjesečnih anuiteta od kojih svaki iznosi </w:t>
      </w:r>
      <w:r w:rsidRPr="00333C01">
        <w:rPr>
          <w:rFonts w:eastAsia="MS Mincho"/>
          <w:noProof/>
        </w:rPr>
        <w:t>14,27</w:t>
      </w:r>
      <w:r w:rsidRPr="00333C01">
        <w:t xml:space="preserve"> kn, bez kamata, računajući od pravomoćnosti Rješenja Trgovačkog suda o sklopljenom predstečajnom sporazumu. Prvi anuitet će se platiti 15-tog u mjesecu, 12 mjeseci nakon pravomoćnosti Rješenja Trgovačkog suda o sklopljenom predstečajnom sporazumu, dok će se svaki naredni anuitet platiti mjesečno, najkasnije do 15-tog u mjesecu za prethodni  mjesec.</w:t>
      </w:r>
    </w:p>
    <w:p w:rsidRDefault="00E073C6" w:rsidP="00E073C6" w:rsidR="00E073C6" w:rsidRPr="00333C01"/>
    <w:p w:rsidRDefault="00E073C6" w:rsidP="00E073C6" w:rsidR="00E073C6" w:rsidRPr="00333C01">
      <w:pPr>
        <w:spacing w:lineRule="auto" w:line="360"/>
        <w:jc w:val="both"/>
      </w:pPr>
      <w:r w:rsidRPr="00333C01">
        <w:rPr>
          <w:noProof/>
        </w:rPr>
        <w:t xml:space="preserve">40. MAISA ETIKETE d.o.o., </w:t>
      </w:r>
      <w:r w:rsidRPr="00333C01">
        <w:t>OIB:</w:t>
      </w:r>
      <w:r w:rsidRPr="00333C01">
        <w:rPr>
          <w:noProof/>
        </w:rPr>
        <w:t xml:space="preserve"> 22684209153  </w:t>
      </w:r>
      <w:r w:rsidRPr="00333C01">
        <w:t xml:space="preserve">utvrđeni iznos tražbine iznosi </w:t>
      </w:r>
      <w:r w:rsidRPr="00333C01">
        <w:rPr>
          <w:noProof/>
        </w:rPr>
        <w:t xml:space="preserve">5.017,78 </w:t>
      </w:r>
      <w:r w:rsidRPr="00333C01">
        <w:t xml:space="preserve">kn.  Predstečajni vjerovnik otpušta dužniku dio utvrđene tražbine, što iznosi </w:t>
      </w:r>
      <w:r w:rsidRPr="00333C01">
        <w:rPr>
          <w:noProof/>
        </w:rPr>
        <w:t xml:space="preserve">2.508,89  </w:t>
      </w:r>
      <w:r w:rsidRPr="00333C01">
        <w:t xml:space="preserve">kn. Preostali iznos tražbine od </w:t>
      </w:r>
      <w:r w:rsidRPr="00333C01">
        <w:rPr>
          <w:noProof/>
        </w:rPr>
        <w:t xml:space="preserve">2.508,89 </w:t>
      </w:r>
      <w:r w:rsidRPr="00333C01">
        <w:t xml:space="preserve">kn otplatiti će se nakon isteka počeka od 12 mjeseci na 48 jednakih mjesečnih anuiteta od kojih svaki iznosi </w:t>
      </w:r>
      <w:r w:rsidRPr="00333C01">
        <w:rPr>
          <w:rFonts w:eastAsia="MS Mincho"/>
          <w:noProof/>
        </w:rPr>
        <w:t>52,27</w:t>
      </w:r>
      <w:r w:rsidRPr="00333C01">
        <w:t xml:space="preserve"> kn, bez kamata, računajući od </w:t>
      </w:r>
      <w:r w:rsidRPr="00333C01">
        <w:lastRenderedPageBreak/>
        <w:t>pravomoćnosti Rješenja Trgovačkog suda o sklopljenom predstečajnom sporazumu. Prvi anuitet će se platiti 15-tog u mjesecu, 12 mjeseci nakon pravomoćnosti Rješenja Trgovačkog suda o sklopljenom predstečajnom sporazumu, dok će se svaki naredni anuitet platiti mjesečno, najkasnije do 15-tog u mjesecu za prethodni  mjesec.</w:t>
      </w:r>
    </w:p>
    <w:p w:rsidRDefault="00E073C6" w:rsidP="00E073C6" w:rsidR="00E073C6" w:rsidRPr="00333C01"/>
    <w:p w:rsidRDefault="00E073C6" w:rsidP="00E073C6" w:rsidR="00E073C6" w:rsidRPr="00333C01">
      <w:pPr>
        <w:spacing w:lineRule="auto" w:line="360"/>
        <w:jc w:val="both"/>
      </w:pPr>
      <w:r w:rsidRPr="00333C01">
        <w:rPr>
          <w:noProof/>
        </w:rPr>
        <w:t xml:space="preserve">41. MAKO MM d.o.o., </w:t>
      </w:r>
      <w:r w:rsidRPr="00333C01">
        <w:t>OIB:</w:t>
      </w:r>
      <w:r w:rsidRPr="00333C01">
        <w:rPr>
          <w:noProof/>
        </w:rPr>
        <w:t xml:space="preserve">              </w:t>
      </w:r>
      <w:r w:rsidRPr="00333C01">
        <w:t xml:space="preserve">utvrđeni iznos tražbine iznosi </w:t>
      </w:r>
      <w:r w:rsidRPr="00333C01">
        <w:rPr>
          <w:noProof/>
        </w:rPr>
        <w:t xml:space="preserve">282.424,31 </w:t>
      </w:r>
      <w:r w:rsidRPr="00333C01">
        <w:t xml:space="preserve">kn.  Predstečajni vjerovnik otpušta dužniku dio utvrđene tražbine, što iznosi </w:t>
      </w:r>
      <w:r w:rsidRPr="00333C01">
        <w:rPr>
          <w:noProof/>
        </w:rPr>
        <w:t xml:space="preserve">141.212,16  </w:t>
      </w:r>
      <w:r w:rsidRPr="00333C01">
        <w:t xml:space="preserve">kn. Preostali iznos tražbine od </w:t>
      </w:r>
      <w:r w:rsidRPr="00333C01">
        <w:rPr>
          <w:noProof/>
        </w:rPr>
        <w:t xml:space="preserve">141.212,16 </w:t>
      </w:r>
      <w:r w:rsidRPr="00333C01">
        <w:t xml:space="preserve">kn otplatiti će se nakon isteka počeka od 12 mjeseci na 48 jednakih mjesečnih anuiteta od kojih svaki iznosi </w:t>
      </w:r>
      <w:r w:rsidRPr="00333C01">
        <w:rPr>
          <w:rFonts w:eastAsia="MS Mincho"/>
          <w:noProof/>
        </w:rPr>
        <w:t>2.941,92</w:t>
      </w:r>
      <w:r w:rsidRPr="00333C01">
        <w:t xml:space="preserve"> kn, bez kamata, računajući od pravomoćnosti Rješenja Trgovačkog suda o sklopljenom predstečajnom sporazumu. Prvi anuitet će se platiti 15-tog u mjesecu, 12 mjeseci nakon pravomoćnosti Rješenja Trgovačkog suda o sklopljenom predstečajnom sporazumu, dok će se svaki naredni anuitet platiti mjesečno, najkasnije do 15-tog u mjesecu za prethodni  mjesec.</w:t>
      </w:r>
    </w:p>
    <w:p w:rsidRDefault="00E073C6" w:rsidP="00E073C6" w:rsidR="00E073C6" w:rsidRPr="00333C01"/>
    <w:p w:rsidRDefault="00E073C6" w:rsidP="00E073C6" w:rsidR="00E073C6" w:rsidRPr="00333C01">
      <w:pPr>
        <w:spacing w:lineRule="auto" w:line="360"/>
        <w:jc w:val="both"/>
      </w:pPr>
      <w:r w:rsidRPr="00333C01">
        <w:rPr>
          <w:noProof/>
        </w:rPr>
        <w:t xml:space="preserve">42. MaRCo d.o.o., </w:t>
      </w:r>
      <w:r w:rsidRPr="00333C01">
        <w:t>OIB:</w:t>
      </w:r>
      <w:r w:rsidRPr="00333C01">
        <w:rPr>
          <w:noProof/>
        </w:rPr>
        <w:t xml:space="preserve"> 89740937554  </w:t>
      </w:r>
      <w:r w:rsidRPr="00333C01">
        <w:t xml:space="preserve">utvrđeni iznos tražbine iznosi </w:t>
      </w:r>
      <w:r w:rsidRPr="00333C01">
        <w:rPr>
          <w:noProof/>
        </w:rPr>
        <w:t xml:space="preserve">248,13 </w:t>
      </w:r>
      <w:r w:rsidRPr="00333C01">
        <w:t xml:space="preserve">kn.  Predstečajni vjerovnik otpušta dužniku dio utvrđene tražbine, što iznosi </w:t>
      </w:r>
      <w:r w:rsidRPr="00333C01">
        <w:rPr>
          <w:noProof/>
        </w:rPr>
        <w:t xml:space="preserve">124,07  </w:t>
      </w:r>
      <w:r w:rsidRPr="00333C01">
        <w:t xml:space="preserve">kn. Preostali iznos tražbine od </w:t>
      </w:r>
      <w:r w:rsidRPr="00333C01">
        <w:rPr>
          <w:noProof/>
        </w:rPr>
        <w:t xml:space="preserve">124,07 </w:t>
      </w:r>
      <w:r w:rsidRPr="00333C01">
        <w:t xml:space="preserve">kn otplatiti će se nakon isteka počeka od 12 mjeseci na 48 jednakih mjesečnih anuiteta od kojih svaki iznosi </w:t>
      </w:r>
      <w:r w:rsidRPr="00333C01">
        <w:rPr>
          <w:rFonts w:eastAsia="MS Mincho"/>
          <w:noProof/>
        </w:rPr>
        <w:t>2,58</w:t>
      </w:r>
      <w:r w:rsidRPr="00333C01">
        <w:t xml:space="preserve"> kn, bez kamata, računajući od pravomoćnosti Rješenja Trgovačkog suda o sklopljenom predstečajnom sporazumu. Prvi anuitet će se platiti 15-tog u mjesecu, 12 mjeseci nakon pravomoćnosti Rješenja Trgovačkog suda o sklopljenom predstečajnom sporazumu, dok će se svaki naredni anuitet platiti mjesečno, najkasnije do 15-tog u mjesecu za prethodni  mjesec.</w:t>
      </w:r>
    </w:p>
    <w:p w:rsidRDefault="00E073C6" w:rsidP="00E073C6" w:rsidR="00E073C6" w:rsidRPr="00333C01"/>
    <w:p w:rsidRDefault="00E073C6" w:rsidP="00E073C6" w:rsidR="00E073C6" w:rsidRPr="00333C01">
      <w:pPr>
        <w:spacing w:lineRule="auto" w:line="360"/>
        <w:jc w:val="both"/>
      </w:pPr>
      <w:r w:rsidRPr="00333C01">
        <w:rPr>
          <w:noProof/>
        </w:rPr>
        <w:t xml:space="preserve">43. MICHELE LETIZIA s.p.a., </w:t>
      </w:r>
      <w:r w:rsidRPr="00333C01">
        <w:t>OIB:</w:t>
      </w:r>
      <w:r w:rsidRPr="00333C01">
        <w:rPr>
          <w:noProof/>
        </w:rPr>
        <w:t xml:space="preserve">              </w:t>
      </w:r>
      <w:r w:rsidRPr="00333C01">
        <w:t xml:space="preserve">utvrđeni iznos tražbine iznosi </w:t>
      </w:r>
      <w:r w:rsidRPr="00333C01">
        <w:rPr>
          <w:noProof/>
        </w:rPr>
        <w:t xml:space="preserve">20.418,83 </w:t>
      </w:r>
      <w:r w:rsidRPr="00333C01">
        <w:t xml:space="preserve">kn.  Predstečajni vjerovnik otpušta dužniku dio utvrđene tražbine, što iznosi </w:t>
      </w:r>
      <w:r w:rsidRPr="00333C01">
        <w:rPr>
          <w:noProof/>
        </w:rPr>
        <w:t xml:space="preserve">10.209,42  </w:t>
      </w:r>
      <w:r w:rsidRPr="00333C01">
        <w:t xml:space="preserve">kn. Preostali iznos tražbine od </w:t>
      </w:r>
      <w:r w:rsidRPr="00333C01">
        <w:rPr>
          <w:noProof/>
        </w:rPr>
        <w:t xml:space="preserve">10.209,42 </w:t>
      </w:r>
      <w:r w:rsidRPr="00333C01">
        <w:t xml:space="preserve">kn otplatiti će se nakon isteka počeka od 12 mjeseci na 48 jednakih mjesečnih anuiteta od kojih svaki iznosi </w:t>
      </w:r>
      <w:r w:rsidRPr="00333C01">
        <w:rPr>
          <w:rFonts w:eastAsia="MS Mincho"/>
          <w:noProof/>
        </w:rPr>
        <w:t>212,70</w:t>
      </w:r>
      <w:r w:rsidRPr="00333C01">
        <w:t xml:space="preserve"> kn, bez kamata, računajući od pravomoćnosti Rješenja Trgovačkog suda o sklopljenom predstečajnom sporazumu. Prvi anuitet će se platiti 15-tog u mjesecu, 12 mjeseci nakon pravomoćnosti Rješenja Trgovačkog suda o sklopljenom predstečajnom sporazumu, dok će se svaki naredni anuitet platiti mjesečno, najkasnije do 15-tog u mjesecu za prethodni  mjesec.</w:t>
      </w:r>
    </w:p>
    <w:p w:rsidRDefault="00E073C6" w:rsidP="00E073C6" w:rsidR="00E073C6" w:rsidRPr="00333C01"/>
    <w:p w:rsidRDefault="00E073C6" w:rsidP="00E073C6" w:rsidR="00E073C6" w:rsidRPr="00333C01">
      <w:pPr>
        <w:spacing w:lineRule="auto" w:line="360"/>
        <w:jc w:val="both"/>
      </w:pPr>
      <w:r w:rsidRPr="00333C01">
        <w:rPr>
          <w:noProof/>
        </w:rPr>
        <w:t xml:space="preserve">44. MINISTARSTVO POLJOPRIVREDE, </w:t>
      </w:r>
      <w:r w:rsidRPr="00333C01">
        <w:t>OIB:</w:t>
      </w:r>
      <w:r w:rsidRPr="00333C01">
        <w:rPr>
          <w:noProof/>
        </w:rPr>
        <w:t xml:space="preserve"> 76767369197  </w:t>
      </w:r>
      <w:r w:rsidRPr="00333C01">
        <w:t xml:space="preserve">utvrđeni iznos tražbine iznosi </w:t>
      </w:r>
      <w:r w:rsidRPr="00333C01">
        <w:rPr>
          <w:noProof/>
        </w:rPr>
        <w:t xml:space="preserve">5.930,84 </w:t>
      </w:r>
      <w:r w:rsidRPr="00333C01">
        <w:t xml:space="preserve">kn.  Predstečajni vjerovnik otpušta dužniku dio utvrđene tražbine, što iznosi </w:t>
      </w:r>
      <w:r w:rsidRPr="00333C01">
        <w:rPr>
          <w:noProof/>
        </w:rPr>
        <w:t xml:space="preserve">2.965,42  </w:t>
      </w:r>
      <w:r w:rsidRPr="00333C01">
        <w:t xml:space="preserve">kn. Preostali iznos tražbine od </w:t>
      </w:r>
      <w:r w:rsidRPr="00333C01">
        <w:rPr>
          <w:noProof/>
        </w:rPr>
        <w:t xml:space="preserve">2.965,42 </w:t>
      </w:r>
      <w:r w:rsidRPr="00333C01">
        <w:t xml:space="preserve">kn otplatiti će se nakon isteka počeka od </w:t>
      </w:r>
      <w:r w:rsidRPr="00333C01">
        <w:lastRenderedPageBreak/>
        <w:t xml:space="preserve">12 mjeseci na 48 jednakih mjesečnih anuiteta od kojih svaki iznosi </w:t>
      </w:r>
      <w:r w:rsidRPr="00333C01">
        <w:rPr>
          <w:rFonts w:eastAsia="MS Mincho"/>
          <w:noProof/>
        </w:rPr>
        <w:t>61,78</w:t>
      </w:r>
      <w:r w:rsidRPr="00333C01">
        <w:t xml:space="preserve"> kn, bez kamata, računajući od pravomoćnosti Rješenja Trgovačkog suda o sklopljenom predstečajnom sporazumu. Prvi anuitet će se platiti 15-tog u mjesecu, 12 mjeseci nakon pravomoćnosti Rješenja Trgovačkog suda o sklopljenom predstečajnom sporazumu, dok će se svaki naredni anuitet platiti mjesečno, najkasnije do 15-tog u mjesecu za prethodni  mjesec.</w:t>
      </w:r>
    </w:p>
    <w:p w:rsidRDefault="00E073C6" w:rsidP="00E073C6" w:rsidR="00E073C6" w:rsidRPr="00333C01"/>
    <w:p w:rsidRDefault="00E073C6" w:rsidP="00A14266" w:rsidR="00E073C6" w:rsidRPr="00333C01">
      <w:pPr>
        <w:spacing w:lineRule="auto" w:line="360"/>
        <w:jc w:val="both"/>
      </w:pPr>
      <w:r w:rsidRPr="00333C01">
        <w:t xml:space="preserve">45. MIRKO VOJNOVIĆ  , OIB:              utvrđeni iznos tražbine iznosi 2.209.945,42 kn.  </w:t>
      </w:r>
      <w:r w:rsidR="006C163B" w:rsidRPr="00333C01">
        <w:t xml:space="preserve">U slučaju nastupa regresnog prava </w:t>
      </w:r>
      <w:r w:rsidRPr="00333C01">
        <w:t xml:space="preserve">Predstečajni vjerovnik otpušta dužniku dio utvrđene tražbine, što iznosi </w:t>
      </w:r>
      <w:r w:rsidR="00A14266" w:rsidRPr="00333C01">
        <w:t xml:space="preserve"> 1.104.972,71 </w:t>
      </w:r>
      <w:r w:rsidRPr="00333C01">
        <w:t xml:space="preserve"> kn. Preostali iznos tražbine od </w:t>
      </w:r>
      <w:r w:rsidR="00A14266" w:rsidRPr="00333C01">
        <w:t>1.104.972,71</w:t>
      </w:r>
      <w:r w:rsidRPr="00333C01">
        <w:t xml:space="preserve"> kn otplatiti će se nakon isteka počeka od 12 mjeseci na 48 jednakih mjesečnih anuiteta od kojih svaki iznosi  </w:t>
      </w:r>
      <w:r w:rsidR="00A14266" w:rsidRPr="00333C01">
        <w:t xml:space="preserve">23.020,26 </w:t>
      </w:r>
      <w:r w:rsidRPr="00333C01">
        <w:t xml:space="preserve">kn, bez kamata, računajući od pravomoćnosti Rješenja Trgovačkog suda o sklopljenom predstečajnom sporazumu. Prvi anuitet će se platiti 15-tog u mjesecu, 12 mjeseci nakon </w:t>
      </w:r>
      <w:r w:rsidR="006C163B" w:rsidRPr="00333C01">
        <w:t>nastupa regresnog prava</w:t>
      </w:r>
      <w:r w:rsidRPr="00333C01">
        <w:t>, dok će se svaki naredni anuitet platiti mjesečno, najkasnije do 15-tog u mjesecu za prethodni  mjesec.</w:t>
      </w:r>
    </w:p>
    <w:p w:rsidRDefault="00E073C6" w:rsidP="00E073C6" w:rsidR="00E073C6" w:rsidRPr="00333C01"/>
    <w:p w:rsidRDefault="00E073C6" w:rsidP="00E073C6" w:rsidR="00E073C6" w:rsidRPr="000B506E">
      <w:pPr>
        <w:spacing w:lineRule="auto" w:line="360"/>
        <w:jc w:val="both"/>
        <w:rPr>
          <w:color w:val="000000"/>
        </w:rPr>
      </w:pPr>
      <w:r w:rsidRPr="00333C01">
        <w:rPr>
          <w:noProof/>
        </w:rPr>
        <w:t xml:space="preserve">46. Odvjetnik DUBRAVKA BOLT, </w:t>
      </w:r>
      <w:r w:rsidRPr="00333C01">
        <w:t>OIB:</w:t>
      </w:r>
      <w:r w:rsidRPr="00333C01">
        <w:rPr>
          <w:noProof/>
        </w:rPr>
        <w:t xml:space="preserve"> 42538269606  </w:t>
      </w:r>
      <w:r w:rsidRPr="00333C01">
        <w:t xml:space="preserve">utvrđeni iznos tražbine iznosi </w:t>
      </w:r>
      <w:r w:rsidRPr="00333C01">
        <w:rPr>
          <w:noProof/>
        </w:rPr>
        <w:t xml:space="preserve">4.500,00 </w:t>
      </w:r>
      <w:r w:rsidRPr="00333C01">
        <w:t xml:space="preserve">kn.  Predstečajni vjerovnik otpušta dužniku </w:t>
      </w:r>
      <w:r w:rsidRPr="000B506E">
        <w:rPr>
          <w:color w:val="000000"/>
        </w:rPr>
        <w:t xml:space="preserve">dio utvrđene tražbine, što iznosi </w:t>
      </w:r>
      <w:r w:rsidRPr="00C065C9">
        <w:rPr>
          <w:noProof/>
          <w:color w:val="000000"/>
        </w:rPr>
        <w:t>2.250,00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kn. Preostali iznos tražbine od </w:t>
      </w:r>
      <w:r w:rsidRPr="00C065C9">
        <w:rPr>
          <w:noProof/>
          <w:color w:val="000000"/>
        </w:rPr>
        <w:t>2.250,00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 otplatiti će se nakon isteka počeka od 12 mjeseci na </w:t>
      </w:r>
      <w:r>
        <w:rPr>
          <w:color w:val="000000"/>
        </w:rPr>
        <w:t>48</w:t>
      </w:r>
      <w:r w:rsidRPr="000B506E">
        <w:rPr>
          <w:color w:val="000000"/>
        </w:rPr>
        <w:t xml:space="preserve"> jednakih mjesečnih anuiteta</w:t>
      </w:r>
      <w:r>
        <w:rPr>
          <w:color w:val="000000"/>
        </w:rPr>
        <w:t xml:space="preserve"> od kojih svaki iznosi </w:t>
      </w:r>
      <w:r w:rsidRPr="00C065C9">
        <w:rPr>
          <w:rFonts w:eastAsia="MS Mincho"/>
          <w:noProof/>
          <w:color w:val="000000"/>
        </w:rPr>
        <w:t>46,88</w:t>
      </w:r>
      <w:r>
        <w:rPr>
          <w:color w:val="000000"/>
        </w:rPr>
        <w:t xml:space="preserve"> kn</w:t>
      </w:r>
      <w:r w:rsidRPr="000B506E">
        <w:rPr>
          <w:color w:val="000000"/>
        </w:rPr>
        <w:t xml:space="preserve">, bez kamata, računajući od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 xml:space="preserve">. Prvi anuitet će se platiti 15-tog u mjesecu, 12 mjeseci nakon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>, dok će se svaki naredni anuitet platiti mjesečno, najkasnije do 15-tog u mjesecu za prethodni  mjesec.</w:t>
      </w:r>
    </w:p>
    <w:p w:rsidRDefault="00E073C6" w:rsidP="00E073C6" w:rsidR="00E073C6"/>
    <w:p w:rsidRDefault="00E073C6" w:rsidP="00E073C6" w:rsidR="00E073C6" w:rsidRPr="000B506E">
      <w:pPr>
        <w:spacing w:lineRule="auto" w:line="360"/>
        <w:jc w:val="both"/>
        <w:rPr>
          <w:color w:val="000000"/>
        </w:rPr>
      </w:pPr>
      <w:r w:rsidRPr="00C065C9">
        <w:rPr>
          <w:noProof/>
          <w:color w:val="000000"/>
        </w:rPr>
        <w:t>47</w:t>
      </w:r>
      <w:r w:rsidRPr="000B506E">
        <w:rPr>
          <w:noProof/>
          <w:color w:val="000000"/>
        </w:rPr>
        <w:t xml:space="preserve">. </w:t>
      </w:r>
      <w:r w:rsidRPr="00C065C9">
        <w:rPr>
          <w:noProof/>
          <w:color w:val="000000"/>
        </w:rPr>
        <w:t>OPĆINA GOLA</w:t>
      </w:r>
      <w:r w:rsidRPr="000B506E">
        <w:rPr>
          <w:noProof/>
          <w:color w:val="000000"/>
        </w:rPr>
        <w:t xml:space="preserve">, </w:t>
      </w:r>
      <w:r w:rsidRPr="000B506E">
        <w:rPr>
          <w:color w:val="000000"/>
        </w:rPr>
        <w:t>OIB:</w:t>
      </w:r>
      <w:r w:rsidRPr="000B506E">
        <w:rPr>
          <w:noProof/>
          <w:color w:val="000000"/>
        </w:rPr>
        <w:t xml:space="preserve"> </w:t>
      </w:r>
      <w:r w:rsidRPr="00C065C9">
        <w:rPr>
          <w:noProof/>
          <w:color w:val="000000"/>
        </w:rPr>
        <w:t>13082265751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utvrđeni iznos tražbine iznosi </w:t>
      </w:r>
      <w:r w:rsidRPr="00C065C9">
        <w:rPr>
          <w:noProof/>
          <w:color w:val="000000"/>
        </w:rPr>
        <w:t>9.000,00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kn.  Predstečajni vjerovnik otpušta dužniku dio utvrđene tražbine, što iznosi </w:t>
      </w:r>
      <w:r w:rsidRPr="00C065C9">
        <w:rPr>
          <w:noProof/>
          <w:color w:val="000000"/>
        </w:rPr>
        <w:t>4.500,00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kn. Preostali iznos tražbine od </w:t>
      </w:r>
      <w:r w:rsidRPr="00C065C9">
        <w:rPr>
          <w:noProof/>
          <w:color w:val="000000"/>
        </w:rPr>
        <w:t>4.500,00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 otplatiti će se nakon isteka počeka od 12 mjeseci na </w:t>
      </w:r>
      <w:r>
        <w:rPr>
          <w:color w:val="000000"/>
        </w:rPr>
        <w:t>48</w:t>
      </w:r>
      <w:r w:rsidRPr="000B506E">
        <w:rPr>
          <w:color w:val="000000"/>
        </w:rPr>
        <w:t xml:space="preserve"> jednakih mjesečnih anuiteta</w:t>
      </w:r>
      <w:r>
        <w:rPr>
          <w:color w:val="000000"/>
        </w:rPr>
        <w:t xml:space="preserve"> od kojih svaki iznosi </w:t>
      </w:r>
      <w:r w:rsidRPr="00C065C9">
        <w:rPr>
          <w:rFonts w:eastAsia="MS Mincho"/>
          <w:noProof/>
          <w:color w:val="000000"/>
        </w:rPr>
        <w:t>93,75</w:t>
      </w:r>
      <w:r>
        <w:rPr>
          <w:color w:val="000000"/>
        </w:rPr>
        <w:t xml:space="preserve"> kn</w:t>
      </w:r>
      <w:r w:rsidRPr="000B506E">
        <w:rPr>
          <w:color w:val="000000"/>
        </w:rPr>
        <w:t xml:space="preserve">, bez kamata, računajući od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 xml:space="preserve">. Prvi anuitet će se platiti 15-tog u mjesecu, 12 mjeseci nakon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>, dok će se svaki naredni anuitet platiti mjesečno, najkasnije do 15-tog u mjesecu za prethodni  mjesec.</w:t>
      </w:r>
    </w:p>
    <w:p w:rsidRDefault="00E073C6" w:rsidP="00E073C6" w:rsidR="00E073C6"/>
    <w:p w:rsidRDefault="00E073C6" w:rsidP="00E073C6" w:rsidR="00E073C6" w:rsidRPr="000B506E">
      <w:pPr>
        <w:spacing w:lineRule="auto" w:line="360"/>
        <w:jc w:val="both"/>
        <w:rPr>
          <w:color w:val="000000"/>
        </w:rPr>
      </w:pPr>
      <w:r w:rsidRPr="00C065C9">
        <w:rPr>
          <w:noProof/>
          <w:color w:val="000000"/>
        </w:rPr>
        <w:t>48</w:t>
      </w:r>
      <w:r w:rsidRPr="000B506E">
        <w:rPr>
          <w:noProof/>
          <w:color w:val="000000"/>
        </w:rPr>
        <w:t xml:space="preserve">. </w:t>
      </w:r>
      <w:r w:rsidRPr="00C065C9">
        <w:rPr>
          <w:noProof/>
          <w:color w:val="000000"/>
        </w:rPr>
        <w:t>P.P.V. TEAM , Obrt za prijevoz, trgovinu i usluge vl. ZDENKA POTOČKI</w:t>
      </w:r>
      <w:r w:rsidRPr="000B506E">
        <w:rPr>
          <w:noProof/>
          <w:color w:val="000000"/>
        </w:rPr>
        <w:t xml:space="preserve">, </w:t>
      </w:r>
      <w:r w:rsidRPr="000B506E">
        <w:rPr>
          <w:color w:val="000000"/>
        </w:rPr>
        <w:t>OIB:</w:t>
      </w:r>
      <w:r w:rsidRPr="000B506E">
        <w:rPr>
          <w:noProof/>
          <w:color w:val="000000"/>
        </w:rPr>
        <w:t xml:space="preserve"> </w:t>
      </w:r>
      <w:r w:rsidRPr="00C065C9">
        <w:rPr>
          <w:noProof/>
          <w:color w:val="000000"/>
        </w:rPr>
        <w:t>14077801734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utvrđeni iznos tražbine iznosi </w:t>
      </w:r>
      <w:r w:rsidRPr="00C065C9">
        <w:rPr>
          <w:noProof/>
          <w:color w:val="000000"/>
        </w:rPr>
        <w:t>36.276,71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kn.  Predstečajni vjerovnik otpušta </w:t>
      </w:r>
      <w:r w:rsidRPr="000B506E">
        <w:rPr>
          <w:color w:val="000000"/>
        </w:rPr>
        <w:lastRenderedPageBreak/>
        <w:t xml:space="preserve">dužniku dio utvrđene tražbine, što iznosi </w:t>
      </w:r>
      <w:r w:rsidRPr="00C065C9">
        <w:rPr>
          <w:noProof/>
          <w:color w:val="000000"/>
        </w:rPr>
        <w:t>18.138,36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kn. Preostali iznos tražbine od </w:t>
      </w:r>
      <w:r w:rsidRPr="00C065C9">
        <w:rPr>
          <w:noProof/>
          <w:color w:val="000000"/>
        </w:rPr>
        <w:t>18.138,36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 otplatiti će se nakon isteka počeka od 12 mjeseci na </w:t>
      </w:r>
      <w:r>
        <w:rPr>
          <w:color w:val="000000"/>
        </w:rPr>
        <w:t>48</w:t>
      </w:r>
      <w:r w:rsidRPr="000B506E">
        <w:rPr>
          <w:color w:val="000000"/>
        </w:rPr>
        <w:t xml:space="preserve"> jednakih mjesečnih anuiteta</w:t>
      </w:r>
      <w:r>
        <w:rPr>
          <w:color w:val="000000"/>
        </w:rPr>
        <w:t xml:space="preserve"> od kojih svaki iznosi </w:t>
      </w:r>
      <w:r w:rsidRPr="00C065C9">
        <w:rPr>
          <w:rFonts w:eastAsia="MS Mincho"/>
          <w:noProof/>
          <w:color w:val="000000"/>
        </w:rPr>
        <w:t>377,88</w:t>
      </w:r>
      <w:r>
        <w:rPr>
          <w:color w:val="000000"/>
        </w:rPr>
        <w:t xml:space="preserve"> kn</w:t>
      </w:r>
      <w:r w:rsidRPr="000B506E">
        <w:rPr>
          <w:color w:val="000000"/>
        </w:rPr>
        <w:t xml:space="preserve">, bez kamata, računajući od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 xml:space="preserve">. Prvi anuitet će se platiti 15-tog u mjesecu, 12 mjeseci nakon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>, dok će se svaki naredni anuitet platiti mjesečno, najkasnije do 15-tog u mjesecu za prethodni  mjesec.</w:t>
      </w:r>
    </w:p>
    <w:p w:rsidRDefault="00E073C6" w:rsidP="00E073C6" w:rsidR="00E073C6"/>
    <w:p w:rsidRDefault="00E073C6" w:rsidP="00E073C6" w:rsidR="00E073C6" w:rsidRPr="000B506E">
      <w:pPr>
        <w:spacing w:lineRule="auto" w:line="360"/>
        <w:jc w:val="both"/>
        <w:rPr>
          <w:color w:val="000000"/>
        </w:rPr>
      </w:pPr>
      <w:r w:rsidRPr="00C065C9">
        <w:rPr>
          <w:noProof/>
          <w:color w:val="000000"/>
        </w:rPr>
        <w:t>49</w:t>
      </w:r>
      <w:r w:rsidRPr="000B506E">
        <w:rPr>
          <w:noProof/>
          <w:color w:val="000000"/>
        </w:rPr>
        <w:t xml:space="preserve">. </w:t>
      </w:r>
      <w:r w:rsidRPr="00C065C9">
        <w:rPr>
          <w:noProof/>
          <w:color w:val="000000"/>
        </w:rPr>
        <w:t>PLASTAM, Obrt za izradu plastične ambalaže vl.  BOJAN TOKIĆ</w:t>
      </w:r>
      <w:r w:rsidRPr="000B506E">
        <w:rPr>
          <w:noProof/>
          <w:color w:val="000000"/>
        </w:rPr>
        <w:t xml:space="preserve">, </w:t>
      </w:r>
      <w:r w:rsidRPr="000B506E">
        <w:rPr>
          <w:color w:val="000000"/>
        </w:rPr>
        <w:t>OIB:</w:t>
      </w:r>
      <w:r w:rsidRPr="000B506E">
        <w:rPr>
          <w:noProof/>
          <w:color w:val="000000"/>
        </w:rPr>
        <w:t xml:space="preserve"> </w:t>
      </w:r>
      <w:r w:rsidRPr="00C065C9">
        <w:rPr>
          <w:noProof/>
          <w:color w:val="000000"/>
        </w:rPr>
        <w:t>16955263773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utvrđeni iznos tražbine iznosi </w:t>
      </w:r>
      <w:r w:rsidRPr="00C065C9">
        <w:rPr>
          <w:noProof/>
          <w:color w:val="000000"/>
        </w:rPr>
        <w:t>3.590,00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kn.  Predstečajni vjerovnik otpušta dužniku dio utvrđene tražbine, što iznosi </w:t>
      </w:r>
      <w:r w:rsidRPr="00C065C9">
        <w:rPr>
          <w:noProof/>
          <w:color w:val="000000"/>
        </w:rPr>
        <w:t>1.795,00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kn. Preostali iznos tražbine od </w:t>
      </w:r>
      <w:r w:rsidRPr="00C065C9">
        <w:rPr>
          <w:noProof/>
          <w:color w:val="000000"/>
        </w:rPr>
        <w:t>1.795,00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 otplatiti će se nakon isteka počeka od 12 mjeseci na </w:t>
      </w:r>
      <w:r>
        <w:rPr>
          <w:color w:val="000000"/>
        </w:rPr>
        <w:t>48</w:t>
      </w:r>
      <w:r w:rsidRPr="000B506E">
        <w:rPr>
          <w:color w:val="000000"/>
        </w:rPr>
        <w:t xml:space="preserve"> jednakih mjesečnih anuiteta</w:t>
      </w:r>
      <w:r>
        <w:rPr>
          <w:color w:val="000000"/>
        </w:rPr>
        <w:t xml:space="preserve"> od kojih svaki iznosi </w:t>
      </w:r>
      <w:r w:rsidRPr="00C065C9">
        <w:rPr>
          <w:rFonts w:eastAsia="MS Mincho"/>
          <w:noProof/>
          <w:color w:val="000000"/>
        </w:rPr>
        <w:t>37,40</w:t>
      </w:r>
      <w:r>
        <w:rPr>
          <w:color w:val="000000"/>
        </w:rPr>
        <w:t xml:space="preserve"> kn</w:t>
      </w:r>
      <w:r w:rsidRPr="000B506E">
        <w:rPr>
          <w:color w:val="000000"/>
        </w:rPr>
        <w:t xml:space="preserve">, bez kamata, računajući od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 xml:space="preserve">. Prvi anuitet će se platiti 15-tog u mjesecu, 12 mjeseci nakon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>, dok će se svaki naredni anuitet platiti mjesečno, najkasnije do 15-tog u mjesecu za prethodni  mjesec.</w:t>
      </w:r>
    </w:p>
    <w:p w:rsidRDefault="00E073C6" w:rsidP="00E073C6" w:rsidR="00E073C6"/>
    <w:p w:rsidRDefault="00E073C6" w:rsidP="00E073C6" w:rsidR="00E073C6" w:rsidRPr="000B506E">
      <w:pPr>
        <w:spacing w:lineRule="auto" w:line="360"/>
        <w:jc w:val="both"/>
        <w:rPr>
          <w:color w:val="000000"/>
        </w:rPr>
      </w:pPr>
      <w:r w:rsidRPr="00C065C9">
        <w:rPr>
          <w:noProof/>
          <w:color w:val="000000"/>
        </w:rPr>
        <w:t>50</w:t>
      </w:r>
      <w:r w:rsidRPr="000B506E">
        <w:rPr>
          <w:noProof/>
          <w:color w:val="000000"/>
        </w:rPr>
        <w:t xml:space="preserve">. </w:t>
      </w:r>
      <w:r w:rsidRPr="00C065C9">
        <w:rPr>
          <w:noProof/>
          <w:color w:val="000000"/>
        </w:rPr>
        <w:t>PREDIONICA KLANJEC društvo s ograničenom odgovornošću za proizvodnju tekstila, poslovanje nekretninama, trgovinu i usluge</w:t>
      </w:r>
      <w:r w:rsidRPr="000B506E">
        <w:rPr>
          <w:noProof/>
          <w:color w:val="000000"/>
        </w:rPr>
        <w:t xml:space="preserve">, </w:t>
      </w:r>
      <w:r w:rsidRPr="000B506E">
        <w:rPr>
          <w:color w:val="000000"/>
        </w:rPr>
        <w:t>OIB:</w:t>
      </w:r>
      <w:r w:rsidRPr="000B506E">
        <w:rPr>
          <w:noProof/>
          <w:color w:val="000000"/>
        </w:rPr>
        <w:t xml:space="preserve"> </w:t>
      </w:r>
      <w:r w:rsidRPr="00C065C9">
        <w:rPr>
          <w:noProof/>
          <w:color w:val="000000"/>
        </w:rPr>
        <w:t>64655340358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utvrđeni iznos tražbine iznosi </w:t>
      </w:r>
      <w:r w:rsidRPr="00C065C9">
        <w:rPr>
          <w:noProof/>
          <w:color w:val="000000"/>
        </w:rPr>
        <w:t>39.820,92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kn.  Predstečajni vjerovnik otpušta dužniku dio utvrđene tražbine, što iznosi </w:t>
      </w:r>
      <w:r w:rsidRPr="00C065C9">
        <w:rPr>
          <w:noProof/>
          <w:color w:val="000000"/>
        </w:rPr>
        <w:t>19.910,46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kn. Preostali iznos tražbine od </w:t>
      </w:r>
      <w:r w:rsidRPr="00C065C9">
        <w:rPr>
          <w:noProof/>
          <w:color w:val="000000"/>
        </w:rPr>
        <w:t>19.910,46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 otplatiti će se nakon isteka počeka od 12 mjeseci na </w:t>
      </w:r>
      <w:r>
        <w:rPr>
          <w:color w:val="000000"/>
        </w:rPr>
        <w:t>48</w:t>
      </w:r>
      <w:r w:rsidRPr="000B506E">
        <w:rPr>
          <w:color w:val="000000"/>
        </w:rPr>
        <w:t xml:space="preserve"> jednakih mjesečnih anuiteta</w:t>
      </w:r>
      <w:r>
        <w:rPr>
          <w:color w:val="000000"/>
        </w:rPr>
        <w:t xml:space="preserve"> od kojih svaki iznosi </w:t>
      </w:r>
      <w:r w:rsidRPr="00C065C9">
        <w:rPr>
          <w:rFonts w:eastAsia="MS Mincho"/>
          <w:noProof/>
          <w:color w:val="000000"/>
        </w:rPr>
        <w:t>414,80</w:t>
      </w:r>
      <w:r>
        <w:rPr>
          <w:color w:val="000000"/>
        </w:rPr>
        <w:t xml:space="preserve"> kn</w:t>
      </w:r>
      <w:r w:rsidRPr="000B506E">
        <w:rPr>
          <w:color w:val="000000"/>
        </w:rPr>
        <w:t xml:space="preserve">, bez kamata, računajući od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 xml:space="preserve">. Prvi anuitet će se platiti 15-tog u mjesecu, 12 mjeseci nakon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>, dok će se svaki naredni anuitet platiti mjesečno, najkasnije do 15-tog u mjesecu za prethodni  mjesec.</w:t>
      </w:r>
    </w:p>
    <w:p w:rsidRDefault="00E073C6" w:rsidP="00E073C6" w:rsidR="00E073C6"/>
    <w:p w:rsidRDefault="00E073C6" w:rsidP="00E073C6" w:rsidR="00E073C6" w:rsidRPr="000B506E">
      <w:pPr>
        <w:spacing w:lineRule="auto" w:line="360"/>
        <w:jc w:val="both"/>
        <w:rPr>
          <w:color w:val="000000"/>
        </w:rPr>
      </w:pPr>
      <w:r w:rsidRPr="00C065C9">
        <w:rPr>
          <w:noProof/>
          <w:color w:val="000000"/>
        </w:rPr>
        <w:t>51</w:t>
      </w:r>
      <w:r w:rsidRPr="000B506E">
        <w:rPr>
          <w:noProof/>
          <w:color w:val="000000"/>
        </w:rPr>
        <w:t xml:space="preserve">. </w:t>
      </w:r>
      <w:r w:rsidRPr="00C065C9">
        <w:rPr>
          <w:noProof/>
          <w:color w:val="000000"/>
        </w:rPr>
        <w:t>PRO NATURA d.o.o.</w:t>
      </w:r>
      <w:r w:rsidRPr="000B506E">
        <w:rPr>
          <w:noProof/>
          <w:color w:val="000000"/>
        </w:rPr>
        <w:t xml:space="preserve">, </w:t>
      </w:r>
      <w:r w:rsidRPr="000B506E">
        <w:rPr>
          <w:color w:val="000000"/>
        </w:rPr>
        <w:t>OIB:</w:t>
      </w:r>
      <w:r w:rsidRPr="000B506E">
        <w:rPr>
          <w:noProof/>
          <w:color w:val="000000"/>
        </w:rPr>
        <w:t xml:space="preserve"> </w:t>
      </w:r>
      <w:r w:rsidRPr="00C065C9">
        <w:rPr>
          <w:noProof/>
          <w:color w:val="000000"/>
        </w:rPr>
        <w:t>87603735332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utvrđeni iznos tražbine iznosi </w:t>
      </w:r>
      <w:r w:rsidRPr="00C065C9">
        <w:rPr>
          <w:noProof/>
          <w:color w:val="000000"/>
        </w:rPr>
        <w:t>2.317,79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kn.  Predstečajni vjerovnik otpušta dužniku dio utvrđene tražbine, što iznosi </w:t>
      </w:r>
      <w:r w:rsidRPr="00C065C9">
        <w:rPr>
          <w:noProof/>
          <w:color w:val="000000"/>
        </w:rPr>
        <w:t>1.158,90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kn. Preostali iznos tražbine od </w:t>
      </w:r>
      <w:r w:rsidRPr="00C065C9">
        <w:rPr>
          <w:noProof/>
          <w:color w:val="000000"/>
        </w:rPr>
        <w:t>1.158,90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 otplatiti će se nakon isteka počeka od 12 mjeseci na </w:t>
      </w:r>
      <w:r>
        <w:rPr>
          <w:color w:val="000000"/>
        </w:rPr>
        <w:t>48</w:t>
      </w:r>
      <w:r w:rsidRPr="000B506E">
        <w:rPr>
          <w:color w:val="000000"/>
        </w:rPr>
        <w:t xml:space="preserve"> jednakih mjesečnih anuiteta</w:t>
      </w:r>
      <w:r>
        <w:rPr>
          <w:color w:val="000000"/>
        </w:rPr>
        <w:t xml:space="preserve"> od kojih svaki iznosi </w:t>
      </w:r>
      <w:r w:rsidRPr="00C065C9">
        <w:rPr>
          <w:rFonts w:eastAsia="MS Mincho"/>
          <w:noProof/>
          <w:color w:val="000000"/>
        </w:rPr>
        <w:t>24,14</w:t>
      </w:r>
      <w:r>
        <w:rPr>
          <w:color w:val="000000"/>
        </w:rPr>
        <w:t xml:space="preserve"> kn</w:t>
      </w:r>
      <w:r w:rsidRPr="000B506E">
        <w:rPr>
          <w:color w:val="000000"/>
        </w:rPr>
        <w:t xml:space="preserve">, bez kamata, računajući od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 xml:space="preserve">. Prvi anuitet će se platiti 15-tog u mjesecu, 12 mjeseci nakon pravomoćnosti Rješenja Trgovačkog </w:t>
      </w:r>
      <w:r w:rsidRPr="000B506E">
        <w:rPr>
          <w:color w:val="000000"/>
        </w:rPr>
        <w:lastRenderedPageBreak/>
        <w:t xml:space="preserve">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>, dok će se svaki naredni anuitet platiti mjesečno, najkasnije do 15-tog u mjesecu za prethodni  mjesec.</w:t>
      </w:r>
    </w:p>
    <w:p w:rsidRDefault="00E073C6" w:rsidP="00E073C6" w:rsidR="00E073C6"/>
    <w:p w:rsidRDefault="00E073C6" w:rsidP="00E073C6" w:rsidR="00E073C6" w:rsidRPr="000B506E">
      <w:pPr>
        <w:spacing w:lineRule="auto" w:line="360"/>
        <w:jc w:val="both"/>
        <w:rPr>
          <w:color w:val="000000"/>
        </w:rPr>
      </w:pPr>
      <w:r w:rsidRPr="00C065C9">
        <w:rPr>
          <w:noProof/>
          <w:color w:val="000000"/>
        </w:rPr>
        <w:t>52</w:t>
      </w:r>
      <w:r w:rsidRPr="000B506E">
        <w:rPr>
          <w:noProof/>
          <w:color w:val="000000"/>
        </w:rPr>
        <w:t xml:space="preserve">. </w:t>
      </w:r>
      <w:r w:rsidRPr="00C065C9">
        <w:rPr>
          <w:noProof/>
          <w:color w:val="000000"/>
        </w:rPr>
        <w:t>PROADEO d.o.o. za usluge i trgovinu</w:t>
      </w:r>
      <w:r w:rsidRPr="000B506E">
        <w:rPr>
          <w:noProof/>
          <w:color w:val="000000"/>
        </w:rPr>
        <w:t xml:space="preserve">, </w:t>
      </w:r>
      <w:r w:rsidRPr="000B506E">
        <w:rPr>
          <w:color w:val="000000"/>
        </w:rPr>
        <w:t>OIB:</w:t>
      </w:r>
      <w:r w:rsidRPr="000B506E">
        <w:rPr>
          <w:noProof/>
          <w:color w:val="000000"/>
        </w:rPr>
        <w:t xml:space="preserve"> </w:t>
      </w:r>
      <w:r w:rsidRPr="00C065C9">
        <w:rPr>
          <w:noProof/>
          <w:color w:val="000000"/>
        </w:rPr>
        <w:t>54734307869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utvrđeni iznos tražbine iznosi </w:t>
      </w:r>
      <w:r w:rsidRPr="00C065C9">
        <w:rPr>
          <w:noProof/>
          <w:color w:val="000000"/>
        </w:rPr>
        <w:t>5.000,00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kn.  Predstečajni vjerovnik otpušta dužniku dio utvrđene tražbine, što iznosi </w:t>
      </w:r>
      <w:r w:rsidRPr="00C065C9">
        <w:rPr>
          <w:noProof/>
          <w:color w:val="000000"/>
        </w:rPr>
        <w:t>2.500,00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kn. Preostali iznos tražbine od </w:t>
      </w:r>
      <w:r w:rsidRPr="00C065C9">
        <w:rPr>
          <w:noProof/>
          <w:color w:val="000000"/>
        </w:rPr>
        <w:t>2.500,00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 otplatiti će se nakon isteka počeka od 12 mjeseci na </w:t>
      </w:r>
      <w:r>
        <w:rPr>
          <w:color w:val="000000"/>
        </w:rPr>
        <w:t>48</w:t>
      </w:r>
      <w:r w:rsidRPr="000B506E">
        <w:rPr>
          <w:color w:val="000000"/>
        </w:rPr>
        <w:t xml:space="preserve"> jednakih mjesečnih anuiteta</w:t>
      </w:r>
      <w:r>
        <w:rPr>
          <w:color w:val="000000"/>
        </w:rPr>
        <w:t xml:space="preserve"> od kojih svaki iznosi </w:t>
      </w:r>
      <w:r w:rsidRPr="00C065C9">
        <w:rPr>
          <w:rFonts w:eastAsia="MS Mincho"/>
          <w:noProof/>
          <w:color w:val="000000"/>
        </w:rPr>
        <w:t>52,08</w:t>
      </w:r>
      <w:r>
        <w:rPr>
          <w:color w:val="000000"/>
        </w:rPr>
        <w:t xml:space="preserve"> kn</w:t>
      </w:r>
      <w:r w:rsidRPr="000B506E">
        <w:rPr>
          <w:color w:val="000000"/>
        </w:rPr>
        <w:t xml:space="preserve">, bez kamata, računajući od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 xml:space="preserve">. Prvi anuitet će se platiti 15-tog u mjesecu, 12 mjeseci nakon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>, dok će se svaki naredni anuitet platiti mjesečno, najkasnije do 15-tog u mjesecu za prethodni  mjesec.</w:t>
      </w:r>
    </w:p>
    <w:p w:rsidRDefault="00E073C6" w:rsidP="00E073C6" w:rsidR="00E073C6"/>
    <w:p w:rsidRDefault="00E073C6" w:rsidP="00E073C6" w:rsidR="00E073C6" w:rsidRPr="000B506E">
      <w:pPr>
        <w:spacing w:lineRule="auto" w:line="360"/>
        <w:jc w:val="both"/>
        <w:rPr>
          <w:color w:val="000000"/>
        </w:rPr>
      </w:pPr>
      <w:r w:rsidRPr="00C065C9">
        <w:rPr>
          <w:noProof/>
          <w:color w:val="000000"/>
        </w:rPr>
        <w:t>53</w:t>
      </w:r>
      <w:r w:rsidRPr="000B506E">
        <w:rPr>
          <w:noProof/>
          <w:color w:val="000000"/>
        </w:rPr>
        <w:t xml:space="preserve">. </w:t>
      </w:r>
      <w:r w:rsidRPr="00C065C9">
        <w:rPr>
          <w:noProof/>
          <w:color w:val="000000"/>
        </w:rPr>
        <w:t>RAKLA , Obrt za trgovinu, pripremu i izradu tiskarske forme i sitotisak vl. ANA BAŠIĆ( prije Pavlić)</w:t>
      </w:r>
      <w:r w:rsidRPr="000B506E">
        <w:rPr>
          <w:noProof/>
          <w:color w:val="000000"/>
        </w:rPr>
        <w:t xml:space="preserve">, </w:t>
      </w:r>
      <w:r w:rsidRPr="000B506E">
        <w:rPr>
          <w:color w:val="000000"/>
        </w:rPr>
        <w:t>OIB:</w:t>
      </w:r>
      <w:r w:rsidRPr="000B506E">
        <w:rPr>
          <w:noProof/>
          <w:color w:val="000000"/>
        </w:rPr>
        <w:t xml:space="preserve"> </w:t>
      </w:r>
      <w:r w:rsidRPr="00C065C9">
        <w:rPr>
          <w:noProof/>
          <w:color w:val="000000"/>
        </w:rPr>
        <w:t>68836331653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utvrđeni iznos tražbine iznosi </w:t>
      </w:r>
      <w:r w:rsidRPr="00C065C9">
        <w:rPr>
          <w:noProof/>
          <w:color w:val="000000"/>
        </w:rPr>
        <w:t>87,50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kn.  Predstečajni vjerovnik otpušta dužniku dio utvrđene tražbine, što iznosi </w:t>
      </w:r>
      <w:r w:rsidRPr="00C065C9">
        <w:rPr>
          <w:noProof/>
          <w:color w:val="000000"/>
        </w:rPr>
        <w:t>43,75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kn. Preostali iznos tražbine od </w:t>
      </w:r>
      <w:r w:rsidRPr="00C065C9">
        <w:rPr>
          <w:noProof/>
          <w:color w:val="000000"/>
        </w:rPr>
        <w:t>43,75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 otplatiti će se nakon isteka počeka od 12 mjeseci na </w:t>
      </w:r>
      <w:r>
        <w:rPr>
          <w:color w:val="000000"/>
        </w:rPr>
        <w:t>48</w:t>
      </w:r>
      <w:r w:rsidRPr="000B506E">
        <w:rPr>
          <w:color w:val="000000"/>
        </w:rPr>
        <w:t xml:space="preserve"> jednakih mjesečnih anuiteta</w:t>
      </w:r>
      <w:r>
        <w:rPr>
          <w:color w:val="000000"/>
        </w:rPr>
        <w:t xml:space="preserve"> od kojih svaki iznosi </w:t>
      </w:r>
      <w:r w:rsidRPr="00C065C9">
        <w:rPr>
          <w:rFonts w:eastAsia="MS Mincho"/>
          <w:noProof/>
          <w:color w:val="000000"/>
        </w:rPr>
        <w:t>0,91</w:t>
      </w:r>
      <w:r>
        <w:rPr>
          <w:color w:val="000000"/>
        </w:rPr>
        <w:t xml:space="preserve"> kn</w:t>
      </w:r>
      <w:r w:rsidRPr="000B506E">
        <w:rPr>
          <w:color w:val="000000"/>
        </w:rPr>
        <w:t xml:space="preserve">, bez kamata, računajući od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 xml:space="preserve">. Prvi anuitet će se platiti 15-tog u mjesecu, 12 mjeseci nakon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>, dok će se svaki naredni anuitet platiti mjesečno, najkasnije do 15-tog u mjesecu za prethodni  mjesec.</w:t>
      </w:r>
    </w:p>
    <w:p w:rsidRDefault="00E073C6" w:rsidP="00E073C6" w:rsidR="00E073C6"/>
    <w:p w:rsidRDefault="00E073C6" w:rsidP="00E073C6" w:rsidR="00E073C6" w:rsidRPr="000B506E">
      <w:pPr>
        <w:spacing w:lineRule="auto" w:line="360"/>
        <w:jc w:val="both"/>
        <w:rPr>
          <w:color w:val="000000"/>
        </w:rPr>
      </w:pPr>
      <w:r w:rsidRPr="00C065C9">
        <w:rPr>
          <w:noProof/>
          <w:color w:val="000000"/>
        </w:rPr>
        <w:t>54</w:t>
      </w:r>
      <w:r w:rsidRPr="000B506E">
        <w:rPr>
          <w:noProof/>
          <w:color w:val="000000"/>
        </w:rPr>
        <w:t xml:space="preserve">. </w:t>
      </w:r>
      <w:r w:rsidRPr="00C065C9">
        <w:rPr>
          <w:noProof/>
          <w:color w:val="000000"/>
        </w:rPr>
        <w:t>REPUBLIKA HRVATSKA MINISTARSTVO FINANCIJA -POREZNA UPRAVA</w:t>
      </w:r>
      <w:r w:rsidRPr="000B506E">
        <w:rPr>
          <w:noProof/>
          <w:color w:val="000000"/>
        </w:rPr>
        <w:t xml:space="preserve">, </w:t>
      </w:r>
      <w:r w:rsidRPr="000B506E">
        <w:rPr>
          <w:color w:val="000000"/>
        </w:rPr>
        <w:t>OIB:</w:t>
      </w:r>
      <w:r w:rsidRPr="000B506E">
        <w:rPr>
          <w:noProof/>
          <w:color w:val="000000"/>
        </w:rPr>
        <w:t xml:space="preserve"> </w:t>
      </w:r>
      <w:r w:rsidRPr="00C065C9">
        <w:rPr>
          <w:noProof/>
          <w:color w:val="000000"/>
        </w:rPr>
        <w:t>18683136487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utvrđeni iznos tražbine iznosi </w:t>
      </w:r>
      <w:r w:rsidRPr="00C065C9">
        <w:rPr>
          <w:noProof/>
          <w:color w:val="000000"/>
        </w:rPr>
        <w:t>237.505,48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kn.  Predstečajni vjerovnik otpušta dužniku dio utvrđene tražbine, što iznosi </w:t>
      </w:r>
      <w:r w:rsidRPr="00C065C9">
        <w:rPr>
          <w:noProof/>
          <w:color w:val="000000"/>
        </w:rPr>
        <w:t>118.752,74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kn. Preostali iznos tražbine od </w:t>
      </w:r>
      <w:r w:rsidRPr="00C065C9">
        <w:rPr>
          <w:noProof/>
          <w:color w:val="000000"/>
        </w:rPr>
        <w:t>118.752,74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 otplatiti će se nakon isteka počeka od 12 mjeseci na </w:t>
      </w:r>
      <w:r>
        <w:rPr>
          <w:color w:val="000000"/>
        </w:rPr>
        <w:t>48</w:t>
      </w:r>
      <w:r w:rsidRPr="000B506E">
        <w:rPr>
          <w:color w:val="000000"/>
        </w:rPr>
        <w:t xml:space="preserve"> jednakih mjesečnih anuiteta</w:t>
      </w:r>
      <w:r>
        <w:rPr>
          <w:color w:val="000000"/>
        </w:rPr>
        <w:t xml:space="preserve"> od kojih svaki iznosi </w:t>
      </w:r>
      <w:r w:rsidRPr="00C065C9">
        <w:rPr>
          <w:rFonts w:eastAsia="MS Mincho"/>
          <w:noProof/>
          <w:color w:val="000000"/>
        </w:rPr>
        <w:t>2.474,02</w:t>
      </w:r>
      <w:r>
        <w:rPr>
          <w:color w:val="000000"/>
        </w:rPr>
        <w:t xml:space="preserve"> kn</w:t>
      </w:r>
      <w:r w:rsidRPr="000B506E">
        <w:rPr>
          <w:color w:val="000000"/>
        </w:rPr>
        <w:t xml:space="preserve">, bez kamata, računajući od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 xml:space="preserve">. Prvi anuitet će se platiti 15-tog u mjesecu, 12 mjeseci nakon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>, dok će se svaki naredni anuitet platiti mjesečno, najkasnije do 15-tog u mjesecu za prethodni  mjesec.</w:t>
      </w:r>
    </w:p>
    <w:p w:rsidRDefault="00E073C6" w:rsidP="00E073C6" w:rsidR="00E073C6"/>
    <w:p w:rsidRDefault="00E073C6" w:rsidP="00E073C6" w:rsidR="00E073C6" w:rsidRPr="000B506E">
      <w:pPr>
        <w:spacing w:lineRule="auto" w:line="360"/>
        <w:jc w:val="both"/>
        <w:rPr>
          <w:color w:val="000000"/>
        </w:rPr>
      </w:pPr>
      <w:r w:rsidRPr="00C065C9">
        <w:rPr>
          <w:noProof/>
          <w:color w:val="000000"/>
        </w:rPr>
        <w:t>55</w:t>
      </w:r>
      <w:r w:rsidRPr="000B506E">
        <w:rPr>
          <w:noProof/>
          <w:color w:val="000000"/>
        </w:rPr>
        <w:t xml:space="preserve">. </w:t>
      </w:r>
      <w:r w:rsidRPr="00C065C9">
        <w:rPr>
          <w:noProof/>
          <w:color w:val="000000"/>
        </w:rPr>
        <w:t>RHEA d.o.o.</w:t>
      </w:r>
      <w:r w:rsidRPr="000B506E">
        <w:rPr>
          <w:noProof/>
          <w:color w:val="000000"/>
        </w:rPr>
        <w:t xml:space="preserve">, </w:t>
      </w:r>
      <w:r w:rsidRPr="000B506E">
        <w:rPr>
          <w:color w:val="000000"/>
        </w:rPr>
        <w:t>OIB:</w:t>
      </w:r>
      <w:r w:rsidRPr="000B506E">
        <w:rPr>
          <w:noProof/>
          <w:color w:val="000000"/>
        </w:rPr>
        <w:t xml:space="preserve"> </w:t>
      </w:r>
      <w:r w:rsidRPr="00C065C9">
        <w:rPr>
          <w:noProof/>
          <w:color w:val="000000"/>
        </w:rPr>
        <w:t>43354566311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utvrđeni iznos tražbine iznosi </w:t>
      </w:r>
      <w:r w:rsidRPr="00C065C9">
        <w:rPr>
          <w:noProof/>
          <w:color w:val="000000"/>
        </w:rPr>
        <w:t>220,30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kn.  Predstečajni vjerovnik otpušta dužniku dio utvrđene tražbine, što iznosi </w:t>
      </w:r>
      <w:r w:rsidRPr="00C065C9">
        <w:rPr>
          <w:noProof/>
          <w:color w:val="000000"/>
        </w:rPr>
        <w:t>110,15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kn. Preostali iznos tražbine od </w:t>
      </w:r>
      <w:r w:rsidRPr="00C065C9">
        <w:rPr>
          <w:noProof/>
          <w:color w:val="000000"/>
        </w:rPr>
        <w:t>110,15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 otplatiti će se nakon isteka počeka od 12 mjeseci na </w:t>
      </w:r>
      <w:r>
        <w:rPr>
          <w:color w:val="000000"/>
        </w:rPr>
        <w:t>48</w:t>
      </w:r>
      <w:r w:rsidRPr="000B506E">
        <w:rPr>
          <w:color w:val="000000"/>
        </w:rPr>
        <w:t xml:space="preserve"> jednakih </w:t>
      </w:r>
      <w:r w:rsidRPr="000B506E">
        <w:rPr>
          <w:color w:val="000000"/>
        </w:rPr>
        <w:lastRenderedPageBreak/>
        <w:t>mjesečnih anuiteta</w:t>
      </w:r>
      <w:r>
        <w:rPr>
          <w:color w:val="000000"/>
        </w:rPr>
        <w:t xml:space="preserve"> od kojih svaki iznosi </w:t>
      </w:r>
      <w:r w:rsidRPr="00C065C9">
        <w:rPr>
          <w:rFonts w:eastAsia="MS Mincho"/>
          <w:noProof/>
          <w:color w:val="000000"/>
        </w:rPr>
        <w:t>2,29</w:t>
      </w:r>
      <w:r>
        <w:rPr>
          <w:color w:val="000000"/>
        </w:rPr>
        <w:t xml:space="preserve"> kn</w:t>
      </w:r>
      <w:r w:rsidRPr="000B506E">
        <w:rPr>
          <w:color w:val="000000"/>
        </w:rPr>
        <w:t xml:space="preserve">, bez kamata, računajući od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 xml:space="preserve">. Prvi anuitet će se platiti 15-tog u mjesecu, 12 mjeseci nakon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>, dok će se svaki naredni anuitet platiti mjesečno, najkasnije do 15-tog u mjesecu za prethodni  mjesec.</w:t>
      </w:r>
    </w:p>
    <w:p w:rsidRDefault="00E073C6" w:rsidP="00E073C6" w:rsidR="00E073C6"/>
    <w:p w:rsidRDefault="00E073C6" w:rsidP="00E073C6" w:rsidR="00E073C6" w:rsidRPr="000B506E">
      <w:pPr>
        <w:spacing w:lineRule="auto" w:line="360"/>
        <w:jc w:val="both"/>
        <w:rPr>
          <w:color w:val="000000"/>
        </w:rPr>
      </w:pPr>
      <w:r w:rsidRPr="00C065C9">
        <w:rPr>
          <w:noProof/>
          <w:color w:val="000000"/>
        </w:rPr>
        <w:t>56</w:t>
      </w:r>
      <w:r w:rsidRPr="000B506E">
        <w:rPr>
          <w:noProof/>
          <w:color w:val="000000"/>
        </w:rPr>
        <w:t xml:space="preserve">. </w:t>
      </w:r>
      <w:r w:rsidRPr="00C065C9">
        <w:rPr>
          <w:noProof/>
          <w:color w:val="000000"/>
        </w:rPr>
        <w:t>SCHENKER d.o.o.</w:t>
      </w:r>
      <w:r w:rsidRPr="000B506E">
        <w:rPr>
          <w:noProof/>
          <w:color w:val="000000"/>
        </w:rPr>
        <w:t xml:space="preserve">, </w:t>
      </w:r>
      <w:r w:rsidRPr="000B506E">
        <w:rPr>
          <w:color w:val="000000"/>
        </w:rPr>
        <w:t>OIB:</w:t>
      </w:r>
      <w:r w:rsidRPr="000B506E">
        <w:rPr>
          <w:noProof/>
          <w:color w:val="000000"/>
        </w:rPr>
        <w:t xml:space="preserve"> </w:t>
      </w:r>
      <w:r w:rsidRPr="00C065C9">
        <w:rPr>
          <w:noProof/>
          <w:color w:val="000000"/>
        </w:rPr>
        <w:t>51003352330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utvrđeni iznos tražbine iznosi </w:t>
      </w:r>
      <w:r w:rsidRPr="00C065C9">
        <w:rPr>
          <w:noProof/>
          <w:color w:val="000000"/>
        </w:rPr>
        <w:t>2.810,09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kn.  Predstečajni vjerovnik otpušta dužniku dio utvrđene tražbine, što iznosi </w:t>
      </w:r>
      <w:r w:rsidRPr="00C065C9">
        <w:rPr>
          <w:noProof/>
          <w:color w:val="000000"/>
        </w:rPr>
        <w:t>1.405,05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kn. Preostali iznos tražbine od </w:t>
      </w:r>
      <w:r w:rsidRPr="00C065C9">
        <w:rPr>
          <w:noProof/>
          <w:color w:val="000000"/>
        </w:rPr>
        <w:t>1.405,05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 otplatiti će se nakon isteka počeka od 12 mjeseci na </w:t>
      </w:r>
      <w:r>
        <w:rPr>
          <w:color w:val="000000"/>
        </w:rPr>
        <w:t>48</w:t>
      </w:r>
      <w:r w:rsidRPr="000B506E">
        <w:rPr>
          <w:color w:val="000000"/>
        </w:rPr>
        <w:t xml:space="preserve"> jednakih mjesečnih anuiteta</w:t>
      </w:r>
      <w:r>
        <w:rPr>
          <w:color w:val="000000"/>
        </w:rPr>
        <w:t xml:space="preserve"> od kojih svaki iznosi </w:t>
      </w:r>
      <w:r w:rsidRPr="00C065C9">
        <w:rPr>
          <w:rFonts w:eastAsia="MS Mincho"/>
          <w:noProof/>
          <w:color w:val="000000"/>
        </w:rPr>
        <w:t>29,27</w:t>
      </w:r>
      <w:r>
        <w:rPr>
          <w:color w:val="000000"/>
        </w:rPr>
        <w:t xml:space="preserve"> kn</w:t>
      </w:r>
      <w:r w:rsidRPr="000B506E">
        <w:rPr>
          <w:color w:val="000000"/>
        </w:rPr>
        <w:t xml:space="preserve">, bez kamata, računajući od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 xml:space="preserve">. Prvi anuitet će se platiti 15-tog u mjesecu, 12 mjeseci nakon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>, dok će se svaki naredni anuitet platiti mjesečno, najkasnije do 15-tog u mjesecu za prethodni  mjesec.</w:t>
      </w:r>
    </w:p>
    <w:p w:rsidRDefault="00E073C6" w:rsidP="00E073C6" w:rsidR="00E073C6"/>
    <w:p w:rsidRDefault="00E073C6" w:rsidP="00E073C6" w:rsidR="00E073C6" w:rsidRPr="000B506E">
      <w:pPr>
        <w:spacing w:lineRule="auto" w:line="360"/>
        <w:jc w:val="both"/>
        <w:rPr>
          <w:color w:val="000000"/>
        </w:rPr>
      </w:pPr>
      <w:r w:rsidRPr="00C065C9">
        <w:rPr>
          <w:noProof/>
          <w:color w:val="000000"/>
        </w:rPr>
        <w:t>57</w:t>
      </w:r>
      <w:r w:rsidRPr="000B506E">
        <w:rPr>
          <w:noProof/>
          <w:color w:val="000000"/>
        </w:rPr>
        <w:t xml:space="preserve">. </w:t>
      </w:r>
      <w:r w:rsidRPr="00C065C9">
        <w:rPr>
          <w:noProof/>
          <w:color w:val="000000"/>
        </w:rPr>
        <w:t>SOULIS-KUEHNIS A.G.</w:t>
      </w:r>
      <w:r w:rsidRPr="000B506E">
        <w:rPr>
          <w:noProof/>
          <w:color w:val="000000"/>
        </w:rPr>
        <w:t xml:space="preserve">, </w:t>
      </w:r>
      <w:r w:rsidRPr="000B506E">
        <w:rPr>
          <w:color w:val="000000"/>
        </w:rPr>
        <w:t>OIB:</w:t>
      </w:r>
      <w:r w:rsidRPr="000B506E">
        <w:rPr>
          <w:noProof/>
          <w:color w:val="000000"/>
        </w:rPr>
        <w:t xml:space="preserve"> </w:t>
      </w:r>
      <w:r w:rsidRPr="00C065C9">
        <w:rPr>
          <w:noProof/>
          <w:color w:val="000000"/>
        </w:rPr>
        <w:t xml:space="preserve">           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utvrđeni iznos tražbine iznosi </w:t>
      </w:r>
      <w:r w:rsidRPr="00C065C9">
        <w:rPr>
          <w:noProof/>
          <w:color w:val="000000"/>
        </w:rPr>
        <w:t>52.812,37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kn.  Predstečajni vjerovnik otpušta dužniku dio utvrđene tražbine, što iznosi </w:t>
      </w:r>
      <w:r w:rsidRPr="00C065C9">
        <w:rPr>
          <w:noProof/>
          <w:color w:val="000000"/>
        </w:rPr>
        <w:t>26.406,19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kn. Preostali iznos tražbine od </w:t>
      </w:r>
      <w:r w:rsidRPr="00C065C9">
        <w:rPr>
          <w:noProof/>
          <w:color w:val="000000"/>
        </w:rPr>
        <w:t>26.406,19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 otplatiti će se nakon isteka počeka od 12 mjeseci na </w:t>
      </w:r>
      <w:r>
        <w:rPr>
          <w:color w:val="000000"/>
        </w:rPr>
        <w:t>48</w:t>
      </w:r>
      <w:r w:rsidRPr="000B506E">
        <w:rPr>
          <w:color w:val="000000"/>
        </w:rPr>
        <w:t xml:space="preserve"> jednakih mjesečnih anuiteta</w:t>
      </w:r>
      <w:r>
        <w:rPr>
          <w:color w:val="000000"/>
        </w:rPr>
        <w:t xml:space="preserve"> od kojih svaki iznosi </w:t>
      </w:r>
      <w:r w:rsidRPr="00C065C9">
        <w:rPr>
          <w:rFonts w:eastAsia="MS Mincho"/>
          <w:noProof/>
          <w:color w:val="000000"/>
        </w:rPr>
        <w:t>550,13</w:t>
      </w:r>
      <w:r>
        <w:rPr>
          <w:color w:val="000000"/>
        </w:rPr>
        <w:t xml:space="preserve"> kn</w:t>
      </w:r>
      <w:r w:rsidRPr="000B506E">
        <w:rPr>
          <w:color w:val="000000"/>
        </w:rPr>
        <w:t xml:space="preserve">, bez kamata, računajući od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 xml:space="preserve">. Prvi anuitet će se platiti 15-tog u mjesecu, 12 mjeseci nakon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>, dok će se svaki naredni anuitet platiti mjesečno, najkasnije do 15-tog u mjesecu za prethodni  mjesec.</w:t>
      </w:r>
    </w:p>
    <w:p w:rsidRDefault="00E073C6" w:rsidP="00E073C6" w:rsidR="00E073C6"/>
    <w:p w:rsidRDefault="00E073C6" w:rsidP="00E073C6" w:rsidR="00E073C6" w:rsidRPr="000B506E">
      <w:pPr>
        <w:spacing w:lineRule="auto" w:line="360"/>
        <w:jc w:val="both"/>
        <w:rPr>
          <w:color w:val="000000"/>
        </w:rPr>
      </w:pPr>
      <w:r w:rsidRPr="00C065C9">
        <w:rPr>
          <w:noProof/>
          <w:color w:val="000000"/>
        </w:rPr>
        <w:t>58</w:t>
      </w:r>
      <w:r w:rsidRPr="000B506E">
        <w:rPr>
          <w:noProof/>
          <w:color w:val="000000"/>
        </w:rPr>
        <w:t xml:space="preserve">. </w:t>
      </w:r>
      <w:r w:rsidRPr="00C065C9">
        <w:rPr>
          <w:noProof/>
          <w:color w:val="000000"/>
        </w:rPr>
        <w:t>ŠIVANOL PROMET d.o.o. za trgovinu i usluge</w:t>
      </w:r>
      <w:r w:rsidRPr="000B506E">
        <w:rPr>
          <w:noProof/>
          <w:color w:val="000000"/>
        </w:rPr>
        <w:t xml:space="preserve">, </w:t>
      </w:r>
      <w:r w:rsidRPr="000B506E">
        <w:rPr>
          <w:color w:val="000000"/>
        </w:rPr>
        <w:t>OIB:</w:t>
      </w:r>
      <w:r w:rsidRPr="000B506E">
        <w:rPr>
          <w:noProof/>
          <w:color w:val="000000"/>
        </w:rPr>
        <w:t xml:space="preserve"> </w:t>
      </w:r>
      <w:r w:rsidRPr="00C065C9">
        <w:rPr>
          <w:noProof/>
          <w:color w:val="000000"/>
        </w:rPr>
        <w:t>82099312853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utvrđeni iznos tražbine iznosi </w:t>
      </w:r>
      <w:r w:rsidRPr="00C065C9">
        <w:rPr>
          <w:noProof/>
          <w:color w:val="000000"/>
        </w:rPr>
        <w:t>1.866,00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kn.  Predstečajni vjerovnik otpušta dužniku dio utvrđene tražbine, što iznosi </w:t>
      </w:r>
      <w:r w:rsidRPr="00C065C9">
        <w:rPr>
          <w:noProof/>
          <w:color w:val="000000"/>
        </w:rPr>
        <w:t>933,00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kn. Preostali iznos tražbine od </w:t>
      </w:r>
      <w:r w:rsidRPr="00C065C9">
        <w:rPr>
          <w:noProof/>
          <w:color w:val="000000"/>
        </w:rPr>
        <w:t>933,00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 otplatiti će se nakon isteka počeka od 12 mjeseci na </w:t>
      </w:r>
      <w:r>
        <w:rPr>
          <w:color w:val="000000"/>
        </w:rPr>
        <w:t>48</w:t>
      </w:r>
      <w:r w:rsidRPr="000B506E">
        <w:rPr>
          <w:color w:val="000000"/>
        </w:rPr>
        <w:t xml:space="preserve"> jednakih mjesečnih anuiteta</w:t>
      </w:r>
      <w:r>
        <w:rPr>
          <w:color w:val="000000"/>
        </w:rPr>
        <w:t xml:space="preserve"> od kojih svaki iznosi </w:t>
      </w:r>
      <w:r w:rsidRPr="00C065C9">
        <w:rPr>
          <w:rFonts w:eastAsia="MS Mincho"/>
          <w:noProof/>
          <w:color w:val="000000"/>
        </w:rPr>
        <w:t>19,44</w:t>
      </w:r>
      <w:r>
        <w:rPr>
          <w:color w:val="000000"/>
        </w:rPr>
        <w:t xml:space="preserve"> kn</w:t>
      </w:r>
      <w:r w:rsidRPr="000B506E">
        <w:rPr>
          <w:color w:val="000000"/>
        </w:rPr>
        <w:t xml:space="preserve">, bez kamata, računajući od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 xml:space="preserve">. Prvi anuitet će se platiti 15-tog u mjesecu, 12 mjeseci nakon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>, dok će se svaki naredni anuitet platiti mjesečno, najkasnije do 15-tog u mjesecu za prethodni  mjesec.</w:t>
      </w:r>
    </w:p>
    <w:p w:rsidRDefault="00E073C6" w:rsidP="00E073C6" w:rsidR="00E073C6"/>
    <w:p w:rsidRDefault="00E073C6" w:rsidP="00E073C6" w:rsidR="00E073C6" w:rsidRPr="000B506E">
      <w:pPr>
        <w:spacing w:lineRule="auto" w:line="360"/>
        <w:jc w:val="both"/>
        <w:rPr>
          <w:color w:val="000000"/>
        </w:rPr>
      </w:pPr>
      <w:r w:rsidRPr="00C065C9">
        <w:rPr>
          <w:noProof/>
          <w:color w:val="000000"/>
        </w:rPr>
        <w:lastRenderedPageBreak/>
        <w:t>59</w:t>
      </w:r>
      <w:r w:rsidRPr="000B506E">
        <w:rPr>
          <w:noProof/>
          <w:color w:val="000000"/>
        </w:rPr>
        <w:t xml:space="preserve">. </w:t>
      </w:r>
      <w:r w:rsidRPr="00C065C9">
        <w:rPr>
          <w:noProof/>
          <w:color w:val="000000"/>
        </w:rPr>
        <w:t>TISAK d.d.</w:t>
      </w:r>
      <w:r w:rsidRPr="000B506E">
        <w:rPr>
          <w:noProof/>
          <w:color w:val="000000"/>
        </w:rPr>
        <w:t xml:space="preserve">, </w:t>
      </w:r>
      <w:r w:rsidRPr="000B506E">
        <w:rPr>
          <w:color w:val="000000"/>
        </w:rPr>
        <w:t>OIB:</w:t>
      </w:r>
      <w:r w:rsidRPr="000B506E">
        <w:rPr>
          <w:noProof/>
          <w:color w:val="000000"/>
        </w:rPr>
        <w:t xml:space="preserve"> </w:t>
      </w:r>
      <w:r w:rsidRPr="00C065C9">
        <w:rPr>
          <w:noProof/>
          <w:color w:val="000000"/>
        </w:rPr>
        <w:t>75917721668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utvrđeni iznos tražbine iznosi </w:t>
      </w:r>
      <w:r w:rsidRPr="00C065C9">
        <w:rPr>
          <w:noProof/>
          <w:color w:val="000000"/>
        </w:rPr>
        <w:t>1.078,10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kn.  Predstečajni vjerovnik otpušta dužniku dio utvrđene tražbine, što iznosi </w:t>
      </w:r>
      <w:r w:rsidRPr="00C065C9">
        <w:rPr>
          <w:noProof/>
          <w:color w:val="000000"/>
        </w:rPr>
        <w:t>539,05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kn. Preostali iznos tražbine od </w:t>
      </w:r>
      <w:r w:rsidRPr="00C065C9">
        <w:rPr>
          <w:noProof/>
          <w:color w:val="000000"/>
        </w:rPr>
        <w:t>539,05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 otplatiti će se nakon isteka počeka od 12 mjeseci na </w:t>
      </w:r>
      <w:r>
        <w:rPr>
          <w:color w:val="000000"/>
        </w:rPr>
        <w:t>48</w:t>
      </w:r>
      <w:r w:rsidRPr="000B506E">
        <w:rPr>
          <w:color w:val="000000"/>
        </w:rPr>
        <w:t xml:space="preserve"> jednakih mjesečnih anuiteta</w:t>
      </w:r>
      <w:r>
        <w:rPr>
          <w:color w:val="000000"/>
        </w:rPr>
        <w:t xml:space="preserve"> od kojih svaki iznosi </w:t>
      </w:r>
      <w:r w:rsidRPr="00C065C9">
        <w:rPr>
          <w:rFonts w:eastAsia="MS Mincho"/>
          <w:noProof/>
          <w:color w:val="000000"/>
        </w:rPr>
        <w:t>11,23</w:t>
      </w:r>
      <w:r>
        <w:rPr>
          <w:color w:val="000000"/>
        </w:rPr>
        <w:t xml:space="preserve"> kn</w:t>
      </w:r>
      <w:r w:rsidRPr="000B506E">
        <w:rPr>
          <w:color w:val="000000"/>
        </w:rPr>
        <w:t xml:space="preserve">, bez kamata, računajući od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 xml:space="preserve">. Prvi anuitet će se platiti 15-tog u mjesecu, 12 mjeseci nakon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>, dok će se svaki naredni anuitet platiti mjesečno, najkasnije do 15-tog u mjesecu za prethodni  mjesec.</w:t>
      </w:r>
    </w:p>
    <w:p w:rsidRDefault="00E073C6" w:rsidP="00E073C6" w:rsidR="00E073C6"/>
    <w:p w:rsidRDefault="00E073C6" w:rsidP="00E073C6" w:rsidR="00E073C6" w:rsidRPr="000B506E">
      <w:pPr>
        <w:spacing w:lineRule="auto" w:line="360"/>
        <w:jc w:val="both"/>
        <w:rPr>
          <w:color w:val="000000"/>
        </w:rPr>
      </w:pPr>
      <w:r w:rsidRPr="00C065C9">
        <w:rPr>
          <w:noProof/>
          <w:color w:val="000000"/>
        </w:rPr>
        <w:t>60</w:t>
      </w:r>
      <w:r w:rsidRPr="000B506E">
        <w:rPr>
          <w:noProof/>
          <w:color w:val="000000"/>
        </w:rPr>
        <w:t xml:space="preserve">. </w:t>
      </w:r>
      <w:r w:rsidRPr="00C065C9">
        <w:rPr>
          <w:noProof/>
          <w:color w:val="000000"/>
        </w:rPr>
        <w:t>Transport i trgovina  SINKOVIĆ vl. MLADEN SINKOVIĆ</w:t>
      </w:r>
      <w:r w:rsidRPr="000B506E">
        <w:rPr>
          <w:noProof/>
          <w:color w:val="000000"/>
        </w:rPr>
        <w:t xml:space="preserve">, </w:t>
      </w:r>
      <w:r w:rsidRPr="000B506E">
        <w:rPr>
          <w:color w:val="000000"/>
        </w:rPr>
        <w:t>OIB:</w:t>
      </w:r>
      <w:r w:rsidRPr="000B506E">
        <w:rPr>
          <w:noProof/>
          <w:color w:val="000000"/>
        </w:rPr>
        <w:t xml:space="preserve"> </w:t>
      </w:r>
      <w:r w:rsidRPr="00C065C9">
        <w:rPr>
          <w:noProof/>
          <w:color w:val="000000"/>
        </w:rPr>
        <w:t>33699314523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utvrđeni iznos tražbine iznosi </w:t>
      </w:r>
      <w:r w:rsidRPr="00C065C9">
        <w:rPr>
          <w:noProof/>
          <w:color w:val="000000"/>
        </w:rPr>
        <w:t>32.789,44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kn.  Predstečajni vjerovnik otpušta dužniku dio utvrđene tražbine, što iznosi </w:t>
      </w:r>
      <w:r w:rsidRPr="00C065C9">
        <w:rPr>
          <w:noProof/>
          <w:color w:val="000000"/>
        </w:rPr>
        <w:t>16.394,72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kn. Preostali iznos tražbine od </w:t>
      </w:r>
      <w:r w:rsidRPr="00C065C9">
        <w:rPr>
          <w:noProof/>
          <w:color w:val="000000"/>
        </w:rPr>
        <w:t>16.394,72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 otplatiti će se nakon isteka počeka od 12 mjeseci na </w:t>
      </w:r>
      <w:r>
        <w:rPr>
          <w:color w:val="000000"/>
        </w:rPr>
        <w:t>48</w:t>
      </w:r>
      <w:r w:rsidRPr="000B506E">
        <w:rPr>
          <w:color w:val="000000"/>
        </w:rPr>
        <w:t xml:space="preserve"> jednakih mjesečnih anuiteta</w:t>
      </w:r>
      <w:r>
        <w:rPr>
          <w:color w:val="000000"/>
        </w:rPr>
        <w:t xml:space="preserve"> od kojih svaki iznosi </w:t>
      </w:r>
      <w:r w:rsidRPr="00C065C9">
        <w:rPr>
          <w:rFonts w:eastAsia="MS Mincho"/>
          <w:noProof/>
          <w:color w:val="000000"/>
        </w:rPr>
        <w:t>341,56</w:t>
      </w:r>
      <w:r>
        <w:rPr>
          <w:color w:val="000000"/>
        </w:rPr>
        <w:t xml:space="preserve"> kn</w:t>
      </w:r>
      <w:r w:rsidRPr="000B506E">
        <w:rPr>
          <w:color w:val="000000"/>
        </w:rPr>
        <w:t xml:space="preserve">, bez kamata, računajući od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 xml:space="preserve">. Prvi anuitet će se platiti 15-tog u mjesecu, 12 mjeseci nakon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>, dok će se svaki naredni anuitet platiti mjesečno, najkasnije do 15-tog u mjesecu za prethodni  mjesec.</w:t>
      </w:r>
    </w:p>
    <w:p w:rsidRDefault="00E073C6" w:rsidP="00E073C6" w:rsidR="00E073C6"/>
    <w:p w:rsidRDefault="00E073C6" w:rsidP="00E073C6" w:rsidR="00E073C6" w:rsidRPr="000B506E">
      <w:pPr>
        <w:spacing w:lineRule="auto" w:line="360"/>
        <w:jc w:val="both"/>
        <w:rPr>
          <w:color w:val="000000"/>
        </w:rPr>
      </w:pPr>
      <w:r w:rsidRPr="00C065C9">
        <w:rPr>
          <w:noProof/>
          <w:color w:val="000000"/>
        </w:rPr>
        <w:t>61</w:t>
      </w:r>
      <w:r w:rsidRPr="000B506E">
        <w:rPr>
          <w:noProof/>
          <w:color w:val="000000"/>
        </w:rPr>
        <w:t xml:space="preserve">. </w:t>
      </w:r>
      <w:r w:rsidRPr="00C065C9">
        <w:rPr>
          <w:noProof/>
          <w:color w:val="000000"/>
        </w:rPr>
        <w:t>UNIQA osiguranje d.d.</w:t>
      </w:r>
      <w:r w:rsidRPr="000B506E">
        <w:rPr>
          <w:noProof/>
          <w:color w:val="000000"/>
        </w:rPr>
        <w:t xml:space="preserve">, </w:t>
      </w:r>
      <w:r w:rsidRPr="000B506E">
        <w:rPr>
          <w:color w:val="000000"/>
        </w:rPr>
        <w:t>OIB:</w:t>
      </w:r>
      <w:r w:rsidRPr="000B506E">
        <w:rPr>
          <w:noProof/>
          <w:color w:val="000000"/>
        </w:rPr>
        <w:t xml:space="preserve"> </w:t>
      </w:r>
      <w:r w:rsidRPr="00C065C9">
        <w:rPr>
          <w:noProof/>
          <w:color w:val="000000"/>
        </w:rPr>
        <w:t>75665455333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utvrđeni iznos tražbine iznosi </w:t>
      </w:r>
      <w:r w:rsidRPr="00C065C9">
        <w:rPr>
          <w:noProof/>
          <w:color w:val="000000"/>
        </w:rPr>
        <w:t>1.170,24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kn.  Predstečajni vjerovnik otpušta dužniku dio utvrđene tražbine, što iznosi </w:t>
      </w:r>
      <w:r w:rsidRPr="00C065C9">
        <w:rPr>
          <w:noProof/>
          <w:color w:val="000000"/>
        </w:rPr>
        <w:t>585,12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kn. Preostali iznos tražbine od </w:t>
      </w:r>
      <w:r w:rsidRPr="00C065C9">
        <w:rPr>
          <w:noProof/>
          <w:color w:val="000000"/>
        </w:rPr>
        <w:t>585,12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 otplatiti će se nakon isteka počeka od 12 mjeseci na </w:t>
      </w:r>
      <w:r>
        <w:rPr>
          <w:color w:val="000000"/>
        </w:rPr>
        <w:t>48</w:t>
      </w:r>
      <w:r w:rsidRPr="000B506E">
        <w:rPr>
          <w:color w:val="000000"/>
        </w:rPr>
        <w:t xml:space="preserve"> jednakih mjesečnih anuiteta</w:t>
      </w:r>
      <w:r>
        <w:rPr>
          <w:color w:val="000000"/>
        </w:rPr>
        <w:t xml:space="preserve"> od kojih svaki iznosi </w:t>
      </w:r>
      <w:r w:rsidRPr="00C065C9">
        <w:rPr>
          <w:rFonts w:eastAsia="MS Mincho"/>
          <w:noProof/>
          <w:color w:val="000000"/>
        </w:rPr>
        <w:t>12,19</w:t>
      </w:r>
      <w:r>
        <w:rPr>
          <w:color w:val="000000"/>
        </w:rPr>
        <w:t xml:space="preserve"> kn</w:t>
      </w:r>
      <w:r w:rsidRPr="000B506E">
        <w:rPr>
          <w:color w:val="000000"/>
        </w:rPr>
        <w:t xml:space="preserve">, bez kamata, računajući od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 xml:space="preserve">. Prvi anuitet će se platiti 15-tog u mjesecu, 12 mjeseci nakon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>, dok će se svaki naredni anuitet platiti mjesečno, najkasnije do 15-tog u mjesecu za prethodni  mjesec.</w:t>
      </w:r>
    </w:p>
    <w:p w:rsidRDefault="00E073C6" w:rsidP="00E073C6" w:rsidR="00E073C6"/>
    <w:p w:rsidRDefault="00E073C6" w:rsidP="00E073C6" w:rsidR="00E073C6" w:rsidRPr="000B506E">
      <w:pPr>
        <w:spacing w:lineRule="auto" w:line="360"/>
        <w:jc w:val="both"/>
        <w:rPr>
          <w:color w:val="000000"/>
        </w:rPr>
      </w:pPr>
      <w:r w:rsidRPr="00C065C9">
        <w:rPr>
          <w:noProof/>
          <w:color w:val="000000"/>
        </w:rPr>
        <w:t>62</w:t>
      </w:r>
      <w:r w:rsidRPr="000B506E">
        <w:rPr>
          <w:noProof/>
          <w:color w:val="000000"/>
        </w:rPr>
        <w:t xml:space="preserve">. </w:t>
      </w:r>
      <w:r w:rsidRPr="00C065C9">
        <w:rPr>
          <w:noProof/>
          <w:color w:val="000000"/>
        </w:rPr>
        <w:t>VIPnet, društvo s ograničenom odgovornošću za usluge javnih telekomunikacija</w:t>
      </w:r>
      <w:r w:rsidRPr="000B506E">
        <w:rPr>
          <w:noProof/>
          <w:color w:val="000000"/>
        </w:rPr>
        <w:t xml:space="preserve">, </w:t>
      </w:r>
      <w:r w:rsidRPr="000B506E">
        <w:rPr>
          <w:color w:val="000000"/>
        </w:rPr>
        <w:t>OIB:</w:t>
      </w:r>
      <w:r w:rsidRPr="000B506E">
        <w:rPr>
          <w:noProof/>
          <w:color w:val="000000"/>
        </w:rPr>
        <w:t xml:space="preserve"> </w:t>
      </w:r>
      <w:r w:rsidRPr="00C065C9">
        <w:rPr>
          <w:noProof/>
          <w:color w:val="000000"/>
        </w:rPr>
        <w:t>29524210204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utvrđeni iznos tražbine iznosi </w:t>
      </w:r>
      <w:r w:rsidRPr="00C065C9">
        <w:rPr>
          <w:noProof/>
          <w:color w:val="000000"/>
        </w:rPr>
        <w:t>919,57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kn.  Predstečajni vjerovnik otpušta dužniku dio utvrđene tražbine, što iznosi </w:t>
      </w:r>
      <w:r w:rsidRPr="00C065C9">
        <w:rPr>
          <w:noProof/>
          <w:color w:val="000000"/>
        </w:rPr>
        <w:t>459,79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kn. Preostali iznos tražbine od </w:t>
      </w:r>
      <w:r w:rsidRPr="00C065C9">
        <w:rPr>
          <w:noProof/>
          <w:color w:val="000000"/>
        </w:rPr>
        <w:t>459,79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 otplatiti će se nakon isteka počeka od 12 mjeseci na </w:t>
      </w:r>
      <w:r>
        <w:rPr>
          <w:color w:val="000000"/>
        </w:rPr>
        <w:t>48</w:t>
      </w:r>
      <w:r w:rsidRPr="000B506E">
        <w:rPr>
          <w:color w:val="000000"/>
        </w:rPr>
        <w:t xml:space="preserve"> jednakih mjesečnih anuiteta</w:t>
      </w:r>
      <w:r>
        <w:rPr>
          <w:color w:val="000000"/>
        </w:rPr>
        <w:t xml:space="preserve"> od kojih svaki iznosi </w:t>
      </w:r>
      <w:r w:rsidRPr="00C065C9">
        <w:rPr>
          <w:rFonts w:eastAsia="MS Mincho"/>
          <w:noProof/>
          <w:color w:val="000000"/>
        </w:rPr>
        <w:t>9,58</w:t>
      </w:r>
      <w:r>
        <w:rPr>
          <w:color w:val="000000"/>
        </w:rPr>
        <w:t xml:space="preserve"> kn</w:t>
      </w:r>
      <w:r w:rsidRPr="000B506E">
        <w:rPr>
          <w:color w:val="000000"/>
        </w:rPr>
        <w:t xml:space="preserve">, bez kamata, računajući od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 xml:space="preserve">. Prvi anuitet će se platiti 15-tog u mjesecu, 12 mjeseci nakon pravomoćnosti Rješenja Trgovačkog suda o </w:t>
      </w:r>
      <w:r>
        <w:rPr>
          <w:color w:val="000000"/>
        </w:rPr>
        <w:t xml:space="preserve">sklopljenom predstečajnom </w:t>
      </w:r>
      <w:r>
        <w:rPr>
          <w:color w:val="000000"/>
        </w:rPr>
        <w:lastRenderedPageBreak/>
        <w:t>sporazumu</w:t>
      </w:r>
      <w:r w:rsidRPr="000B506E">
        <w:rPr>
          <w:color w:val="000000"/>
        </w:rPr>
        <w:t>, dok će se svaki naredni anuitet platiti mjesečno, najkasnije do 15-tog u mjesecu za prethodni  mjesec.</w:t>
      </w:r>
    </w:p>
    <w:p w:rsidRDefault="00E073C6" w:rsidP="00E073C6" w:rsidR="00E073C6"/>
    <w:p w:rsidRDefault="00E073C6" w:rsidP="00E073C6" w:rsidR="00E073C6" w:rsidRPr="000B506E">
      <w:pPr>
        <w:spacing w:lineRule="auto" w:line="360"/>
        <w:jc w:val="both"/>
        <w:rPr>
          <w:color w:val="000000"/>
        </w:rPr>
      </w:pPr>
      <w:r w:rsidRPr="00C065C9">
        <w:rPr>
          <w:noProof/>
          <w:color w:val="000000"/>
        </w:rPr>
        <w:t>63</w:t>
      </w:r>
      <w:r w:rsidRPr="000B506E">
        <w:rPr>
          <w:noProof/>
          <w:color w:val="000000"/>
        </w:rPr>
        <w:t xml:space="preserve">. </w:t>
      </w:r>
      <w:r w:rsidRPr="00C065C9">
        <w:rPr>
          <w:noProof/>
          <w:color w:val="000000"/>
        </w:rPr>
        <w:t>ZAGREBAČKI HOLDING, društvo s ograničenom odgovornošću za javni prijevoz, opskrbu vodom, održavanje čistoće, putnička agencija, šport, upravljanje objektima i poslovanje nekretninama</w:t>
      </w:r>
      <w:r w:rsidRPr="000B506E">
        <w:rPr>
          <w:noProof/>
          <w:color w:val="000000"/>
        </w:rPr>
        <w:t xml:space="preserve">, </w:t>
      </w:r>
      <w:r w:rsidRPr="000B506E">
        <w:rPr>
          <w:color w:val="000000"/>
        </w:rPr>
        <w:t>OIB:</w:t>
      </w:r>
      <w:r w:rsidRPr="000B506E">
        <w:rPr>
          <w:noProof/>
          <w:color w:val="000000"/>
        </w:rPr>
        <w:t xml:space="preserve"> </w:t>
      </w:r>
      <w:r w:rsidRPr="00C065C9">
        <w:rPr>
          <w:noProof/>
          <w:color w:val="000000"/>
        </w:rPr>
        <w:t>85584865987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utvrđeni iznos tražbine iznosi </w:t>
      </w:r>
      <w:r w:rsidRPr="00C065C9">
        <w:rPr>
          <w:noProof/>
          <w:color w:val="000000"/>
        </w:rPr>
        <w:t>96,16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kn.  Predstečajni vjerovnik otpušta dužniku dio utvrđene tražbine, što iznosi </w:t>
      </w:r>
      <w:r w:rsidRPr="00C065C9">
        <w:rPr>
          <w:noProof/>
          <w:color w:val="000000"/>
        </w:rPr>
        <w:t>48,08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kn. Preostali iznos tražbine od </w:t>
      </w:r>
      <w:r w:rsidRPr="00C065C9">
        <w:rPr>
          <w:noProof/>
          <w:color w:val="000000"/>
        </w:rPr>
        <w:t>48,08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 otplatiti će se nakon isteka počeka od 12 mjeseci na </w:t>
      </w:r>
      <w:r>
        <w:rPr>
          <w:color w:val="000000"/>
        </w:rPr>
        <w:t>48</w:t>
      </w:r>
      <w:r w:rsidRPr="000B506E">
        <w:rPr>
          <w:color w:val="000000"/>
        </w:rPr>
        <w:t xml:space="preserve"> jednakih mjesečnih anuiteta</w:t>
      </w:r>
      <w:r>
        <w:rPr>
          <w:color w:val="000000"/>
        </w:rPr>
        <w:t xml:space="preserve"> od kojih svaki iznosi </w:t>
      </w:r>
      <w:r w:rsidRPr="00C065C9">
        <w:rPr>
          <w:rFonts w:eastAsia="MS Mincho"/>
          <w:noProof/>
          <w:color w:val="000000"/>
        </w:rPr>
        <w:t>1,00</w:t>
      </w:r>
      <w:r>
        <w:rPr>
          <w:color w:val="000000"/>
        </w:rPr>
        <w:t xml:space="preserve"> kn</w:t>
      </w:r>
      <w:r w:rsidRPr="000B506E">
        <w:rPr>
          <w:color w:val="000000"/>
        </w:rPr>
        <w:t xml:space="preserve">, bez kamata, računajući od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 xml:space="preserve">. Prvi anuitet će se platiti 15-tog u mjesecu, 12 mjeseci nakon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>, dok će se svaki naredni anuitet platiti mjesečno, najkasnije do 15-tog u mjesecu za prethodni  mjesec.</w:t>
      </w:r>
    </w:p>
    <w:p w:rsidRDefault="00E073C6" w:rsidP="00E073C6" w:rsidR="00E073C6"/>
    <w:p w:rsidRDefault="00E073C6" w:rsidP="00E073C6" w:rsidR="00E073C6" w:rsidRPr="000B506E">
      <w:pPr>
        <w:spacing w:lineRule="auto" w:line="360"/>
        <w:jc w:val="both"/>
        <w:rPr>
          <w:color w:val="000000"/>
        </w:rPr>
      </w:pPr>
      <w:r w:rsidRPr="000B506E">
        <w:rPr>
          <w:noProof/>
          <w:color w:val="000000"/>
        </w:rPr>
        <w:t xml:space="preserve">. </w:t>
      </w:r>
      <w:r w:rsidRPr="00C065C9">
        <w:rPr>
          <w:noProof/>
          <w:color w:val="000000"/>
        </w:rPr>
        <w:t>UKUPNO:</w:t>
      </w:r>
      <w:r w:rsidRPr="000B506E">
        <w:rPr>
          <w:noProof/>
          <w:color w:val="000000"/>
        </w:rPr>
        <w:t xml:space="preserve">, </w:t>
      </w:r>
      <w:r w:rsidRPr="000B506E">
        <w:rPr>
          <w:color w:val="000000"/>
        </w:rPr>
        <w:t>OIB:</w:t>
      </w:r>
      <w:r w:rsidRPr="000B506E">
        <w:rPr>
          <w:noProof/>
          <w:color w:val="000000"/>
        </w:rPr>
        <w:t xml:space="preserve"> 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utvrđeni iznos tražbine iznosi </w:t>
      </w:r>
      <w:r w:rsidRPr="00C065C9">
        <w:rPr>
          <w:noProof/>
          <w:color w:val="000000"/>
        </w:rPr>
        <w:t>8.010.484,72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kn.  Predstečajni vjerovnik otpušta dužniku dio utvrđene tražbine, što iznosi </w:t>
      </w:r>
      <w:r w:rsidRPr="00C065C9">
        <w:rPr>
          <w:noProof/>
          <w:color w:val="000000"/>
        </w:rPr>
        <w:t>2.233.932,85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kn. Preostali iznos tražbine od </w:t>
      </w:r>
      <w:r w:rsidRPr="00C065C9">
        <w:rPr>
          <w:noProof/>
          <w:color w:val="000000"/>
        </w:rPr>
        <w:t>2.233.932,85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 otplatiti će se nakon isteka počeka od 12 mjeseci na </w:t>
      </w:r>
      <w:r>
        <w:rPr>
          <w:color w:val="000000"/>
        </w:rPr>
        <w:t>48</w:t>
      </w:r>
      <w:r w:rsidRPr="000B506E">
        <w:rPr>
          <w:color w:val="000000"/>
        </w:rPr>
        <w:t xml:space="preserve"> jednakih mjesečnih anuiteta</w:t>
      </w:r>
      <w:r>
        <w:rPr>
          <w:color w:val="000000"/>
        </w:rPr>
        <w:t xml:space="preserve"> od kojih svaki iznosi </w:t>
      </w:r>
      <w:r w:rsidRPr="00C065C9">
        <w:rPr>
          <w:rFonts w:eastAsia="MS Mincho"/>
          <w:noProof/>
          <w:color w:val="000000"/>
        </w:rPr>
        <w:t>46.540,27</w:t>
      </w:r>
      <w:r>
        <w:rPr>
          <w:color w:val="000000"/>
        </w:rPr>
        <w:t xml:space="preserve"> kn</w:t>
      </w:r>
      <w:r w:rsidRPr="000B506E">
        <w:rPr>
          <w:color w:val="000000"/>
        </w:rPr>
        <w:t xml:space="preserve">, bez kamata, računajući od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 xml:space="preserve">. Prvi anuitet će se platiti 15-tog u mjesecu, 12 mjeseci nakon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>, dok će se svaki naredni anuitet platiti mjesečno, najkasnije do 15-tog u mjesecu za prethodni  mjesec.</w:t>
      </w:r>
    </w:p>
    <w:p w:rsidRDefault="00E073C6" w:rsidP="00E073C6" w:rsidR="00E073C6"/>
    <w:p w:rsidRDefault="00E073C6" w:rsidP="00E073C6" w:rsidR="00E073C6" w:rsidRPr="000B506E">
      <w:pPr>
        <w:spacing w:lineRule="auto" w:line="360"/>
        <w:jc w:val="both"/>
        <w:rPr>
          <w:color w:val="000000"/>
        </w:rPr>
      </w:pPr>
      <w:r w:rsidRPr="000B506E">
        <w:rPr>
          <w:noProof/>
          <w:color w:val="000000"/>
        </w:rPr>
        <w:t xml:space="preserve">. , </w:t>
      </w:r>
      <w:r w:rsidRPr="000B506E">
        <w:rPr>
          <w:color w:val="000000"/>
        </w:rPr>
        <w:t>OIB:</w:t>
      </w:r>
      <w:r w:rsidRPr="000B506E">
        <w:rPr>
          <w:noProof/>
          <w:color w:val="000000"/>
        </w:rPr>
        <w:t xml:space="preserve"> 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utvrđeni iznos tražbine iznosi 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kn.  Predstečajni vjerovnik otpušta dužniku dio utvrđene tražbine, što iznosi 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kn. Preostali iznos tražbine od 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 otplatiti će se nakon isteka počeka od 12 mjeseci na </w:t>
      </w:r>
      <w:r>
        <w:rPr>
          <w:color w:val="000000"/>
        </w:rPr>
        <w:t>48</w:t>
      </w:r>
      <w:r w:rsidRPr="000B506E">
        <w:rPr>
          <w:color w:val="000000"/>
        </w:rPr>
        <w:t xml:space="preserve"> jednakih mjesečnih anuiteta</w:t>
      </w:r>
      <w:r>
        <w:rPr>
          <w:color w:val="000000"/>
        </w:rPr>
        <w:t xml:space="preserve"> od kojih svaki iznosi  kn</w:t>
      </w:r>
      <w:r w:rsidRPr="000B506E">
        <w:rPr>
          <w:color w:val="000000"/>
        </w:rPr>
        <w:t xml:space="preserve">, bez kamata, računajući od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 xml:space="preserve">. Prvi anuitet će se platiti 15-tog u mjesecu, 12 mjeseci nakon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>, dok će se svaki naredni anuitet platiti mjesečno, najkasnije do 15-tog u mjesecu za prethodni  mjesec.</w:t>
      </w:r>
    </w:p>
    <w:p w:rsidRDefault="00E073C6" w:rsidP="00E073C6" w:rsidR="00E073C6"/>
    <w:p w:rsidRDefault="00E073C6" w:rsidP="00E073C6" w:rsidR="00E073C6" w:rsidRPr="000B506E">
      <w:pPr>
        <w:spacing w:lineRule="auto" w:line="360"/>
        <w:jc w:val="both"/>
        <w:rPr>
          <w:color w:val="000000"/>
        </w:rPr>
      </w:pPr>
      <w:r w:rsidRPr="000B506E">
        <w:rPr>
          <w:noProof/>
          <w:color w:val="000000"/>
        </w:rPr>
        <w:t xml:space="preserve">. , </w:t>
      </w:r>
      <w:r w:rsidRPr="000B506E">
        <w:rPr>
          <w:color w:val="000000"/>
        </w:rPr>
        <w:t>OIB:</w:t>
      </w:r>
      <w:r w:rsidRPr="000B506E">
        <w:rPr>
          <w:noProof/>
          <w:color w:val="000000"/>
        </w:rPr>
        <w:t xml:space="preserve"> 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utvrđeni iznos tražbine iznosi 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kn.  Predstečajni vjerovnik otpušta dužniku dio utvrđene tražbine, što iznosi 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kn. Preostali iznos tražbine od 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 otplatiti će se nakon isteka počeka od 12 mjeseci na </w:t>
      </w:r>
      <w:r>
        <w:rPr>
          <w:color w:val="000000"/>
        </w:rPr>
        <w:t>48</w:t>
      </w:r>
      <w:r w:rsidRPr="000B506E">
        <w:rPr>
          <w:color w:val="000000"/>
        </w:rPr>
        <w:t xml:space="preserve"> jednakih mjesečnih anuiteta</w:t>
      </w:r>
      <w:r>
        <w:rPr>
          <w:color w:val="000000"/>
        </w:rPr>
        <w:t xml:space="preserve"> od kojih svaki iznosi  kn</w:t>
      </w:r>
      <w:r w:rsidRPr="000B506E">
        <w:rPr>
          <w:color w:val="000000"/>
        </w:rPr>
        <w:t xml:space="preserve">, bez </w:t>
      </w:r>
      <w:r w:rsidRPr="000B506E">
        <w:rPr>
          <w:color w:val="000000"/>
        </w:rPr>
        <w:lastRenderedPageBreak/>
        <w:t xml:space="preserve">kamata, računajući od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 xml:space="preserve">. Prvi anuitet će se platiti 15-tog u mjesecu, 12 mjeseci nakon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>, dok će se svaki naredni anuitet platiti mjesečno, najkasnije do 15-tog u mjesecu za prethodni  mjesec.</w:t>
      </w:r>
    </w:p>
    <w:p w:rsidRDefault="00E073C6" w:rsidP="00E073C6" w:rsidR="00E073C6"/>
    <w:p w:rsidRDefault="00E073C6" w:rsidP="00E073C6" w:rsidR="00E073C6" w:rsidRPr="000B506E">
      <w:pPr>
        <w:spacing w:lineRule="auto" w:line="360"/>
        <w:jc w:val="both"/>
        <w:rPr>
          <w:color w:val="000000"/>
        </w:rPr>
      </w:pPr>
      <w:r w:rsidRPr="00C065C9">
        <w:rPr>
          <w:noProof/>
          <w:color w:val="000000"/>
        </w:rPr>
        <w:t>RAZLUČNI</w:t>
      </w:r>
      <w:r w:rsidRPr="000B506E">
        <w:rPr>
          <w:noProof/>
          <w:color w:val="000000"/>
        </w:rPr>
        <w:t xml:space="preserve">. , </w:t>
      </w:r>
      <w:r w:rsidRPr="000B506E">
        <w:rPr>
          <w:color w:val="000000"/>
        </w:rPr>
        <w:t>OIB:</w:t>
      </w:r>
      <w:r w:rsidRPr="000B506E">
        <w:rPr>
          <w:noProof/>
          <w:color w:val="000000"/>
        </w:rPr>
        <w:t xml:space="preserve"> 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utvrđeni iznos tražbine iznosi 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kn.  Predstečajni vjerovnik otpušta dužniku dio utvrđene tražbine, što iznosi 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kn. Preostali iznos tražbine od 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 otplatiti će se nakon isteka počeka od 12 mjeseci na </w:t>
      </w:r>
      <w:r>
        <w:rPr>
          <w:color w:val="000000"/>
        </w:rPr>
        <w:t>48</w:t>
      </w:r>
      <w:r w:rsidRPr="000B506E">
        <w:rPr>
          <w:color w:val="000000"/>
        </w:rPr>
        <w:t xml:space="preserve"> jednakih mjesečnih anuiteta</w:t>
      </w:r>
      <w:r>
        <w:rPr>
          <w:color w:val="000000"/>
        </w:rPr>
        <w:t xml:space="preserve"> od kojih svaki iznosi  kn</w:t>
      </w:r>
      <w:r w:rsidRPr="000B506E">
        <w:rPr>
          <w:color w:val="000000"/>
        </w:rPr>
        <w:t xml:space="preserve">, bez kamata, računajući od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 xml:space="preserve">. Prvi anuitet će se platiti 15-tog u mjesecu, 12 mjeseci nakon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>, dok će se svaki naredni anuitet platiti mjesečno, najkasnije do 15-tog u mjesecu za prethodni  mjesec.</w:t>
      </w:r>
    </w:p>
    <w:p w:rsidRDefault="00E073C6" w:rsidP="00E073C6" w:rsidR="00E073C6"/>
    <w:p w:rsidRDefault="00E073C6" w:rsidP="00E073C6" w:rsidR="00E073C6" w:rsidRPr="000B506E">
      <w:pPr>
        <w:spacing w:lineRule="auto" w:line="360"/>
        <w:jc w:val="both"/>
        <w:rPr>
          <w:color w:val="000000"/>
        </w:rPr>
      </w:pPr>
      <w:r w:rsidRPr="000B506E">
        <w:rPr>
          <w:noProof/>
          <w:color w:val="000000"/>
        </w:rPr>
        <w:t xml:space="preserve">. , </w:t>
      </w:r>
      <w:r w:rsidRPr="000B506E">
        <w:rPr>
          <w:color w:val="000000"/>
        </w:rPr>
        <w:t>OIB:</w:t>
      </w:r>
      <w:r w:rsidRPr="000B506E">
        <w:rPr>
          <w:noProof/>
          <w:color w:val="000000"/>
        </w:rPr>
        <w:t xml:space="preserve"> 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utvrđeni iznos tražbine iznosi 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kn.  Predstečajni vjerovnik otpušta dužniku dio utvrđene tražbine, što iznosi 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kn. Preostali iznos tražbine od 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 otplatiti će se nakon isteka počeka od 12 mjeseci na </w:t>
      </w:r>
      <w:r>
        <w:rPr>
          <w:color w:val="000000"/>
        </w:rPr>
        <w:t>48</w:t>
      </w:r>
      <w:r w:rsidRPr="000B506E">
        <w:rPr>
          <w:color w:val="000000"/>
        </w:rPr>
        <w:t xml:space="preserve"> jednakih mjesečnih anuiteta</w:t>
      </w:r>
      <w:r>
        <w:rPr>
          <w:color w:val="000000"/>
        </w:rPr>
        <w:t xml:space="preserve"> od kojih svaki iznosi  kn</w:t>
      </w:r>
      <w:r w:rsidRPr="000B506E">
        <w:rPr>
          <w:color w:val="000000"/>
        </w:rPr>
        <w:t xml:space="preserve">, bez kamata, računajući od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 xml:space="preserve">. Prvi anuitet će se platiti 15-tog u mjesecu, 12 mjeseci nakon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>, dok će se svaki naredni anuitet platiti mjesečno, najkasnije do 15-tog u mjesecu za prethodni  mjesec.</w:t>
      </w:r>
    </w:p>
    <w:p w:rsidRDefault="00E073C6" w:rsidP="00E073C6" w:rsidR="00E073C6"/>
    <w:p w:rsidRDefault="00E073C6" w:rsidP="00E073C6" w:rsidR="00E073C6" w:rsidRPr="000B506E">
      <w:pPr>
        <w:spacing w:lineRule="auto" w:line="360"/>
        <w:jc w:val="both"/>
        <w:rPr>
          <w:color w:val="000000"/>
        </w:rPr>
      </w:pPr>
      <w:r w:rsidRPr="00C065C9">
        <w:rPr>
          <w:noProof/>
          <w:color w:val="000000"/>
        </w:rPr>
        <w:t>R.B.</w:t>
      </w:r>
      <w:r w:rsidRPr="000B506E">
        <w:rPr>
          <w:noProof/>
          <w:color w:val="000000"/>
        </w:rPr>
        <w:t xml:space="preserve">. </w:t>
      </w:r>
      <w:r w:rsidRPr="00C065C9">
        <w:rPr>
          <w:noProof/>
          <w:color w:val="000000"/>
        </w:rPr>
        <w:t>Ime i prezime / Naziv vjerovnika</w:t>
      </w:r>
      <w:r w:rsidRPr="000B506E">
        <w:rPr>
          <w:noProof/>
          <w:color w:val="000000"/>
        </w:rPr>
        <w:t xml:space="preserve">, </w:t>
      </w:r>
      <w:r w:rsidRPr="000B506E">
        <w:rPr>
          <w:color w:val="000000"/>
        </w:rPr>
        <w:t>OIB:</w:t>
      </w:r>
      <w:r w:rsidRPr="000B506E">
        <w:rPr>
          <w:noProof/>
          <w:color w:val="000000"/>
        </w:rPr>
        <w:t xml:space="preserve"> </w:t>
      </w:r>
      <w:r w:rsidRPr="00C065C9">
        <w:rPr>
          <w:noProof/>
          <w:color w:val="000000"/>
        </w:rPr>
        <w:t>OIB vjerovnika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utvrđeni iznos tražbine iznosi </w:t>
      </w:r>
      <w:r w:rsidRPr="00C065C9">
        <w:rPr>
          <w:noProof/>
          <w:color w:val="000000"/>
        </w:rPr>
        <w:t>UTVRĐENE TRAŽBINE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kn.  Predstečajni vjerovnik otpušta dužniku dio utvrđene tražbine, što iznosi </w:t>
      </w:r>
      <w:r w:rsidRPr="00C065C9">
        <w:rPr>
          <w:noProof/>
          <w:color w:val="000000"/>
        </w:rPr>
        <w:t>OTPIS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kn. Preostali iznos tražbine od </w:t>
      </w:r>
      <w:r w:rsidRPr="00C065C9">
        <w:rPr>
          <w:noProof/>
          <w:color w:val="000000"/>
        </w:rPr>
        <w:t>PREOSTALO ZA OTPLATU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 otplatiti će se nakon isteka počeka od 12 mjeseci na </w:t>
      </w:r>
      <w:r>
        <w:rPr>
          <w:color w:val="000000"/>
        </w:rPr>
        <w:t>48</w:t>
      </w:r>
      <w:r w:rsidRPr="000B506E">
        <w:rPr>
          <w:color w:val="000000"/>
        </w:rPr>
        <w:t xml:space="preserve"> jednakih mjesečnih anuiteta</w:t>
      </w:r>
      <w:r>
        <w:rPr>
          <w:color w:val="000000"/>
        </w:rPr>
        <w:t xml:space="preserve"> od kojih svaki iznosi </w:t>
      </w:r>
      <w:r w:rsidRPr="00C065C9">
        <w:rPr>
          <w:rFonts w:eastAsia="MS Mincho"/>
          <w:noProof/>
          <w:color w:val="000000"/>
        </w:rPr>
        <w:t>MJESEČNI ANUITET</w:t>
      </w:r>
      <w:r>
        <w:rPr>
          <w:color w:val="000000"/>
        </w:rPr>
        <w:t xml:space="preserve"> kn</w:t>
      </w:r>
      <w:r w:rsidRPr="000B506E">
        <w:rPr>
          <w:color w:val="000000"/>
        </w:rPr>
        <w:t xml:space="preserve">, bez kamata, računajući od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 xml:space="preserve">. Prvi anuitet će se platiti 15-tog u mjesecu, 12 mjeseci nakon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>, dok će se svaki naredni anuitet platiti mjesečno, najkasnije do 15-tog u mjesecu za prethodni  mjesec.</w:t>
      </w:r>
    </w:p>
    <w:p w:rsidRDefault="00E073C6" w:rsidP="00E073C6" w:rsidR="00E073C6"/>
    <w:p w:rsidRDefault="00E073C6" w:rsidP="00E073C6" w:rsidR="00E073C6" w:rsidRPr="000B506E">
      <w:pPr>
        <w:spacing w:lineRule="auto" w:line="360"/>
        <w:jc w:val="both"/>
        <w:rPr>
          <w:color w:val="000000"/>
        </w:rPr>
      </w:pPr>
      <w:r w:rsidRPr="00C065C9">
        <w:rPr>
          <w:noProof/>
          <w:color w:val="000000"/>
        </w:rPr>
        <w:lastRenderedPageBreak/>
        <w:t>64</w:t>
      </w:r>
      <w:r w:rsidRPr="000B506E">
        <w:rPr>
          <w:noProof/>
          <w:color w:val="000000"/>
        </w:rPr>
        <w:t xml:space="preserve">. </w:t>
      </w:r>
      <w:r w:rsidRPr="00C065C9">
        <w:rPr>
          <w:noProof/>
          <w:color w:val="000000"/>
        </w:rPr>
        <w:t>Raiffeisenbank Austria d.d.</w:t>
      </w:r>
      <w:r w:rsidRPr="000B506E">
        <w:rPr>
          <w:noProof/>
          <w:color w:val="000000"/>
        </w:rPr>
        <w:t xml:space="preserve">, </w:t>
      </w:r>
      <w:r w:rsidRPr="000B506E">
        <w:rPr>
          <w:color w:val="000000"/>
        </w:rPr>
        <w:t>OIB:</w:t>
      </w:r>
      <w:r w:rsidRPr="000B506E">
        <w:rPr>
          <w:noProof/>
          <w:color w:val="000000"/>
        </w:rPr>
        <w:t xml:space="preserve"> </w:t>
      </w:r>
      <w:r w:rsidRPr="00C065C9">
        <w:rPr>
          <w:noProof/>
          <w:color w:val="000000"/>
        </w:rPr>
        <w:t>53056966535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utvrđeni iznos tražbine iznosi </w:t>
      </w:r>
      <w:r w:rsidRPr="00C065C9">
        <w:rPr>
          <w:noProof/>
          <w:color w:val="000000"/>
        </w:rPr>
        <w:t>1.107.292,09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kn.  Predstečajni vjerovnik otpušta dužniku dio utvrđene tražbine, što iznosi </w:t>
      </w:r>
      <w:r w:rsidRPr="00C065C9">
        <w:rPr>
          <w:noProof/>
          <w:color w:val="000000"/>
        </w:rPr>
        <w:t>??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kn. Preostali iznos tražbine od 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 otplatiti će se nakon isteka počeka od 12 mjeseci na </w:t>
      </w:r>
      <w:r>
        <w:rPr>
          <w:color w:val="000000"/>
        </w:rPr>
        <w:t>48</w:t>
      </w:r>
      <w:r w:rsidRPr="000B506E">
        <w:rPr>
          <w:color w:val="000000"/>
        </w:rPr>
        <w:t xml:space="preserve"> jednakih mjesečnih anuiteta</w:t>
      </w:r>
      <w:r>
        <w:rPr>
          <w:color w:val="000000"/>
        </w:rPr>
        <w:t xml:space="preserve"> od kojih svaki iznosi  kn</w:t>
      </w:r>
      <w:r w:rsidRPr="000B506E">
        <w:rPr>
          <w:color w:val="000000"/>
        </w:rPr>
        <w:t xml:space="preserve">, bez kamata, računajući od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 xml:space="preserve">. Prvi anuitet će se platiti 15-tog u mjesecu, 12 mjeseci nakon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>, dok će se svaki naredni anuitet platiti mjesečno, najkasnije do 15-tog u mjesecu za prethodni  mjesec.</w:t>
      </w:r>
    </w:p>
    <w:p w:rsidRDefault="00E073C6" w:rsidP="00E073C6" w:rsidR="00E073C6"/>
    <w:p w:rsidRDefault="00E073C6" w:rsidP="00E073C6" w:rsidR="00E073C6" w:rsidRPr="000B506E">
      <w:pPr>
        <w:spacing w:lineRule="auto" w:line="360"/>
        <w:jc w:val="both"/>
        <w:rPr>
          <w:color w:val="000000"/>
        </w:rPr>
      </w:pPr>
      <w:r w:rsidRPr="00C065C9">
        <w:rPr>
          <w:noProof/>
          <w:color w:val="000000"/>
        </w:rPr>
        <w:t>65</w:t>
      </w:r>
      <w:r w:rsidRPr="000B506E">
        <w:rPr>
          <w:noProof/>
          <w:color w:val="000000"/>
        </w:rPr>
        <w:t xml:space="preserve">. </w:t>
      </w:r>
      <w:r w:rsidRPr="00C065C9">
        <w:rPr>
          <w:noProof/>
          <w:color w:val="000000"/>
        </w:rPr>
        <w:t>SOCIETE GENERALE-SPLITSKA BANKA d.d.</w:t>
      </w:r>
      <w:r w:rsidRPr="000B506E">
        <w:rPr>
          <w:noProof/>
          <w:color w:val="000000"/>
        </w:rPr>
        <w:t xml:space="preserve">, </w:t>
      </w:r>
      <w:r w:rsidRPr="000B506E">
        <w:rPr>
          <w:color w:val="000000"/>
        </w:rPr>
        <w:t>OIB:</w:t>
      </w:r>
      <w:r w:rsidRPr="000B506E">
        <w:rPr>
          <w:noProof/>
          <w:color w:val="000000"/>
        </w:rPr>
        <w:t xml:space="preserve"> </w:t>
      </w:r>
      <w:r w:rsidRPr="00C065C9">
        <w:rPr>
          <w:noProof/>
          <w:color w:val="000000"/>
        </w:rPr>
        <w:t>69326397242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utvrđeni iznos tražbine iznosi </w:t>
      </w:r>
      <w:r w:rsidRPr="00C065C9">
        <w:rPr>
          <w:noProof/>
          <w:color w:val="000000"/>
        </w:rPr>
        <w:t>743.323,00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kn.  Predstečajni vjerovnik otpušta dužniku dio utvrđene tražbine, što iznosi </w:t>
      </w:r>
      <w:r>
        <w:rPr>
          <w:noProof/>
          <w:color w:val="000000"/>
        </w:rPr>
        <w:t xml:space="preserve">  </w:t>
      </w:r>
      <w:r w:rsidRPr="000B506E">
        <w:rPr>
          <w:color w:val="000000"/>
        </w:rPr>
        <w:t xml:space="preserve">kn. Preostali iznos tražbine od </w:t>
      </w:r>
      <w:r>
        <w:rPr>
          <w:noProof/>
          <w:color w:val="000000"/>
        </w:rPr>
        <w:t xml:space="preserve"> </w:t>
      </w:r>
      <w:r w:rsidRPr="000B506E">
        <w:rPr>
          <w:color w:val="000000"/>
        </w:rPr>
        <w:t xml:space="preserve">kn otplatiti će se nakon isteka počeka od 12 mjeseci na </w:t>
      </w:r>
      <w:r>
        <w:rPr>
          <w:color w:val="000000"/>
        </w:rPr>
        <w:t>48</w:t>
      </w:r>
      <w:r w:rsidRPr="000B506E">
        <w:rPr>
          <w:color w:val="000000"/>
        </w:rPr>
        <w:t xml:space="preserve"> jednakih mjesečnih anuiteta</w:t>
      </w:r>
      <w:r>
        <w:rPr>
          <w:color w:val="000000"/>
        </w:rPr>
        <w:t xml:space="preserve"> od kojih svaki iznosi  kn</w:t>
      </w:r>
      <w:r w:rsidRPr="000B506E">
        <w:rPr>
          <w:color w:val="000000"/>
        </w:rPr>
        <w:t xml:space="preserve">, bez kamata, računajući od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 xml:space="preserve">. Prvi anuitet će se platiti 15-tog u mjesecu, 12 mjeseci nakon pravomoćnosti Rješenja Trgovačkog suda o </w:t>
      </w:r>
      <w:r>
        <w:rPr>
          <w:color w:val="000000"/>
        </w:rPr>
        <w:t>sklopljenom predstečajnom sporazumu</w:t>
      </w:r>
      <w:r w:rsidRPr="000B506E">
        <w:rPr>
          <w:color w:val="000000"/>
        </w:rPr>
        <w:t>, dok će se svaki naredni anuitet platiti mjesečno, najkasnije do 15-tog u mjesecu za prethodni  mjesec.</w:t>
      </w:r>
    </w:p>
    <w:p w:rsidRDefault="00CC2BF6" w:rsidP="00CC2BF6" w:rsidR="00CC2BF6"/>
    <w:p w:rsidRDefault="00CC2BF6" w:rsidP="00CC2BF6" w:rsidR="00CC2BF6" w:rsidRPr="00CC2BF6"/>
    <w:p w:rsidRDefault="006358D3" w:rsidP="009B53F6" w:rsidR="009B7CD3" w:rsidRPr="004E2B48">
      <w:pPr>
        <w:pStyle w:val="Naslov1"/>
      </w:pPr>
      <w:bookmarkStart w:name="_Toc462747756" w:id="50"/>
      <w:r w:rsidRPr="004E2B48">
        <w:t>8</w:t>
      </w:r>
      <w:r w:rsidR="009B7CD3" w:rsidRPr="004E2B48">
        <w:t>. ROKOVI ZA DOBROVOLJNO ISPUNJENJE</w:t>
      </w:r>
      <w:bookmarkEnd w:id="48"/>
      <w:bookmarkEnd w:id="49"/>
      <w:bookmarkEnd w:id="50"/>
    </w:p>
    <w:p w:rsidRDefault="004E2B48" w:rsidP="004E2B48" w:rsidR="004E2B48">
      <w:pPr>
        <w:spacing w:lineRule="auto" w:line="360"/>
      </w:pPr>
    </w:p>
    <w:p w:rsidRDefault="006A3BE9" w:rsidP="004E2B48" w:rsidR="009B7CD3" w:rsidRPr="004E2B48">
      <w:pPr>
        <w:spacing w:lineRule="auto" w:line="360"/>
      </w:pPr>
      <w:r>
        <w:t>Vjerovnici su podjeljeni u tri</w:t>
      </w:r>
      <w:r w:rsidR="00E52DD7" w:rsidRPr="004E2B48">
        <w:t xml:space="preserve"> grupe i to:</w:t>
      </w:r>
    </w:p>
    <w:p w:rsidRDefault="00E52DD7" w:rsidP="004E2B48" w:rsidR="00E52DD7" w:rsidRPr="004E2B48">
      <w:pPr>
        <w:spacing w:lineRule="auto" w:line="360"/>
      </w:pPr>
    </w:p>
    <w:p w:rsidRDefault="006C3828" w:rsidP="006C3828" w:rsidR="006C3828">
      <w:pPr>
        <w:pStyle w:val="Odlomakpopisa"/>
        <w:numPr>
          <w:ilvl w:val="0"/>
          <w:numId w:val="10"/>
        </w:numPr>
        <w:spacing w:lineRule="auto" w:line="360"/>
      </w:pPr>
      <w:r>
        <w:t>Prva grupa (I)</w:t>
      </w:r>
      <w:r w:rsidRPr="004E2B48">
        <w:t xml:space="preserve"> koju čine </w:t>
      </w:r>
      <w:r w:rsidR="00AB2FBF">
        <w:rPr>
          <w:b/>
          <w:u w:val="single"/>
        </w:rPr>
        <w:t>vjerovnici koji imaju neosiguranu tražbinu</w:t>
      </w:r>
      <w:r>
        <w:t xml:space="preserve">. Za njih </w:t>
      </w:r>
      <w:r w:rsidRPr="004E2B48">
        <w:t xml:space="preserve"> je predložena otplata </w:t>
      </w:r>
      <w:r w:rsidR="00E85B21">
        <w:t>5</w:t>
      </w:r>
      <w:r w:rsidRPr="004E2B48">
        <w:t xml:space="preserve">0% od utvrđenih tražbina u </w:t>
      </w:r>
      <w:r>
        <w:t>48</w:t>
      </w:r>
      <w:r w:rsidRPr="004E2B48">
        <w:t xml:space="preserve"> </w:t>
      </w:r>
      <w:r>
        <w:t>jednakih mjesečnih anuiteta, nako</w:t>
      </w:r>
      <w:r w:rsidR="00862559">
        <w:t>n</w:t>
      </w:r>
      <w:r>
        <w:t xml:space="preserve"> isteka 12 mjeseci počeka, bez kamata</w:t>
      </w:r>
      <w:r w:rsidRPr="004E2B48">
        <w:t>.</w:t>
      </w:r>
    </w:p>
    <w:p w:rsidRDefault="00E073C6" w:rsidP="00E073C6" w:rsidR="00E073C6">
      <w:pPr>
        <w:spacing w:lineRule="auto" w:line="360"/>
      </w:pPr>
    </w:p>
    <w:p w:rsidRDefault="00E073C6" w:rsidP="00815EA4" w:rsidR="00811448">
      <w:pPr>
        <w:pStyle w:val="Odlomakpopisa"/>
        <w:numPr>
          <w:ilvl w:val="0"/>
          <w:numId w:val="10"/>
        </w:numPr>
        <w:spacing w:lineRule="auto" w:line="360"/>
      </w:pPr>
      <w:r>
        <w:rPr>
          <w:b/>
          <w:u w:val="single"/>
        </w:rPr>
        <w:t>V</w:t>
      </w:r>
      <w:r w:rsidR="00AB2FBF">
        <w:rPr>
          <w:b/>
          <w:u w:val="single"/>
        </w:rPr>
        <w:t>jerovnici</w:t>
      </w:r>
      <w:r w:rsidR="00815EA4">
        <w:rPr>
          <w:b/>
          <w:u w:val="single"/>
        </w:rPr>
        <w:t xml:space="preserve"> koji imaju osiguranu tražbinu</w:t>
      </w:r>
      <w:r w:rsidR="00BF5B97">
        <w:t xml:space="preserve"> (RAZLUČNA PRAVA), </w:t>
      </w:r>
      <w:r w:rsidR="006C3828">
        <w:t xml:space="preserve"> Za njih </w:t>
      </w:r>
      <w:r w:rsidR="006C3828" w:rsidRPr="004E2B48">
        <w:t xml:space="preserve">je predložena otplata </w:t>
      </w:r>
      <w:r w:rsidR="006C3828">
        <w:t>100</w:t>
      </w:r>
      <w:r w:rsidR="006C3828" w:rsidRPr="004E2B48">
        <w:t>% od utvrđenih tražbina</w:t>
      </w:r>
      <w:r w:rsidR="00815EA4">
        <w:t xml:space="preserve"> u </w:t>
      </w:r>
      <w:r w:rsidR="00E85B21">
        <w:t>84</w:t>
      </w:r>
      <w:r w:rsidR="00815EA4">
        <w:t xml:space="preserve"> jednakih mjesečnih anuiteta, nakon isteka 12</w:t>
      </w:r>
      <w:r>
        <w:t xml:space="preserve"> mjeseci počeka uz kamatu od 6%, u slučaju da se odreknu prava na odvojeno namirenje.</w:t>
      </w:r>
    </w:p>
    <w:p w:rsidRDefault="00CC2BF6" w:rsidP="00CC2BF6" w:rsidR="00CC2BF6">
      <w:pPr>
        <w:spacing w:lineRule="auto" w:line="360"/>
      </w:pPr>
    </w:p>
    <w:p w:rsidRDefault="00CC2BF6" w:rsidP="00CC2BF6" w:rsidR="00CC2BF6">
      <w:pPr>
        <w:spacing w:lineRule="auto" w:line="360"/>
      </w:pPr>
    </w:p>
    <w:p w:rsidRDefault="00CC2BF6" w:rsidP="00CC2BF6" w:rsidR="00CC2BF6">
      <w:pPr>
        <w:spacing w:lineRule="auto" w:line="360"/>
      </w:pPr>
    </w:p>
    <w:p w:rsidRDefault="006358D3" w:rsidP="009B53F6" w:rsidR="00FF7F00" w:rsidRPr="004E2B48">
      <w:pPr>
        <w:pStyle w:val="Naslov1"/>
      </w:pPr>
      <w:bookmarkStart w:name="_Toc451235631" w:id="51"/>
      <w:bookmarkStart w:name="_Toc462747757" w:id="52"/>
      <w:r w:rsidRPr="004E2B48">
        <w:lastRenderedPageBreak/>
        <w:t>9</w:t>
      </w:r>
      <w:r w:rsidR="009B7CD3" w:rsidRPr="004E2B48">
        <w:t>.</w:t>
      </w:r>
      <w:r w:rsidR="00FF7F00" w:rsidRPr="004E2B48">
        <w:t xml:space="preserve"> </w:t>
      </w:r>
      <w:r w:rsidR="009B7CD3" w:rsidRPr="004E2B48">
        <w:t>PLANIRANI</w:t>
      </w:r>
      <w:r w:rsidR="00FF7F00" w:rsidRPr="004E2B48">
        <w:t xml:space="preserve"> TROŠKOV</w:t>
      </w:r>
      <w:r w:rsidR="009B7CD3" w:rsidRPr="004E2B48">
        <w:t>I</w:t>
      </w:r>
      <w:r w:rsidR="00FF7F00" w:rsidRPr="004E2B48">
        <w:t xml:space="preserve"> RESTRUKTURIRANJA</w:t>
      </w:r>
      <w:bookmarkEnd w:id="51"/>
      <w:bookmarkEnd w:id="52"/>
    </w:p>
    <w:p w:rsidRDefault="007D35E3" w:rsidP="004E2B48" w:rsidR="007D35E3" w:rsidRPr="004E2B48">
      <w:pPr>
        <w:spacing w:lineRule="auto" w:line="360"/>
      </w:pPr>
    </w:p>
    <w:p w:rsidRDefault="00504AFA" w:rsidP="004E2B48" w:rsidR="00E52DD7" w:rsidRPr="004E2B48">
      <w:pPr>
        <w:spacing w:lineRule="auto" w:line="360"/>
      </w:pPr>
      <w:r>
        <w:t>Troškovi</w:t>
      </w:r>
      <w:r w:rsidR="007D35E3" w:rsidRPr="004E2B48">
        <w:t xml:space="preserve"> restrukturiranja</w:t>
      </w:r>
      <w:r w:rsidR="00E52DD7" w:rsidRPr="004E2B48">
        <w:t xml:space="preserve"> pod</w:t>
      </w:r>
      <w:r w:rsidR="00287442">
        <w:t>i</w:t>
      </w:r>
      <w:r w:rsidR="00E52DD7" w:rsidRPr="004E2B48">
        <w:t>jeljeni</w:t>
      </w:r>
      <w:r w:rsidR="00BA20DA">
        <w:t xml:space="preserve"> su u skupine koji uključuju slj</w:t>
      </w:r>
      <w:r w:rsidR="00E52DD7" w:rsidRPr="004E2B48">
        <w:t>edeće grupe troškova:</w:t>
      </w:r>
    </w:p>
    <w:p w:rsidRDefault="00E52DD7" w:rsidP="00504AFA" w:rsidR="00E52DD7" w:rsidRPr="004E2B48">
      <w:pPr>
        <w:pStyle w:val="Odlomakpopisa"/>
        <w:numPr>
          <w:ilvl w:val="0"/>
          <w:numId w:val="13"/>
        </w:numPr>
        <w:spacing w:lineRule="auto" w:line="360"/>
      </w:pPr>
      <w:r w:rsidRPr="004E2B48">
        <w:t xml:space="preserve">Administrativni troškovi  - </w:t>
      </w:r>
      <w:r w:rsidR="00815EA4">
        <w:t>1</w:t>
      </w:r>
      <w:r w:rsidRPr="004E2B48">
        <w:t>0.000 kn</w:t>
      </w:r>
    </w:p>
    <w:p w:rsidRDefault="00E52DD7" w:rsidP="00504AFA" w:rsidR="00276AF2" w:rsidRPr="004E2B48">
      <w:pPr>
        <w:pStyle w:val="Odlomakpopisa"/>
        <w:numPr>
          <w:ilvl w:val="0"/>
          <w:numId w:val="13"/>
        </w:numPr>
        <w:spacing w:lineRule="auto" w:line="360"/>
      </w:pPr>
      <w:r w:rsidRPr="004E2B48">
        <w:t xml:space="preserve">Operativni troškovi restrukturiranja -  </w:t>
      </w:r>
      <w:r w:rsidR="00BF5B97">
        <w:t>3</w:t>
      </w:r>
      <w:r w:rsidRPr="004E2B48">
        <w:t>0.000 kn</w:t>
      </w:r>
    </w:p>
    <w:p w:rsidRDefault="00E52DD7" w:rsidP="00504AFA" w:rsidR="00E52DD7" w:rsidRPr="004E2B48">
      <w:pPr>
        <w:pStyle w:val="Odlomakpopisa"/>
        <w:numPr>
          <w:ilvl w:val="0"/>
          <w:numId w:val="13"/>
        </w:numPr>
        <w:spacing w:lineRule="auto" w:line="360"/>
      </w:pPr>
      <w:r w:rsidRPr="004E2B48">
        <w:t>Ostali troškovi – 7.000 kn</w:t>
      </w:r>
    </w:p>
    <w:p w:rsidRDefault="00E52DD7" w:rsidP="004E2B48" w:rsidR="00E52DD7" w:rsidRPr="004E2B48">
      <w:pPr>
        <w:spacing w:lineRule="auto" w:line="360"/>
      </w:pPr>
      <w:r w:rsidRPr="004E2B48">
        <w:t>Ukupno očekivani troškovi postupka restruktur</w:t>
      </w:r>
      <w:r w:rsidR="00944571">
        <w:t xml:space="preserve">iranja procijenjuju se na </w:t>
      </w:r>
      <w:r w:rsidR="00BF5B97">
        <w:t>4</w:t>
      </w:r>
      <w:r w:rsidR="00AB2FBF">
        <w:t>7.000,00</w:t>
      </w:r>
      <w:r w:rsidRPr="004E2B48">
        <w:t xml:space="preserve"> kn.</w:t>
      </w:r>
    </w:p>
    <w:bookmarkEnd w:id="37"/>
    <w:bookmarkEnd w:id="38"/>
    <w:bookmarkEnd w:id="39"/>
    <w:p w:rsidRDefault="002908DF" w:rsidP="004E2B48" w:rsidR="002908DF" w:rsidRPr="004E2B48">
      <w:pPr>
        <w:spacing w:lineRule="auto" w:line="360"/>
      </w:pPr>
    </w:p>
    <w:p w:rsidRDefault="00F6033D" w:rsidP="004E2B48" w:rsidR="00F6033D" w:rsidRPr="006C3828">
      <w:pPr>
        <w:tabs>
          <w:tab w:pos="3879" w:val="left"/>
        </w:tabs>
        <w:spacing w:lineRule="auto" w:line="360"/>
        <w:jc w:val="both"/>
      </w:pPr>
      <w:r w:rsidRPr="004E2B48">
        <w:t xml:space="preserve">Plan financijskog i operativnog restrukturiranja </w:t>
      </w:r>
      <w:r w:rsidR="00287442">
        <w:t xml:space="preserve">tvrtke </w:t>
      </w:r>
      <w:r w:rsidR="001D5824">
        <w:t xml:space="preserve">Obrt   </w:t>
      </w:r>
      <w:r w:rsidR="002A4FF6">
        <w:t xml:space="preserve">Juratex underwear </w:t>
      </w:r>
      <w:r w:rsidRPr="004E2B48">
        <w:t xml:space="preserve">za </w:t>
      </w:r>
      <w:r w:rsidR="00BA20DA">
        <w:t xml:space="preserve"> </w:t>
      </w:r>
      <w:r w:rsidRPr="006C3828">
        <w:t>201</w:t>
      </w:r>
      <w:r w:rsidR="006C3828" w:rsidRPr="006C3828">
        <w:t>6</w:t>
      </w:r>
      <w:r w:rsidR="00397EEF" w:rsidRPr="006C3828">
        <w:t>.</w:t>
      </w:r>
      <w:r w:rsidR="00B67158" w:rsidRPr="006C3828">
        <w:t xml:space="preserve"> </w:t>
      </w:r>
      <w:r w:rsidR="00397EEF" w:rsidRPr="006C3828">
        <w:t>-</w:t>
      </w:r>
      <w:r w:rsidR="00B67158" w:rsidRPr="006C3828">
        <w:t xml:space="preserve"> </w:t>
      </w:r>
      <w:r w:rsidR="00397EEF" w:rsidRPr="006C3828">
        <w:t>202</w:t>
      </w:r>
      <w:r w:rsidR="006C3828" w:rsidRPr="006C3828">
        <w:t>1</w:t>
      </w:r>
      <w:r w:rsidRPr="006C3828">
        <w:t xml:space="preserve">. godinu </w:t>
      </w:r>
      <w:r w:rsidR="007A4B98">
        <w:t>usvojio je i odobrio zakonski zastupnik i vlasnik obrta</w:t>
      </w:r>
      <w:r w:rsidR="00E85B21" w:rsidRPr="00E85B21">
        <w:t xml:space="preserve"> </w:t>
      </w:r>
      <w:r w:rsidR="007A4B98" w:rsidRPr="00E85B21">
        <w:t>dana</w:t>
      </w:r>
      <w:r w:rsidR="00E85B21" w:rsidRPr="00E85B21">
        <w:t xml:space="preserve"> </w:t>
      </w:r>
      <w:r w:rsidR="00E073C6">
        <w:t>24</w:t>
      </w:r>
      <w:r w:rsidR="00E85B21" w:rsidRPr="00E85B21">
        <w:t>.</w:t>
      </w:r>
      <w:r w:rsidR="00E073C6">
        <w:t>04</w:t>
      </w:r>
      <w:r w:rsidR="00E85B21" w:rsidRPr="00E85B21">
        <w:t>.201</w:t>
      </w:r>
      <w:r w:rsidR="00E073C6">
        <w:t>7</w:t>
      </w:r>
      <w:r w:rsidR="00E85B21" w:rsidRPr="00E85B21">
        <w:t>.</w:t>
      </w:r>
      <w:r w:rsidR="00E85B21">
        <w:t xml:space="preserve"> godine.</w:t>
      </w:r>
    </w:p>
    <w:p w:rsidRDefault="00F6033D" w:rsidP="004E2B48" w:rsidR="00F6033D" w:rsidRPr="004E2B48">
      <w:pPr>
        <w:tabs>
          <w:tab w:pos="3879" w:val="left"/>
        </w:tabs>
        <w:spacing w:lineRule="auto" w:line="360"/>
      </w:pPr>
    </w:p>
    <w:p w:rsidRDefault="00BA3CFC" w:rsidP="004E2B48" w:rsidR="00BA3CFC" w:rsidRPr="004E2B48">
      <w:pPr>
        <w:tabs>
          <w:tab w:pos="3879" w:val="left"/>
        </w:tabs>
        <w:spacing w:lineRule="auto" w:line="360"/>
      </w:pPr>
    </w:p>
    <w:p w:rsidRDefault="00E85B21" w:rsidP="00E85B21" w:rsidR="00C5073E">
      <w:pPr>
        <w:tabs>
          <w:tab w:pos="3879" w:val="left"/>
        </w:tabs>
        <w:spacing w:lineRule="auto" w:line="360"/>
        <w:ind w:firstLine="339" w:left="4956"/>
        <w:jc w:val="both"/>
        <w:rPr>
          <w:color w:themeColor="text1" w:val="000000"/>
        </w:rPr>
      </w:pPr>
      <w:r w:rsidRPr="00E85B21">
        <w:rPr>
          <w:color w:themeColor="text1" w:val="000000"/>
        </w:rPr>
        <w:t xml:space="preserve">MIRKO VOJNOVIĆ, vlasnik </w:t>
      </w:r>
    </w:p>
    <w:p w:rsidRDefault="00E85B21" w:rsidP="00E85B21" w:rsidR="00F6033D" w:rsidRPr="00E85B21">
      <w:pPr>
        <w:tabs>
          <w:tab w:pos="3879" w:val="left"/>
        </w:tabs>
        <w:spacing w:lineRule="auto" w:line="360"/>
        <w:ind w:firstLine="339" w:left="4956"/>
        <w:jc w:val="both"/>
        <w:rPr>
          <w:rStyle w:val="tabletextfield"/>
          <w:color w:themeColor="text1" w:val="000000"/>
        </w:rPr>
      </w:pPr>
      <w:r w:rsidRPr="00E85B21">
        <w:rPr>
          <w:color w:themeColor="text1" w:val="000000"/>
        </w:rPr>
        <w:t>“</w:t>
      </w:r>
      <w:r w:rsidR="007A4B98" w:rsidRPr="00E85B21">
        <w:rPr>
          <w:color w:themeColor="text1" w:val="000000"/>
        </w:rPr>
        <w:t xml:space="preserve"> </w:t>
      </w:r>
      <w:r w:rsidR="002A4FF6" w:rsidRPr="00E85B21">
        <w:rPr>
          <w:color w:themeColor="text1" w:val="000000"/>
        </w:rPr>
        <w:t>JURATEX UNDERWEAR</w:t>
      </w:r>
      <w:r w:rsidRPr="00E85B21">
        <w:rPr>
          <w:color w:themeColor="text1" w:val="000000"/>
        </w:rPr>
        <w:t>”</w:t>
      </w:r>
    </w:p>
    <w:p w:rsidRDefault="00E97EAB" w:rsidP="004E2B48" w:rsidR="00E97EAB" w:rsidRPr="00E85B21">
      <w:pPr>
        <w:tabs>
          <w:tab w:pos="3879" w:val="left"/>
        </w:tabs>
        <w:spacing w:lineRule="auto" w:line="360"/>
        <w:jc w:val="center"/>
        <w:rPr>
          <w:rStyle w:val="tabletextfield"/>
          <w:color w:themeColor="text1" w:val="000000"/>
        </w:rPr>
      </w:pPr>
    </w:p>
    <w:p w:rsidRDefault="00872829" w:rsidP="004E2B48" w:rsidR="00872829" w:rsidRPr="004E2B48">
      <w:pPr>
        <w:tabs>
          <w:tab w:pos="3879" w:val="left"/>
        </w:tabs>
        <w:spacing w:lineRule="auto" w:line="360"/>
        <w:jc w:val="right"/>
      </w:pPr>
      <w:r w:rsidRPr="004E2B48">
        <w:rPr>
          <w:rStyle w:val="tabletextfield"/>
        </w:rPr>
        <w:t>____________________________</w:t>
      </w:r>
    </w:p>
    <w:p w:rsidRDefault="0072543C" w:rsidP="0072543C" w:rsidR="0072543C">
      <w:pPr>
        <w:tabs>
          <w:tab w:pos="3879" w:val="left"/>
        </w:tabs>
        <w:spacing w:lineRule="auto" w:line="360"/>
        <w:rPr>
          <w:rStyle w:val="tabletextfield"/>
        </w:rPr>
      </w:pPr>
    </w:p>
    <w:p w:rsidRDefault="0008374C" w:rsidP="0072543C" w:rsidR="0008374C">
      <w:pPr>
        <w:tabs>
          <w:tab w:pos="3879" w:val="left"/>
        </w:tabs>
        <w:spacing w:lineRule="auto" w:line="360"/>
        <w:rPr>
          <w:rStyle w:val="tabletextfield"/>
        </w:rPr>
      </w:pPr>
    </w:p>
    <w:p w:rsidRDefault="0008374C" w:rsidP="0072543C" w:rsidR="0008374C">
      <w:pPr>
        <w:tabs>
          <w:tab w:pos="3879" w:val="left"/>
        </w:tabs>
        <w:spacing w:lineRule="auto" w:line="360"/>
        <w:rPr>
          <w:rStyle w:val="tabletextfield"/>
        </w:rPr>
      </w:pPr>
    </w:p>
    <w:p w:rsidRDefault="0008374C" w:rsidP="0072543C" w:rsidR="0008374C">
      <w:pPr>
        <w:tabs>
          <w:tab w:pos="3879" w:val="left"/>
        </w:tabs>
        <w:spacing w:lineRule="auto" w:line="360"/>
        <w:rPr>
          <w:rStyle w:val="tabletextfield"/>
        </w:rPr>
      </w:pPr>
    </w:p>
    <w:p w:rsidRDefault="0008374C" w:rsidP="0072543C" w:rsidR="0008374C">
      <w:pPr>
        <w:tabs>
          <w:tab w:pos="3879" w:val="left"/>
        </w:tabs>
        <w:spacing w:lineRule="auto" w:line="360"/>
        <w:rPr>
          <w:rStyle w:val="tabletextfield"/>
        </w:rPr>
      </w:pPr>
    </w:p>
    <w:p w:rsidRDefault="0008374C" w:rsidP="0072543C" w:rsidR="0008374C">
      <w:pPr>
        <w:tabs>
          <w:tab w:pos="3879" w:val="left"/>
        </w:tabs>
        <w:spacing w:lineRule="auto" w:line="360"/>
        <w:rPr>
          <w:rStyle w:val="tabletextfield"/>
        </w:rPr>
      </w:pPr>
    </w:p>
    <w:p w:rsidRDefault="0008374C" w:rsidP="0072543C" w:rsidR="0008374C">
      <w:pPr>
        <w:tabs>
          <w:tab w:pos="3879" w:val="left"/>
        </w:tabs>
        <w:spacing w:lineRule="auto" w:line="360"/>
        <w:rPr>
          <w:rStyle w:val="tabletextfield"/>
        </w:rPr>
      </w:pPr>
    </w:p>
    <w:p w:rsidRDefault="00054930" w:rsidP="0072543C" w:rsidR="00054930" w:rsidRPr="004E2B48">
      <w:pPr>
        <w:tabs>
          <w:tab w:pos="3879" w:val="left"/>
        </w:tabs>
        <w:spacing w:lineRule="auto" w:line="360"/>
      </w:pPr>
    </w:p>
    <w:sectPr w:rsidSect="00D65B30" w:rsidR="00054930" w:rsidRPr="004E2B48">
      <w:headerReference w:type="default" r:id="rId28"/>
      <w:footerReference w:type="even" r:id="rId29"/>
      <w:footerReference w:type="default" r:id="rId30"/>
      <w:pgSz w:code="9" w:h="16820" w:w="11900"/>
      <w:pgMar w:gutter="0" w:footer="709" w:header="709" w:left="1843" w:bottom="1258" w:right="1133" w:top="1531"/>
      <w:pgNumType w:start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4CE4" w:rsidP="00700EE9" w:rsidR="007C4CE4">
      <w:r>
        <w:separator/>
      </w:r>
    </w:p>
  </w:endnote>
  <w:endnote w:id="0" w:type="continuationSeparator">
    <w:p w:rsidRDefault="007C4CE4" w:rsidP="00700EE9" w:rsidR="007C4C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imes">
    <w:panose1 w:val="02020603050405020304"/>
    <w:charset w:val="00"/>
    <w:family w:val="auto"/>
    <w:pitch w:val="variable"/>
    <w:sig w:csb1="00000000" w:csb0="00000001" w:usb3="00000000" w:usb2="00000000" w:usb1="00000000" w:usb0="00000003"/>
  </w:font>
  <w:font w:name="Helvetica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ngLiU">
    <w:altName w:val="細明體"/>
    <w:panose1 w:val="02020509000000000000"/>
    <w:charset w:val="88"/>
    <w:family w:val="modern"/>
    <w:pitch w:val="fixed"/>
    <w:sig w:csb1="00000000" w:csb0="00100001" w:usb3="00000000" w:usb2="00000016" w:usb1="28CFFCFA" w:usb0="A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2A88" w:rsidP="00BB3BCA" w:rsidR="00012A88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12A88" w:rsidP="00BB3BCA" w:rsidR="00012A88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2A88" w:rsidP="00BB3BCA" w:rsidR="00012A88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0364">
      <w:rPr>
        <w:rStyle w:val="Brojstranice"/>
        <w:noProof/>
      </w:rPr>
      <w:t>54</w:t>
    </w:r>
    <w:r>
      <w:rPr>
        <w:rStyle w:val="Brojstranice"/>
      </w:rPr>
      <w:fldChar w:fldCharType="end"/>
    </w:r>
  </w:p>
  <w:p w:rsidRDefault="00012A88" w:rsidP="00BB3BCA" w:rsidR="00012A88" w:rsidRPr="00121293">
    <w:pPr>
      <w:pStyle w:val="Podnoje"/>
      <w:ind w:right="360"/>
      <w:rPr>
        <w:color w:val="548DD4"/>
      </w:rPr>
    </w:pPr>
    <w:r w:rsidRPr="00121293">
      <w:rPr>
        <w:color w:val="548DD4"/>
      </w:rPr>
      <w:t>Plan operativnog i financijskog restrukturiranja za razdoblje 201</w:t>
    </w:r>
    <w:r>
      <w:rPr>
        <w:color w:val="548DD4"/>
      </w:rPr>
      <w:t>6.-2021</w:t>
    </w:r>
    <w:r w:rsidRPr="00121293">
      <w:rPr>
        <w:color w:val="548DD4"/>
      </w:rPr>
      <w:t>. godine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4CE4" w:rsidP="00700EE9" w:rsidR="007C4CE4">
      <w:r>
        <w:separator/>
      </w:r>
    </w:p>
  </w:footnote>
  <w:footnote w:id="0" w:type="continuationSeparator">
    <w:p w:rsidRDefault="007C4CE4" w:rsidP="00700EE9" w:rsidR="007C4C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2A88" w:rsidP="00F252DC" w:rsidR="00012A88" w:rsidRPr="00F252DC">
    <w:pPr>
      <w:spacing w:after="120"/>
      <w:jc w:val="center"/>
      <w:rPr>
        <w:i/>
        <w:color w:themeTint="99" w:themeColor="text2" w:val="548DD4"/>
        <w:sz w:val="22"/>
        <w:szCs w:val="22"/>
      </w:rPr>
    </w:pPr>
    <w:r>
      <w:rPr>
        <w:i/>
        <w:color w:themeColor="accent1" w:val="4F81BD"/>
        <w:sz w:val="22"/>
        <w:szCs w:val="22"/>
      </w:rPr>
      <w:t xml:space="preserve">Obrt   </w:t>
    </w:r>
    <w:r>
      <w:rPr>
        <w:i/>
        <w:color w:themeTint="99" w:themeColor="text2" w:val="548DD4"/>
        <w:sz w:val="22"/>
        <w:szCs w:val="22"/>
      </w:rPr>
      <w:t xml:space="preserve">JURATEX </w:t>
    </w:r>
    <w:r w:rsidRPr="00F252DC">
      <w:rPr>
        <w:i/>
        <w:color w:themeTint="99" w:themeColor="text2" w:val="548DD4"/>
        <w:sz w:val="22"/>
        <w:szCs w:val="22"/>
      </w:rPr>
      <w:t xml:space="preserve">UNDERWEAR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9B9EA5BA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pStyle w:val="MediumShading11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FFFFFF80"/>
    <w:multiLevelType w:val="singleLevel"/>
    <w:tmpl w:val="702A543E"/>
    <w:lvl w:ilvl="0">
      <w:start w:val="1"/>
      <w:numFmt w:val="bullet"/>
      <w:pStyle w:val="Grafikeoznake5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2">
    <w:nsid w:val="FFFFFF83"/>
    <w:multiLevelType w:val="singleLevel"/>
    <w:tmpl w:val="76F4C98A"/>
    <w:lvl w:ilvl="0">
      <w:start w:val="1"/>
      <w:numFmt w:val="bullet"/>
      <w:pStyle w:val="Grafikeoznake2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3">
    <w:nsid w:val="001C672A"/>
    <w:multiLevelType w:val="hybridMultilevel"/>
    <w:tmpl w:val="2AF415C2"/>
    <w:lvl w:tplc="E262455C" w:ilvl="0">
      <w:start w:val="16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0A727337"/>
    <w:multiLevelType w:val="hybridMultilevel"/>
    <w:tmpl w:val="E8F0DD1C"/>
    <w:lvl w:tplc="A6685ABA" w:ilvl="0">
      <w:start w:val="2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C293812"/>
    <w:multiLevelType w:val="hybridMultilevel"/>
    <w:tmpl w:val="0EFE661A"/>
    <w:lvl w:tplc="04090001" w:ilvl="0">
      <w:start w:val="1"/>
      <w:numFmt w:val="bullet"/>
      <w:lvlText w:val=""/>
      <w:lvlJc w:val="left"/>
      <w:pPr>
        <w:ind w:hanging="360" w:left="107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9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1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3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5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7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9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1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31"/>
      </w:pPr>
      <w:rPr>
        <w:rFonts w:hAnsi="Wingdings" w:ascii="Wingdings" w:hint="default"/>
      </w:rPr>
    </w:lvl>
  </w:abstractNum>
  <w:abstractNum w:abstractNumId="6">
    <w:nsid w:val="0D80251B"/>
    <w:multiLevelType w:val="hybridMultilevel"/>
    <w:tmpl w:val="645A4232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0B222BB"/>
    <w:multiLevelType w:val="hybridMultilevel"/>
    <w:tmpl w:val="4D1223B4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0B93E72"/>
    <w:multiLevelType w:val="hybridMultilevel"/>
    <w:tmpl w:val="B4A6C182"/>
    <w:lvl w:tplc="0409000F" w:ilvl="0">
      <w:start w:val="1"/>
      <w:numFmt w:val="decimal"/>
      <w:lvlText w:val="%1."/>
      <w:lvlJc w:val="left"/>
      <w:pPr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5B91413"/>
    <w:multiLevelType w:val="hybridMultilevel"/>
    <w:tmpl w:val="4EDCDC6A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1A2400CF"/>
    <w:multiLevelType w:val="hybridMultilevel"/>
    <w:tmpl w:val="B4D85ED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1EC350DA"/>
    <w:multiLevelType w:val="hybridMultilevel"/>
    <w:tmpl w:val="B7BA02F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DF310D"/>
    <w:multiLevelType w:val="hybridMultilevel"/>
    <w:tmpl w:val="F36050B6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27693300"/>
    <w:multiLevelType w:val="hybridMultilevel"/>
    <w:tmpl w:val="AD5A09C6"/>
    <w:lvl w:tplc="041A0001" w:ilvl="0">
      <w:start w:val="1"/>
      <w:numFmt w:val="bullet"/>
      <w:lvlText w:val=""/>
      <w:lvlJc w:val="left"/>
      <w:pPr>
        <w:ind w:hanging="360" w:left="106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4">
    <w:nsid w:val="288241C5"/>
    <w:multiLevelType w:val="hybridMultilevel"/>
    <w:tmpl w:val="AC167A66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FBB4A27"/>
    <w:multiLevelType w:val="hybridMultilevel"/>
    <w:tmpl w:val="6D62C592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3077037B"/>
    <w:multiLevelType w:val="hybridMultilevel"/>
    <w:tmpl w:val="2842DA42"/>
    <w:lvl w:tplc="041A0001" w:ilvl="0">
      <w:start w:val="1"/>
      <w:numFmt w:val="bullet"/>
      <w:lvlText w:val=""/>
      <w:lvlJc w:val="left"/>
      <w:pPr>
        <w:ind w:hanging="360" w:left="832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5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7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9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1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3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5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7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92"/>
      </w:pPr>
      <w:rPr>
        <w:rFonts w:hAnsi="Wingdings" w:ascii="Wingdings" w:hint="default"/>
      </w:rPr>
    </w:lvl>
  </w:abstractNum>
  <w:abstractNum w:abstractNumId="17">
    <w:nsid w:val="33F32408"/>
    <w:multiLevelType w:val="hybridMultilevel"/>
    <w:tmpl w:val="1D547CE2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3CDA3938"/>
    <w:multiLevelType w:val="hybridMultilevel"/>
    <w:tmpl w:val="8BFEF942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3E481DC3"/>
    <w:multiLevelType w:val="hybridMultilevel"/>
    <w:tmpl w:val="69C054E8"/>
    <w:lvl w:tplc="041A000F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plc="17EAE4AC" w:ilvl="1">
      <w:start w:val="1"/>
      <w:numFmt w:val="decimal"/>
      <w:lvlText w:val="%2)"/>
      <w:lvlJc w:val="left"/>
      <w:pPr>
        <w:ind w:hanging="360" w:left="1440"/>
      </w:pPr>
      <w:rPr>
        <w:rFonts w:hint="default"/>
        <w:color w:val="FF0000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48E33A1"/>
    <w:multiLevelType w:val="hybridMultilevel"/>
    <w:tmpl w:val="CC5A14BE"/>
    <w:lvl w:tplc="59F0C81E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66B4A45"/>
    <w:multiLevelType w:val="hybridMultilevel"/>
    <w:tmpl w:val="D70C7D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49C138E9"/>
    <w:multiLevelType w:val="hybridMultilevel"/>
    <w:tmpl w:val="DF88E90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4A171DE4"/>
    <w:multiLevelType w:val="hybridMultilevel"/>
    <w:tmpl w:val="D4D8177C"/>
    <w:lvl w:tplc="0409000F" w:ilvl="0">
      <w:start w:val="1"/>
      <w:numFmt w:val="decimal"/>
      <w:lvlText w:val="%1."/>
      <w:lvlJc w:val="left"/>
      <w:pPr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4D2D0B43"/>
    <w:multiLevelType w:val="hybridMultilevel"/>
    <w:tmpl w:val="830865BA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50602CF7"/>
    <w:multiLevelType w:val="hybridMultilevel"/>
    <w:tmpl w:val="7004D8DA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52ED1EBA"/>
    <w:multiLevelType w:val="hybridMultilevel"/>
    <w:tmpl w:val="9620F78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2DC54A9"/>
    <w:multiLevelType w:val="hybridMultilevel"/>
    <w:tmpl w:val="7D64CFA4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41B38D1"/>
    <w:multiLevelType w:val="multilevel"/>
    <w:tmpl w:val="08528594"/>
    <w:lvl w:ilvl="0">
      <w:start w:val="1"/>
      <w:numFmt w:val="decimal"/>
      <w:lvlText w:val="%1."/>
      <w:lvlJc w:val="left"/>
      <w:pPr>
        <w:ind w:hanging="480" w:left="480"/>
      </w:pPr>
      <w:rPr>
        <w:rFonts w:hint="default"/>
      </w:rPr>
    </w:lvl>
    <w:lvl w:ilvl="1">
      <w:start w:val="1"/>
      <w:numFmt w:val="decimal"/>
      <w:pStyle w:val="Naslov2"/>
      <w:lvlText w:val="%1.%2."/>
      <w:lvlJc w:val="left"/>
      <w:pPr>
        <w:ind w:hanging="720" w:left="720"/>
      </w:pPr>
      <w:rPr>
        <w:rFonts w:hint="default"/>
        <w:i w:val="false"/>
        <w:color w:val="548DD4"/>
      </w:rPr>
    </w:lvl>
    <w:lvl w:ilvl="2">
      <w:start w:val="1"/>
      <w:numFmt w:val="decimal"/>
      <w:pStyle w:val="Naslov3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440" w:left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800" w:left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2160" w:left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2160" w:left="2160"/>
      </w:pPr>
      <w:rPr>
        <w:rFonts w:hint="default"/>
      </w:rPr>
    </w:lvl>
  </w:abstractNum>
  <w:abstractNum w:abstractNumId="29">
    <w:nsid w:val="686B2EFD"/>
    <w:multiLevelType w:val="multilevel"/>
    <w:tmpl w:val="15EA08AE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4"/>
      <w:numFmt w:val="decimal"/>
      <w:isLgl/>
      <w:lvlText w:val="%1.%2"/>
      <w:lvlJc w:val="left"/>
      <w:pPr>
        <w:ind w:hanging="600" w:left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hanging="1800" w:left="2160"/>
      </w:pPr>
      <w:rPr>
        <w:rFonts w:hint="default"/>
      </w:rPr>
    </w:lvl>
  </w:abstractNum>
  <w:abstractNum w:abstractNumId="30">
    <w:nsid w:val="6CFB18B6"/>
    <w:multiLevelType w:val="hybridMultilevel"/>
    <w:tmpl w:val="1136C062"/>
    <w:lvl w:tplc="04090001" w:ilvl="0">
      <w:start w:val="1"/>
      <w:numFmt w:val="bullet"/>
      <w:lvlText w:val=""/>
      <w:lvlJc w:val="left"/>
      <w:pPr>
        <w:ind w:hanging="360" w:left="1003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723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443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163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883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03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323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043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763"/>
      </w:pPr>
      <w:rPr>
        <w:rFonts w:hAnsi="Wingdings" w:ascii="Wingdings" w:hint="default"/>
      </w:rPr>
    </w:lvl>
  </w:abstractNum>
  <w:abstractNum w:abstractNumId="31">
    <w:nsid w:val="754813C7"/>
    <w:multiLevelType w:val="hybridMultilevel"/>
    <w:tmpl w:val="C48A6E4C"/>
    <w:lvl w:tplc="041A0001" w:ilvl="0">
      <w:start w:val="1"/>
      <w:numFmt w:val="bullet"/>
      <w:lvlText w:val=""/>
      <w:lvlJc w:val="left"/>
      <w:pPr>
        <w:ind w:hanging="360" w:left="927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2">
    <w:nsid w:val="754F2196"/>
    <w:multiLevelType w:val="hybridMultilevel"/>
    <w:tmpl w:val="4C805A32"/>
    <w:lvl w:tplc="041A0001" w:ilvl="0">
      <w:start w:val="1"/>
      <w:numFmt w:val="bullet"/>
      <w:lvlText w:val=""/>
      <w:lvlJc w:val="left"/>
      <w:pPr>
        <w:ind w:hanging="360" w:left="776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36"/>
      </w:pPr>
      <w:rPr>
        <w:rFonts w:hAnsi="Wingdings" w:ascii="Wingdings" w:hint="default"/>
      </w:rPr>
    </w:lvl>
  </w:abstractNum>
  <w:abstractNum w:abstractNumId="33">
    <w:nsid w:val="7E8B6336"/>
    <w:multiLevelType w:val="multilevel"/>
    <w:tmpl w:val="BC5464AA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0"/>
  </w:num>
  <w:num w:numId="2">
    <w:abstractNumId w:val="28"/>
  </w:num>
  <w:num w:numId="3">
    <w:abstractNumId w:val="18"/>
  </w:num>
  <w:num w:numId="4">
    <w:abstractNumId w:val="2"/>
  </w:num>
  <w:num w:numId="5">
    <w:abstractNumId w:val="1"/>
  </w:num>
  <w:num w:numId="6">
    <w:abstractNumId w:val="12"/>
  </w:num>
  <w:num w:numId="7">
    <w:abstractNumId w:val="10"/>
  </w:num>
  <w:num w:numId="8">
    <w:abstractNumId w:val="5"/>
  </w:num>
  <w:num w:numId="9">
    <w:abstractNumId w:val="31"/>
  </w:num>
  <w:num w:numId="10">
    <w:abstractNumId w:val="30"/>
  </w:num>
  <w:num w:numId="11">
    <w:abstractNumId w:val="7"/>
  </w:num>
  <w:num w:numId="12">
    <w:abstractNumId w:val="15"/>
  </w:num>
  <w:num w:numId="13">
    <w:abstractNumId w:val="27"/>
  </w:num>
  <w:num w:numId="14">
    <w:abstractNumId w:val="19"/>
  </w:num>
  <w:num w:numId="15">
    <w:abstractNumId w:val="9"/>
  </w:num>
  <w:num w:numId="16">
    <w:abstractNumId w:val="25"/>
  </w:num>
  <w:num w:numId="17">
    <w:abstractNumId w:val="6"/>
  </w:num>
  <w:num w:numId="18">
    <w:abstractNumId w:val="13"/>
  </w:num>
  <w:num w:numId="19">
    <w:abstractNumId w:val="33"/>
  </w:num>
  <w:num w:numId="20">
    <w:abstractNumId w:val="3"/>
  </w:num>
  <w:num w:numId="21">
    <w:abstractNumId w:val="16"/>
  </w:num>
  <w:num w:numId="22">
    <w:abstractNumId w:val="28"/>
  </w:num>
  <w:num w:numId="23">
    <w:abstractNumId w:val="24"/>
  </w:num>
  <w:num w:numId="24">
    <w:abstractNumId w:val="20"/>
  </w:num>
  <w:num w:numId="25">
    <w:abstractNumId w:val="22"/>
  </w:num>
  <w:num w:numId="26">
    <w:abstractNumId w:val="21"/>
  </w:num>
  <w:num w:numId="27">
    <w:abstractNumId w:val="26"/>
  </w:num>
  <w:num w:numId="28">
    <w:abstractNumId w:val="32"/>
  </w:num>
  <w:num w:numId="29">
    <w:abstractNumId w:val="4"/>
  </w:num>
  <w:num w:numId="30">
    <w:abstractNumId w:val="11"/>
  </w:num>
  <w:num w:numId="31">
    <w:abstractNumId w:val="29"/>
  </w:num>
  <w:num w:numId="32">
    <w:abstractNumId w:val="8"/>
  </w:num>
  <w:num w:numId="33">
    <w:abstractNumId w:val="23"/>
  </w:num>
  <w:num w:numId="34">
    <w:abstractNumId w:val="14"/>
  </w:num>
  <w:num w:numId="35">
    <w:abstractNumId w:val="17"/>
  </w:num>
  <w:numIdMacAtCleanup w:val="1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removePersonalInformation/>
  <w:removeDateAndTime/>
  <w:hideGrammaticalErrors/>
  <w:activeWritingStyle w:appName="MSWord" w:checkStyle="false" w:nlCheck="true" w:dllVersion="131078" w:vendorID="64" w:lang="fr-FR"/>
  <w:activeWritingStyle w:appName="MSWord" w:checkStyle="true" w:nlCheck="true" w:dllVersion="131078" w:vendorID="64" w:lang="en-GB"/>
  <w:activeWritingStyle w:appName="MSWord" w:checkStyle="true" w:nlCheck="true" w:dllVersion="131078" w:vendorID="64" w:lang="en-US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22BB"/>
    <w:rsid w:val="00000543"/>
    <w:rsid w:val="0000105A"/>
    <w:rsid w:val="000037D4"/>
    <w:rsid w:val="00005057"/>
    <w:rsid w:val="000052E1"/>
    <w:rsid w:val="00005B3A"/>
    <w:rsid w:val="00006A56"/>
    <w:rsid w:val="00006AD9"/>
    <w:rsid w:val="00006F72"/>
    <w:rsid w:val="00010187"/>
    <w:rsid w:val="00011629"/>
    <w:rsid w:val="00011A66"/>
    <w:rsid w:val="00011EEC"/>
    <w:rsid w:val="00012704"/>
    <w:rsid w:val="00012A0A"/>
    <w:rsid w:val="00012A88"/>
    <w:rsid w:val="00012D02"/>
    <w:rsid w:val="00013423"/>
    <w:rsid w:val="0001449C"/>
    <w:rsid w:val="00014668"/>
    <w:rsid w:val="000149EA"/>
    <w:rsid w:val="00014CD4"/>
    <w:rsid w:val="000156B2"/>
    <w:rsid w:val="000164C1"/>
    <w:rsid w:val="00017258"/>
    <w:rsid w:val="00017599"/>
    <w:rsid w:val="00017DB9"/>
    <w:rsid w:val="00020C78"/>
    <w:rsid w:val="00021279"/>
    <w:rsid w:val="000213D5"/>
    <w:rsid w:val="00021405"/>
    <w:rsid w:val="000217D8"/>
    <w:rsid w:val="000228A4"/>
    <w:rsid w:val="00023100"/>
    <w:rsid w:val="0002357A"/>
    <w:rsid w:val="00023594"/>
    <w:rsid w:val="000237C9"/>
    <w:rsid w:val="000239C6"/>
    <w:rsid w:val="00023BAE"/>
    <w:rsid w:val="00023D03"/>
    <w:rsid w:val="00024484"/>
    <w:rsid w:val="0002477C"/>
    <w:rsid w:val="00024931"/>
    <w:rsid w:val="00025310"/>
    <w:rsid w:val="0002597D"/>
    <w:rsid w:val="00025AB9"/>
    <w:rsid w:val="00026500"/>
    <w:rsid w:val="0002697D"/>
    <w:rsid w:val="0002705A"/>
    <w:rsid w:val="00027340"/>
    <w:rsid w:val="00027E36"/>
    <w:rsid w:val="00030057"/>
    <w:rsid w:val="00030F3E"/>
    <w:rsid w:val="00030F43"/>
    <w:rsid w:val="00031300"/>
    <w:rsid w:val="000313CF"/>
    <w:rsid w:val="0003145F"/>
    <w:rsid w:val="00031C24"/>
    <w:rsid w:val="00032507"/>
    <w:rsid w:val="0003261C"/>
    <w:rsid w:val="000332C3"/>
    <w:rsid w:val="00034E59"/>
    <w:rsid w:val="000353FB"/>
    <w:rsid w:val="00035A32"/>
    <w:rsid w:val="00035A80"/>
    <w:rsid w:val="0003636B"/>
    <w:rsid w:val="000365CF"/>
    <w:rsid w:val="0003745C"/>
    <w:rsid w:val="00037AA8"/>
    <w:rsid w:val="00040190"/>
    <w:rsid w:val="000403CC"/>
    <w:rsid w:val="00040FD5"/>
    <w:rsid w:val="00040FEB"/>
    <w:rsid w:val="00041FB6"/>
    <w:rsid w:val="00042BA2"/>
    <w:rsid w:val="000436E9"/>
    <w:rsid w:val="00043FAC"/>
    <w:rsid w:val="00044476"/>
    <w:rsid w:val="00044754"/>
    <w:rsid w:val="00044AB7"/>
    <w:rsid w:val="000458B6"/>
    <w:rsid w:val="000460D9"/>
    <w:rsid w:val="00047166"/>
    <w:rsid w:val="0004719D"/>
    <w:rsid w:val="00047785"/>
    <w:rsid w:val="00047BEE"/>
    <w:rsid w:val="00050533"/>
    <w:rsid w:val="00050793"/>
    <w:rsid w:val="0005168E"/>
    <w:rsid w:val="0005207F"/>
    <w:rsid w:val="00052880"/>
    <w:rsid w:val="00052F27"/>
    <w:rsid w:val="000530CF"/>
    <w:rsid w:val="000533ED"/>
    <w:rsid w:val="0005431C"/>
    <w:rsid w:val="00054576"/>
    <w:rsid w:val="00054930"/>
    <w:rsid w:val="000549D0"/>
    <w:rsid w:val="00055356"/>
    <w:rsid w:val="000556D3"/>
    <w:rsid w:val="00055E48"/>
    <w:rsid w:val="00056579"/>
    <w:rsid w:val="0005743E"/>
    <w:rsid w:val="000574B6"/>
    <w:rsid w:val="00057675"/>
    <w:rsid w:val="00060215"/>
    <w:rsid w:val="0006044F"/>
    <w:rsid w:val="0006187F"/>
    <w:rsid w:val="00061ABE"/>
    <w:rsid w:val="00061C3B"/>
    <w:rsid w:val="00061E2A"/>
    <w:rsid w:val="000622AD"/>
    <w:rsid w:val="000622BE"/>
    <w:rsid w:val="00062887"/>
    <w:rsid w:val="00062B2C"/>
    <w:rsid w:val="00062E4D"/>
    <w:rsid w:val="000633D0"/>
    <w:rsid w:val="00063B81"/>
    <w:rsid w:val="0006442C"/>
    <w:rsid w:val="00064A45"/>
    <w:rsid w:val="00064A55"/>
    <w:rsid w:val="00064FB4"/>
    <w:rsid w:val="000651B7"/>
    <w:rsid w:val="00065340"/>
    <w:rsid w:val="00066E78"/>
    <w:rsid w:val="00067586"/>
    <w:rsid w:val="00067783"/>
    <w:rsid w:val="00067966"/>
    <w:rsid w:val="00067BE1"/>
    <w:rsid w:val="00070083"/>
    <w:rsid w:val="00070903"/>
    <w:rsid w:val="00070E96"/>
    <w:rsid w:val="000720F9"/>
    <w:rsid w:val="0007210A"/>
    <w:rsid w:val="0007372F"/>
    <w:rsid w:val="0007471B"/>
    <w:rsid w:val="0007492C"/>
    <w:rsid w:val="00074DA8"/>
    <w:rsid w:val="0007509D"/>
    <w:rsid w:val="00075841"/>
    <w:rsid w:val="00076CEE"/>
    <w:rsid w:val="00076ED6"/>
    <w:rsid w:val="00077245"/>
    <w:rsid w:val="00077429"/>
    <w:rsid w:val="00081543"/>
    <w:rsid w:val="00081D05"/>
    <w:rsid w:val="00082023"/>
    <w:rsid w:val="000820DE"/>
    <w:rsid w:val="00082A7C"/>
    <w:rsid w:val="0008374C"/>
    <w:rsid w:val="00083AD1"/>
    <w:rsid w:val="00083AE4"/>
    <w:rsid w:val="000841C7"/>
    <w:rsid w:val="0008496D"/>
    <w:rsid w:val="00085658"/>
    <w:rsid w:val="0008657E"/>
    <w:rsid w:val="0008706F"/>
    <w:rsid w:val="000911DA"/>
    <w:rsid w:val="000912C4"/>
    <w:rsid w:val="00091921"/>
    <w:rsid w:val="00092D8F"/>
    <w:rsid w:val="000933BA"/>
    <w:rsid w:val="00093E47"/>
    <w:rsid w:val="0009459F"/>
    <w:rsid w:val="00094CDC"/>
    <w:rsid w:val="00095696"/>
    <w:rsid w:val="000957FB"/>
    <w:rsid w:val="0009604A"/>
    <w:rsid w:val="00096964"/>
    <w:rsid w:val="00096E56"/>
    <w:rsid w:val="00096FAC"/>
    <w:rsid w:val="00097502"/>
    <w:rsid w:val="000A000E"/>
    <w:rsid w:val="000A0C93"/>
    <w:rsid w:val="000A22A1"/>
    <w:rsid w:val="000A22EF"/>
    <w:rsid w:val="000A2DBB"/>
    <w:rsid w:val="000A362C"/>
    <w:rsid w:val="000A3793"/>
    <w:rsid w:val="000A3885"/>
    <w:rsid w:val="000A56FB"/>
    <w:rsid w:val="000A57FB"/>
    <w:rsid w:val="000A6516"/>
    <w:rsid w:val="000A70C4"/>
    <w:rsid w:val="000B0629"/>
    <w:rsid w:val="000B0721"/>
    <w:rsid w:val="000B12FF"/>
    <w:rsid w:val="000B1534"/>
    <w:rsid w:val="000B170F"/>
    <w:rsid w:val="000B2943"/>
    <w:rsid w:val="000B3238"/>
    <w:rsid w:val="000B3729"/>
    <w:rsid w:val="000B3C2E"/>
    <w:rsid w:val="000B4F9E"/>
    <w:rsid w:val="000B5043"/>
    <w:rsid w:val="000B5B33"/>
    <w:rsid w:val="000B5C3C"/>
    <w:rsid w:val="000B60F7"/>
    <w:rsid w:val="000B7077"/>
    <w:rsid w:val="000B7E72"/>
    <w:rsid w:val="000C13DA"/>
    <w:rsid w:val="000C1C1A"/>
    <w:rsid w:val="000C22D0"/>
    <w:rsid w:val="000C2602"/>
    <w:rsid w:val="000C462E"/>
    <w:rsid w:val="000C49C4"/>
    <w:rsid w:val="000C5238"/>
    <w:rsid w:val="000C5AED"/>
    <w:rsid w:val="000C5CB0"/>
    <w:rsid w:val="000C5EAC"/>
    <w:rsid w:val="000C618D"/>
    <w:rsid w:val="000C6B6B"/>
    <w:rsid w:val="000C739B"/>
    <w:rsid w:val="000C7498"/>
    <w:rsid w:val="000D0677"/>
    <w:rsid w:val="000D0AA3"/>
    <w:rsid w:val="000D0F61"/>
    <w:rsid w:val="000D103D"/>
    <w:rsid w:val="000D2021"/>
    <w:rsid w:val="000D22AE"/>
    <w:rsid w:val="000D22E5"/>
    <w:rsid w:val="000D2CF7"/>
    <w:rsid w:val="000D328D"/>
    <w:rsid w:val="000D3340"/>
    <w:rsid w:val="000D36E1"/>
    <w:rsid w:val="000D47B8"/>
    <w:rsid w:val="000D5357"/>
    <w:rsid w:val="000D5564"/>
    <w:rsid w:val="000D5607"/>
    <w:rsid w:val="000D57A0"/>
    <w:rsid w:val="000D5C6E"/>
    <w:rsid w:val="000D651A"/>
    <w:rsid w:val="000D72E4"/>
    <w:rsid w:val="000D7D0E"/>
    <w:rsid w:val="000E00EE"/>
    <w:rsid w:val="000E0A93"/>
    <w:rsid w:val="000E1460"/>
    <w:rsid w:val="000E21E8"/>
    <w:rsid w:val="000E263A"/>
    <w:rsid w:val="000E2AE9"/>
    <w:rsid w:val="000E44FF"/>
    <w:rsid w:val="000E4E35"/>
    <w:rsid w:val="000E4FA7"/>
    <w:rsid w:val="000E5858"/>
    <w:rsid w:val="000E6125"/>
    <w:rsid w:val="000E6AAF"/>
    <w:rsid w:val="000E6D1B"/>
    <w:rsid w:val="000E6EFD"/>
    <w:rsid w:val="000E73A0"/>
    <w:rsid w:val="000F02DE"/>
    <w:rsid w:val="000F06BD"/>
    <w:rsid w:val="000F1115"/>
    <w:rsid w:val="000F175E"/>
    <w:rsid w:val="000F218C"/>
    <w:rsid w:val="000F2286"/>
    <w:rsid w:val="000F27DA"/>
    <w:rsid w:val="000F3180"/>
    <w:rsid w:val="000F390F"/>
    <w:rsid w:val="000F3B03"/>
    <w:rsid w:val="000F3F0D"/>
    <w:rsid w:val="000F3FAF"/>
    <w:rsid w:val="000F4A9C"/>
    <w:rsid w:val="000F4AB4"/>
    <w:rsid w:val="000F4BD3"/>
    <w:rsid w:val="000F54A8"/>
    <w:rsid w:val="000F59CF"/>
    <w:rsid w:val="000F650F"/>
    <w:rsid w:val="000F67EA"/>
    <w:rsid w:val="000F7068"/>
    <w:rsid w:val="000F7197"/>
    <w:rsid w:val="000F7837"/>
    <w:rsid w:val="000F7923"/>
    <w:rsid w:val="000F7C28"/>
    <w:rsid w:val="000F7DD9"/>
    <w:rsid w:val="00100856"/>
    <w:rsid w:val="00100BEC"/>
    <w:rsid w:val="00100F94"/>
    <w:rsid w:val="001019A9"/>
    <w:rsid w:val="00101CB3"/>
    <w:rsid w:val="00102182"/>
    <w:rsid w:val="0010258F"/>
    <w:rsid w:val="00102DA4"/>
    <w:rsid w:val="001030C4"/>
    <w:rsid w:val="0010329F"/>
    <w:rsid w:val="001041B5"/>
    <w:rsid w:val="00104EC9"/>
    <w:rsid w:val="0010614C"/>
    <w:rsid w:val="001066F7"/>
    <w:rsid w:val="001066F9"/>
    <w:rsid w:val="001074D6"/>
    <w:rsid w:val="0010750A"/>
    <w:rsid w:val="00107EC8"/>
    <w:rsid w:val="001104B6"/>
    <w:rsid w:val="00110C34"/>
    <w:rsid w:val="00111A92"/>
    <w:rsid w:val="00111EE0"/>
    <w:rsid w:val="00112BCF"/>
    <w:rsid w:val="00113789"/>
    <w:rsid w:val="001137C0"/>
    <w:rsid w:val="0011511A"/>
    <w:rsid w:val="00116342"/>
    <w:rsid w:val="001169E6"/>
    <w:rsid w:val="00116CA0"/>
    <w:rsid w:val="00120026"/>
    <w:rsid w:val="001201CF"/>
    <w:rsid w:val="00120B3F"/>
    <w:rsid w:val="00120B68"/>
    <w:rsid w:val="00121293"/>
    <w:rsid w:val="001223CB"/>
    <w:rsid w:val="00123076"/>
    <w:rsid w:val="001235F0"/>
    <w:rsid w:val="001242F5"/>
    <w:rsid w:val="00124EE3"/>
    <w:rsid w:val="0012542D"/>
    <w:rsid w:val="001261F1"/>
    <w:rsid w:val="0012765E"/>
    <w:rsid w:val="00127ED5"/>
    <w:rsid w:val="001305DF"/>
    <w:rsid w:val="00130BD2"/>
    <w:rsid w:val="00130F36"/>
    <w:rsid w:val="00131E17"/>
    <w:rsid w:val="00131E8B"/>
    <w:rsid w:val="00131FB7"/>
    <w:rsid w:val="00133C25"/>
    <w:rsid w:val="00134314"/>
    <w:rsid w:val="00134B71"/>
    <w:rsid w:val="00135183"/>
    <w:rsid w:val="001359E2"/>
    <w:rsid w:val="00136086"/>
    <w:rsid w:val="00136DC3"/>
    <w:rsid w:val="0013738A"/>
    <w:rsid w:val="0013790F"/>
    <w:rsid w:val="00140221"/>
    <w:rsid w:val="00140227"/>
    <w:rsid w:val="00140698"/>
    <w:rsid w:val="0014086E"/>
    <w:rsid w:val="00140EC5"/>
    <w:rsid w:val="00141CE0"/>
    <w:rsid w:val="00142131"/>
    <w:rsid w:val="001421EA"/>
    <w:rsid w:val="001424EF"/>
    <w:rsid w:val="0014288B"/>
    <w:rsid w:val="00142CA3"/>
    <w:rsid w:val="00143EC8"/>
    <w:rsid w:val="001446FC"/>
    <w:rsid w:val="0014497C"/>
    <w:rsid w:val="00144B64"/>
    <w:rsid w:val="00144FE2"/>
    <w:rsid w:val="00145318"/>
    <w:rsid w:val="0014542A"/>
    <w:rsid w:val="00145432"/>
    <w:rsid w:val="00145DDD"/>
    <w:rsid w:val="00145FA3"/>
    <w:rsid w:val="001507FD"/>
    <w:rsid w:val="00150E33"/>
    <w:rsid w:val="00151A69"/>
    <w:rsid w:val="00151E31"/>
    <w:rsid w:val="001531AA"/>
    <w:rsid w:val="00155FB8"/>
    <w:rsid w:val="00157D9B"/>
    <w:rsid w:val="00157D9C"/>
    <w:rsid w:val="00160394"/>
    <w:rsid w:val="00160420"/>
    <w:rsid w:val="00160653"/>
    <w:rsid w:val="0016069C"/>
    <w:rsid w:val="00160B7D"/>
    <w:rsid w:val="00160C93"/>
    <w:rsid w:val="00161DAF"/>
    <w:rsid w:val="0016337E"/>
    <w:rsid w:val="001637DD"/>
    <w:rsid w:val="00164209"/>
    <w:rsid w:val="001647D1"/>
    <w:rsid w:val="00164E4D"/>
    <w:rsid w:val="001650BA"/>
    <w:rsid w:val="00165F1D"/>
    <w:rsid w:val="00167546"/>
    <w:rsid w:val="00167788"/>
    <w:rsid w:val="001678F1"/>
    <w:rsid w:val="001704CA"/>
    <w:rsid w:val="00170869"/>
    <w:rsid w:val="00171327"/>
    <w:rsid w:val="00171610"/>
    <w:rsid w:val="001725E2"/>
    <w:rsid w:val="001727C1"/>
    <w:rsid w:val="001743E3"/>
    <w:rsid w:val="0017491D"/>
    <w:rsid w:val="00174D17"/>
    <w:rsid w:val="001771DE"/>
    <w:rsid w:val="00180853"/>
    <w:rsid w:val="00180959"/>
    <w:rsid w:val="001817B4"/>
    <w:rsid w:val="00182898"/>
    <w:rsid w:val="00184190"/>
    <w:rsid w:val="00184B65"/>
    <w:rsid w:val="00185868"/>
    <w:rsid w:val="00186180"/>
    <w:rsid w:val="00186349"/>
    <w:rsid w:val="00186A55"/>
    <w:rsid w:val="00186E76"/>
    <w:rsid w:val="00187113"/>
    <w:rsid w:val="0018748D"/>
    <w:rsid w:val="001875A0"/>
    <w:rsid w:val="00190275"/>
    <w:rsid w:val="00190A39"/>
    <w:rsid w:val="0019162F"/>
    <w:rsid w:val="00191A43"/>
    <w:rsid w:val="00191D28"/>
    <w:rsid w:val="0019237D"/>
    <w:rsid w:val="001928F0"/>
    <w:rsid w:val="00192C6B"/>
    <w:rsid w:val="00192E63"/>
    <w:rsid w:val="00193264"/>
    <w:rsid w:val="001942C1"/>
    <w:rsid w:val="0019448F"/>
    <w:rsid w:val="00194837"/>
    <w:rsid w:val="0019618C"/>
    <w:rsid w:val="001968A9"/>
    <w:rsid w:val="001A0660"/>
    <w:rsid w:val="001A16E3"/>
    <w:rsid w:val="001A174F"/>
    <w:rsid w:val="001A1EBC"/>
    <w:rsid w:val="001A2CC5"/>
    <w:rsid w:val="001A3336"/>
    <w:rsid w:val="001A3B89"/>
    <w:rsid w:val="001A412C"/>
    <w:rsid w:val="001A4419"/>
    <w:rsid w:val="001A4715"/>
    <w:rsid w:val="001A5E06"/>
    <w:rsid w:val="001A6913"/>
    <w:rsid w:val="001A6B9B"/>
    <w:rsid w:val="001A72E2"/>
    <w:rsid w:val="001A7D5B"/>
    <w:rsid w:val="001B08DA"/>
    <w:rsid w:val="001B0A70"/>
    <w:rsid w:val="001B12C7"/>
    <w:rsid w:val="001B12F9"/>
    <w:rsid w:val="001B13AB"/>
    <w:rsid w:val="001B13F7"/>
    <w:rsid w:val="001B13FF"/>
    <w:rsid w:val="001B170F"/>
    <w:rsid w:val="001B3437"/>
    <w:rsid w:val="001B3541"/>
    <w:rsid w:val="001B39CF"/>
    <w:rsid w:val="001B3EED"/>
    <w:rsid w:val="001B3FAC"/>
    <w:rsid w:val="001B4A11"/>
    <w:rsid w:val="001B4B3E"/>
    <w:rsid w:val="001B4C8A"/>
    <w:rsid w:val="001B5691"/>
    <w:rsid w:val="001B6945"/>
    <w:rsid w:val="001B6A8A"/>
    <w:rsid w:val="001B6C62"/>
    <w:rsid w:val="001B706D"/>
    <w:rsid w:val="001B72FB"/>
    <w:rsid w:val="001C0BF7"/>
    <w:rsid w:val="001C0F02"/>
    <w:rsid w:val="001C1068"/>
    <w:rsid w:val="001C17D7"/>
    <w:rsid w:val="001C2276"/>
    <w:rsid w:val="001C2336"/>
    <w:rsid w:val="001C2C7D"/>
    <w:rsid w:val="001C3EC5"/>
    <w:rsid w:val="001C5F90"/>
    <w:rsid w:val="001C5FDB"/>
    <w:rsid w:val="001C723A"/>
    <w:rsid w:val="001C7B40"/>
    <w:rsid w:val="001D14DF"/>
    <w:rsid w:val="001D1FCB"/>
    <w:rsid w:val="001D31EB"/>
    <w:rsid w:val="001D31FA"/>
    <w:rsid w:val="001D3268"/>
    <w:rsid w:val="001D3324"/>
    <w:rsid w:val="001D36D4"/>
    <w:rsid w:val="001D5824"/>
    <w:rsid w:val="001D58AE"/>
    <w:rsid w:val="001D58B3"/>
    <w:rsid w:val="001D5AAB"/>
    <w:rsid w:val="001D613E"/>
    <w:rsid w:val="001D6277"/>
    <w:rsid w:val="001D7572"/>
    <w:rsid w:val="001D7CEB"/>
    <w:rsid w:val="001E028B"/>
    <w:rsid w:val="001E0391"/>
    <w:rsid w:val="001E0C0B"/>
    <w:rsid w:val="001E1425"/>
    <w:rsid w:val="001E1C07"/>
    <w:rsid w:val="001E1D3B"/>
    <w:rsid w:val="001E1FAF"/>
    <w:rsid w:val="001E4326"/>
    <w:rsid w:val="001E4794"/>
    <w:rsid w:val="001E4A1D"/>
    <w:rsid w:val="001E5180"/>
    <w:rsid w:val="001E57F6"/>
    <w:rsid w:val="001E5C5D"/>
    <w:rsid w:val="001E5C83"/>
    <w:rsid w:val="001E6A69"/>
    <w:rsid w:val="001E6BA8"/>
    <w:rsid w:val="001E6C8C"/>
    <w:rsid w:val="001E6E4A"/>
    <w:rsid w:val="001E6F4E"/>
    <w:rsid w:val="001E737E"/>
    <w:rsid w:val="001E7766"/>
    <w:rsid w:val="001E7AD7"/>
    <w:rsid w:val="001F0986"/>
    <w:rsid w:val="001F0A5A"/>
    <w:rsid w:val="001F0CDA"/>
    <w:rsid w:val="001F1575"/>
    <w:rsid w:val="001F191D"/>
    <w:rsid w:val="001F2145"/>
    <w:rsid w:val="001F26E9"/>
    <w:rsid w:val="001F34F4"/>
    <w:rsid w:val="001F4DD0"/>
    <w:rsid w:val="001F5635"/>
    <w:rsid w:val="001F5DEF"/>
    <w:rsid w:val="001F6639"/>
    <w:rsid w:val="001F7961"/>
    <w:rsid w:val="001F797B"/>
    <w:rsid w:val="002006AB"/>
    <w:rsid w:val="00200CFA"/>
    <w:rsid w:val="00201A32"/>
    <w:rsid w:val="00201C2B"/>
    <w:rsid w:val="00202018"/>
    <w:rsid w:val="0020216B"/>
    <w:rsid w:val="002028E6"/>
    <w:rsid w:val="00202C07"/>
    <w:rsid w:val="00202C1C"/>
    <w:rsid w:val="00203863"/>
    <w:rsid w:val="00203C27"/>
    <w:rsid w:val="002041BA"/>
    <w:rsid w:val="002041D3"/>
    <w:rsid w:val="0020462A"/>
    <w:rsid w:val="00205233"/>
    <w:rsid w:val="002060A4"/>
    <w:rsid w:val="00206697"/>
    <w:rsid w:val="00206FAA"/>
    <w:rsid w:val="002072D4"/>
    <w:rsid w:val="00211618"/>
    <w:rsid w:val="0021173E"/>
    <w:rsid w:val="00211CB1"/>
    <w:rsid w:val="00212E01"/>
    <w:rsid w:val="00213CA2"/>
    <w:rsid w:val="00214A9D"/>
    <w:rsid w:val="002151E6"/>
    <w:rsid w:val="00215E4C"/>
    <w:rsid w:val="002164CE"/>
    <w:rsid w:val="00216658"/>
    <w:rsid w:val="002168B4"/>
    <w:rsid w:val="00216D4F"/>
    <w:rsid w:val="00216D90"/>
    <w:rsid w:val="0021779C"/>
    <w:rsid w:val="00217A95"/>
    <w:rsid w:val="00220320"/>
    <w:rsid w:val="00221574"/>
    <w:rsid w:val="002228B4"/>
    <w:rsid w:val="00222E93"/>
    <w:rsid w:val="00223395"/>
    <w:rsid w:val="00223FA9"/>
    <w:rsid w:val="00225B41"/>
    <w:rsid w:val="00225F4F"/>
    <w:rsid w:val="00226B04"/>
    <w:rsid w:val="00226E8D"/>
    <w:rsid w:val="00227346"/>
    <w:rsid w:val="00230B6B"/>
    <w:rsid w:val="00231183"/>
    <w:rsid w:val="00231986"/>
    <w:rsid w:val="00231BFE"/>
    <w:rsid w:val="00231D99"/>
    <w:rsid w:val="00232190"/>
    <w:rsid w:val="0023441F"/>
    <w:rsid w:val="00234642"/>
    <w:rsid w:val="0023486B"/>
    <w:rsid w:val="00235F1E"/>
    <w:rsid w:val="00235F9D"/>
    <w:rsid w:val="00236145"/>
    <w:rsid w:val="00236ED9"/>
    <w:rsid w:val="0023701C"/>
    <w:rsid w:val="002378CB"/>
    <w:rsid w:val="002416EC"/>
    <w:rsid w:val="002417E1"/>
    <w:rsid w:val="002418C6"/>
    <w:rsid w:val="002421F2"/>
    <w:rsid w:val="002431E6"/>
    <w:rsid w:val="00243928"/>
    <w:rsid w:val="00243C33"/>
    <w:rsid w:val="002442F4"/>
    <w:rsid w:val="00244C9B"/>
    <w:rsid w:val="00244D87"/>
    <w:rsid w:val="0024533F"/>
    <w:rsid w:val="002459E3"/>
    <w:rsid w:val="00245AF8"/>
    <w:rsid w:val="00245F2A"/>
    <w:rsid w:val="00246286"/>
    <w:rsid w:val="002462E0"/>
    <w:rsid w:val="002464D7"/>
    <w:rsid w:val="00246B35"/>
    <w:rsid w:val="002478F1"/>
    <w:rsid w:val="00250129"/>
    <w:rsid w:val="00250E1D"/>
    <w:rsid w:val="00250F8D"/>
    <w:rsid w:val="002518BB"/>
    <w:rsid w:val="00251BDA"/>
    <w:rsid w:val="002521E3"/>
    <w:rsid w:val="00252E80"/>
    <w:rsid w:val="00253637"/>
    <w:rsid w:val="00253943"/>
    <w:rsid w:val="0025558D"/>
    <w:rsid w:val="00255768"/>
    <w:rsid w:val="00255D0D"/>
    <w:rsid w:val="00256782"/>
    <w:rsid w:val="00256CFB"/>
    <w:rsid w:val="00257FC3"/>
    <w:rsid w:val="0026019C"/>
    <w:rsid w:val="00261174"/>
    <w:rsid w:val="00261730"/>
    <w:rsid w:val="00261DA6"/>
    <w:rsid w:val="00262C1C"/>
    <w:rsid w:val="0026305D"/>
    <w:rsid w:val="002636B5"/>
    <w:rsid w:val="00264BB3"/>
    <w:rsid w:val="00264D31"/>
    <w:rsid w:val="00264D47"/>
    <w:rsid w:val="00264D9E"/>
    <w:rsid w:val="00264FED"/>
    <w:rsid w:val="002651FE"/>
    <w:rsid w:val="00265249"/>
    <w:rsid w:val="00266012"/>
    <w:rsid w:val="0026638D"/>
    <w:rsid w:val="00266CFF"/>
    <w:rsid w:val="00266E09"/>
    <w:rsid w:val="00266FE7"/>
    <w:rsid w:val="002676A1"/>
    <w:rsid w:val="00267C75"/>
    <w:rsid w:val="002706C9"/>
    <w:rsid w:val="00270EF7"/>
    <w:rsid w:val="0027122E"/>
    <w:rsid w:val="002715F4"/>
    <w:rsid w:val="00272138"/>
    <w:rsid w:val="0027223D"/>
    <w:rsid w:val="0027232E"/>
    <w:rsid w:val="0027265A"/>
    <w:rsid w:val="00272A95"/>
    <w:rsid w:val="00273036"/>
    <w:rsid w:val="002734C4"/>
    <w:rsid w:val="0027383C"/>
    <w:rsid w:val="002743CD"/>
    <w:rsid w:val="002749FA"/>
    <w:rsid w:val="00275226"/>
    <w:rsid w:val="0027525E"/>
    <w:rsid w:val="002754A8"/>
    <w:rsid w:val="00275BBF"/>
    <w:rsid w:val="002763DE"/>
    <w:rsid w:val="0027643E"/>
    <w:rsid w:val="00276AF2"/>
    <w:rsid w:val="00276BFD"/>
    <w:rsid w:val="002771D3"/>
    <w:rsid w:val="002777E6"/>
    <w:rsid w:val="00277C29"/>
    <w:rsid w:val="00277EFB"/>
    <w:rsid w:val="002800FE"/>
    <w:rsid w:val="00280158"/>
    <w:rsid w:val="00280217"/>
    <w:rsid w:val="00280B27"/>
    <w:rsid w:val="00281DC1"/>
    <w:rsid w:val="00282507"/>
    <w:rsid w:val="002834A6"/>
    <w:rsid w:val="00283B08"/>
    <w:rsid w:val="00284663"/>
    <w:rsid w:val="00284A06"/>
    <w:rsid w:val="00284A90"/>
    <w:rsid w:val="00284CE8"/>
    <w:rsid w:val="002867FA"/>
    <w:rsid w:val="002868EE"/>
    <w:rsid w:val="00287387"/>
    <w:rsid w:val="00287442"/>
    <w:rsid w:val="00287C49"/>
    <w:rsid w:val="002907AA"/>
    <w:rsid w:val="002908DF"/>
    <w:rsid w:val="00292BE5"/>
    <w:rsid w:val="00293DCE"/>
    <w:rsid w:val="00293EE8"/>
    <w:rsid w:val="00295A46"/>
    <w:rsid w:val="00295ABF"/>
    <w:rsid w:val="00295DE6"/>
    <w:rsid w:val="00296A10"/>
    <w:rsid w:val="002974EF"/>
    <w:rsid w:val="002A0120"/>
    <w:rsid w:val="002A05E1"/>
    <w:rsid w:val="002A0EFD"/>
    <w:rsid w:val="002A19D2"/>
    <w:rsid w:val="002A2547"/>
    <w:rsid w:val="002A2AEA"/>
    <w:rsid w:val="002A4011"/>
    <w:rsid w:val="002A47FB"/>
    <w:rsid w:val="002A49FF"/>
    <w:rsid w:val="002A4CE2"/>
    <w:rsid w:val="002A4FF6"/>
    <w:rsid w:val="002A5E68"/>
    <w:rsid w:val="002A5F2D"/>
    <w:rsid w:val="002A770C"/>
    <w:rsid w:val="002A7D82"/>
    <w:rsid w:val="002B09FF"/>
    <w:rsid w:val="002B0C7E"/>
    <w:rsid w:val="002B0CE9"/>
    <w:rsid w:val="002B1253"/>
    <w:rsid w:val="002B14EA"/>
    <w:rsid w:val="002B1827"/>
    <w:rsid w:val="002B26CD"/>
    <w:rsid w:val="002B2E3B"/>
    <w:rsid w:val="002B3215"/>
    <w:rsid w:val="002B3259"/>
    <w:rsid w:val="002B3672"/>
    <w:rsid w:val="002B53E8"/>
    <w:rsid w:val="002B5ED6"/>
    <w:rsid w:val="002B5FC0"/>
    <w:rsid w:val="002B6185"/>
    <w:rsid w:val="002B65BC"/>
    <w:rsid w:val="002B6A65"/>
    <w:rsid w:val="002B6EAA"/>
    <w:rsid w:val="002C1109"/>
    <w:rsid w:val="002C11E2"/>
    <w:rsid w:val="002C25E0"/>
    <w:rsid w:val="002C261D"/>
    <w:rsid w:val="002C297C"/>
    <w:rsid w:val="002C460E"/>
    <w:rsid w:val="002C50B9"/>
    <w:rsid w:val="002C6055"/>
    <w:rsid w:val="002C64CE"/>
    <w:rsid w:val="002C65CC"/>
    <w:rsid w:val="002C6846"/>
    <w:rsid w:val="002C70B9"/>
    <w:rsid w:val="002D07BA"/>
    <w:rsid w:val="002D1985"/>
    <w:rsid w:val="002D1CEB"/>
    <w:rsid w:val="002D1D15"/>
    <w:rsid w:val="002D221F"/>
    <w:rsid w:val="002D266A"/>
    <w:rsid w:val="002D29BD"/>
    <w:rsid w:val="002D315C"/>
    <w:rsid w:val="002D337B"/>
    <w:rsid w:val="002D3DFC"/>
    <w:rsid w:val="002D44BA"/>
    <w:rsid w:val="002D49B9"/>
    <w:rsid w:val="002D4C5F"/>
    <w:rsid w:val="002D4EE4"/>
    <w:rsid w:val="002D5CBD"/>
    <w:rsid w:val="002D6BEA"/>
    <w:rsid w:val="002D6D37"/>
    <w:rsid w:val="002D70AF"/>
    <w:rsid w:val="002D7270"/>
    <w:rsid w:val="002E0F48"/>
    <w:rsid w:val="002E121F"/>
    <w:rsid w:val="002E2F8D"/>
    <w:rsid w:val="002E3703"/>
    <w:rsid w:val="002E390D"/>
    <w:rsid w:val="002E39A7"/>
    <w:rsid w:val="002E3AD4"/>
    <w:rsid w:val="002E4081"/>
    <w:rsid w:val="002E43DF"/>
    <w:rsid w:val="002E447C"/>
    <w:rsid w:val="002E47F3"/>
    <w:rsid w:val="002E522E"/>
    <w:rsid w:val="002E54A2"/>
    <w:rsid w:val="002E6BE2"/>
    <w:rsid w:val="002E6D30"/>
    <w:rsid w:val="002E6D8A"/>
    <w:rsid w:val="002E767F"/>
    <w:rsid w:val="002F1C59"/>
    <w:rsid w:val="002F1CC6"/>
    <w:rsid w:val="002F1D53"/>
    <w:rsid w:val="002F2176"/>
    <w:rsid w:val="002F238D"/>
    <w:rsid w:val="002F3033"/>
    <w:rsid w:val="002F310D"/>
    <w:rsid w:val="002F36A8"/>
    <w:rsid w:val="002F40D5"/>
    <w:rsid w:val="002F455B"/>
    <w:rsid w:val="002F4B98"/>
    <w:rsid w:val="002F4BBD"/>
    <w:rsid w:val="002F5AD4"/>
    <w:rsid w:val="002F5CDE"/>
    <w:rsid w:val="002F5D7C"/>
    <w:rsid w:val="002F6A49"/>
    <w:rsid w:val="002F702E"/>
    <w:rsid w:val="002F725B"/>
    <w:rsid w:val="002F7B27"/>
    <w:rsid w:val="002F7F27"/>
    <w:rsid w:val="00300501"/>
    <w:rsid w:val="00300FF5"/>
    <w:rsid w:val="00300FF7"/>
    <w:rsid w:val="003011D0"/>
    <w:rsid w:val="003016C1"/>
    <w:rsid w:val="00301ABC"/>
    <w:rsid w:val="00301D63"/>
    <w:rsid w:val="00301EFC"/>
    <w:rsid w:val="00302450"/>
    <w:rsid w:val="0030283F"/>
    <w:rsid w:val="00303138"/>
    <w:rsid w:val="00304B54"/>
    <w:rsid w:val="00305018"/>
    <w:rsid w:val="00305403"/>
    <w:rsid w:val="00305E08"/>
    <w:rsid w:val="00305FCC"/>
    <w:rsid w:val="003071DD"/>
    <w:rsid w:val="00307215"/>
    <w:rsid w:val="003100DD"/>
    <w:rsid w:val="003105E7"/>
    <w:rsid w:val="00310A7E"/>
    <w:rsid w:val="003132E5"/>
    <w:rsid w:val="00313F2C"/>
    <w:rsid w:val="00314BAE"/>
    <w:rsid w:val="00314F5C"/>
    <w:rsid w:val="00315B75"/>
    <w:rsid w:val="00316657"/>
    <w:rsid w:val="0031693D"/>
    <w:rsid w:val="0031725A"/>
    <w:rsid w:val="0031739D"/>
    <w:rsid w:val="00317460"/>
    <w:rsid w:val="003201AE"/>
    <w:rsid w:val="003203E7"/>
    <w:rsid w:val="00320717"/>
    <w:rsid w:val="003209CE"/>
    <w:rsid w:val="00320E01"/>
    <w:rsid w:val="003211DE"/>
    <w:rsid w:val="003215D6"/>
    <w:rsid w:val="003219FE"/>
    <w:rsid w:val="00321B42"/>
    <w:rsid w:val="00321D6D"/>
    <w:rsid w:val="003230FC"/>
    <w:rsid w:val="00323369"/>
    <w:rsid w:val="0032394B"/>
    <w:rsid w:val="003244DD"/>
    <w:rsid w:val="003249CC"/>
    <w:rsid w:val="003256F3"/>
    <w:rsid w:val="00327AC0"/>
    <w:rsid w:val="00327BDC"/>
    <w:rsid w:val="00327C24"/>
    <w:rsid w:val="00330CBF"/>
    <w:rsid w:val="0033139D"/>
    <w:rsid w:val="00332393"/>
    <w:rsid w:val="003329A0"/>
    <w:rsid w:val="00332FE7"/>
    <w:rsid w:val="00333033"/>
    <w:rsid w:val="00333C01"/>
    <w:rsid w:val="00333EFF"/>
    <w:rsid w:val="00334808"/>
    <w:rsid w:val="00334C72"/>
    <w:rsid w:val="00334E74"/>
    <w:rsid w:val="00334F1E"/>
    <w:rsid w:val="003353A7"/>
    <w:rsid w:val="00335561"/>
    <w:rsid w:val="00335B3D"/>
    <w:rsid w:val="00336301"/>
    <w:rsid w:val="00336BF5"/>
    <w:rsid w:val="00336EC3"/>
    <w:rsid w:val="003378A5"/>
    <w:rsid w:val="00337EC2"/>
    <w:rsid w:val="0034092E"/>
    <w:rsid w:val="0034096F"/>
    <w:rsid w:val="00341AD7"/>
    <w:rsid w:val="003420B3"/>
    <w:rsid w:val="003428A9"/>
    <w:rsid w:val="0034297F"/>
    <w:rsid w:val="00342B1E"/>
    <w:rsid w:val="0034326F"/>
    <w:rsid w:val="0034402D"/>
    <w:rsid w:val="00344E3A"/>
    <w:rsid w:val="00345480"/>
    <w:rsid w:val="0034556F"/>
    <w:rsid w:val="0034585A"/>
    <w:rsid w:val="00346427"/>
    <w:rsid w:val="00346799"/>
    <w:rsid w:val="00350723"/>
    <w:rsid w:val="0035085D"/>
    <w:rsid w:val="0035192C"/>
    <w:rsid w:val="0035405F"/>
    <w:rsid w:val="00354279"/>
    <w:rsid w:val="0035579F"/>
    <w:rsid w:val="00356344"/>
    <w:rsid w:val="00356B51"/>
    <w:rsid w:val="00356E3F"/>
    <w:rsid w:val="00357182"/>
    <w:rsid w:val="003576ED"/>
    <w:rsid w:val="00357C12"/>
    <w:rsid w:val="00357F91"/>
    <w:rsid w:val="003617DD"/>
    <w:rsid w:val="0036315C"/>
    <w:rsid w:val="00363704"/>
    <w:rsid w:val="00363ED8"/>
    <w:rsid w:val="003642EF"/>
    <w:rsid w:val="003645BE"/>
    <w:rsid w:val="00364AC5"/>
    <w:rsid w:val="0036527D"/>
    <w:rsid w:val="00365BDE"/>
    <w:rsid w:val="00365E35"/>
    <w:rsid w:val="0036705F"/>
    <w:rsid w:val="00367374"/>
    <w:rsid w:val="00367BEC"/>
    <w:rsid w:val="003701C9"/>
    <w:rsid w:val="003705FC"/>
    <w:rsid w:val="0037113D"/>
    <w:rsid w:val="00371876"/>
    <w:rsid w:val="00371A7D"/>
    <w:rsid w:val="00371B20"/>
    <w:rsid w:val="00371D17"/>
    <w:rsid w:val="003721A0"/>
    <w:rsid w:val="00372B29"/>
    <w:rsid w:val="003730A7"/>
    <w:rsid w:val="00373485"/>
    <w:rsid w:val="003740A5"/>
    <w:rsid w:val="00374441"/>
    <w:rsid w:val="00374964"/>
    <w:rsid w:val="0037508A"/>
    <w:rsid w:val="003753C6"/>
    <w:rsid w:val="00375443"/>
    <w:rsid w:val="00375664"/>
    <w:rsid w:val="00375EC2"/>
    <w:rsid w:val="00375EFA"/>
    <w:rsid w:val="00376162"/>
    <w:rsid w:val="00376DB3"/>
    <w:rsid w:val="003770D2"/>
    <w:rsid w:val="0037795C"/>
    <w:rsid w:val="00377D92"/>
    <w:rsid w:val="00380121"/>
    <w:rsid w:val="00381A6D"/>
    <w:rsid w:val="00382FA0"/>
    <w:rsid w:val="00383357"/>
    <w:rsid w:val="00383521"/>
    <w:rsid w:val="00383938"/>
    <w:rsid w:val="003844AE"/>
    <w:rsid w:val="00384BD5"/>
    <w:rsid w:val="00384CD6"/>
    <w:rsid w:val="00390332"/>
    <w:rsid w:val="003903D1"/>
    <w:rsid w:val="0039051A"/>
    <w:rsid w:val="003908CC"/>
    <w:rsid w:val="00390AA7"/>
    <w:rsid w:val="00390B06"/>
    <w:rsid w:val="00392000"/>
    <w:rsid w:val="00394E20"/>
    <w:rsid w:val="00395576"/>
    <w:rsid w:val="00395A7C"/>
    <w:rsid w:val="003966B5"/>
    <w:rsid w:val="00396D7C"/>
    <w:rsid w:val="00397123"/>
    <w:rsid w:val="00397EEF"/>
    <w:rsid w:val="003A00F3"/>
    <w:rsid w:val="003A07A0"/>
    <w:rsid w:val="003A0874"/>
    <w:rsid w:val="003A087B"/>
    <w:rsid w:val="003A166C"/>
    <w:rsid w:val="003A1AFF"/>
    <w:rsid w:val="003A248C"/>
    <w:rsid w:val="003A2630"/>
    <w:rsid w:val="003A2799"/>
    <w:rsid w:val="003A2870"/>
    <w:rsid w:val="003A2924"/>
    <w:rsid w:val="003A309C"/>
    <w:rsid w:val="003A310F"/>
    <w:rsid w:val="003A316A"/>
    <w:rsid w:val="003A3E08"/>
    <w:rsid w:val="003A401F"/>
    <w:rsid w:val="003A41DB"/>
    <w:rsid w:val="003A4981"/>
    <w:rsid w:val="003A52DF"/>
    <w:rsid w:val="003A567A"/>
    <w:rsid w:val="003A6472"/>
    <w:rsid w:val="003A66F5"/>
    <w:rsid w:val="003A7D99"/>
    <w:rsid w:val="003B05C6"/>
    <w:rsid w:val="003B1DD7"/>
    <w:rsid w:val="003B1FA4"/>
    <w:rsid w:val="003B2183"/>
    <w:rsid w:val="003B2DDC"/>
    <w:rsid w:val="003B3BFA"/>
    <w:rsid w:val="003B3C85"/>
    <w:rsid w:val="003B3D99"/>
    <w:rsid w:val="003B3E53"/>
    <w:rsid w:val="003B4190"/>
    <w:rsid w:val="003B438B"/>
    <w:rsid w:val="003B4761"/>
    <w:rsid w:val="003B4913"/>
    <w:rsid w:val="003B4946"/>
    <w:rsid w:val="003B497B"/>
    <w:rsid w:val="003B4A93"/>
    <w:rsid w:val="003B4FAB"/>
    <w:rsid w:val="003B5393"/>
    <w:rsid w:val="003B5B76"/>
    <w:rsid w:val="003B7A6B"/>
    <w:rsid w:val="003B7BED"/>
    <w:rsid w:val="003C01BB"/>
    <w:rsid w:val="003C070C"/>
    <w:rsid w:val="003C07BA"/>
    <w:rsid w:val="003C07DD"/>
    <w:rsid w:val="003C1B75"/>
    <w:rsid w:val="003C1CF0"/>
    <w:rsid w:val="003C3280"/>
    <w:rsid w:val="003C32D0"/>
    <w:rsid w:val="003C37AA"/>
    <w:rsid w:val="003C3E54"/>
    <w:rsid w:val="003C3EE6"/>
    <w:rsid w:val="003C43AA"/>
    <w:rsid w:val="003C4925"/>
    <w:rsid w:val="003C4FA7"/>
    <w:rsid w:val="003C5D79"/>
    <w:rsid w:val="003C65D2"/>
    <w:rsid w:val="003C6943"/>
    <w:rsid w:val="003C7B47"/>
    <w:rsid w:val="003D0036"/>
    <w:rsid w:val="003D10AA"/>
    <w:rsid w:val="003D151B"/>
    <w:rsid w:val="003D1F44"/>
    <w:rsid w:val="003D206E"/>
    <w:rsid w:val="003D231E"/>
    <w:rsid w:val="003D319C"/>
    <w:rsid w:val="003D322C"/>
    <w:rsid w:val="003D331E"/>
    <w:rsid w:val="003D339B"/>
    <w:rsid w:val="003D3A2C"/>
    <w:rsid w:val="003D3F07"/>
    <w:rsid w:val="003D3F94"/>
    <w:rsid w:val="003D4062"/>
    <w:rsid w:val="003D406D"/>
    <w:rsid w:val="003D4169"/>
    <w:rsid w:val="003D48E6"/>
    <w:rsid w:val="003D4A88"/>
    <w:rsid w:val="003D54BF"/>
    <w:rsid w:val="003D573E"/>
    <w:rsid w:val="003D581C"/>
    <w:rsid w:val="003D59BE"/>
    <w:rsid w:val="003E0400"/>
    <w:rsid w:val="003E0B08"/>
    <w:rsid w:val="003E108D"/>
    <w:rsid w:val="003E125F"/>
    <w:rsid w:val="003E148B"/>
    <w:rsid w:val="003E1EFE"/>
    <w:rsid w:val="003E2CBC"/>
    <w:rsid w:val="003E3544"/>
    <w:rsid w:val="003E3A00"/>
    <w:rsid w:val="003E3A54"/>
    <w:rsid w:val="003E3EC0"/>
    <w:rsid w:val="003E5088"/>
    <w:rsid w:val="003E5382"/>
    <w:rsid w:val="003E53D3"/>
    <w:rsid w:val="003E5669"/>
    <w:rsid w:val="003E56D1"/>
    <w:rsid w:val="003E59E5"/>
    <w:rsid w:val="003E6941"/>
    <w:rsid w:val="003E6DE1"/>
    <w:rsid w:val="003E77AF"/>
    <w:rsid w:val="003E77F6"/>
    <w:rsid w:val="003E7CB0"/>
    <w:rsid w:val="003F0E67"/>
    <w:rsid w:val="003F0E78"/>
    <w:rsid w:val="003F2A60"/>
    <w:rsid w:val="003F5846"/>
    <w:rsid w:val="003F5A65"/>
    <w:rsid w:val="003F6B56"/>
    <w:rsid w:val="003F7285"/>
    <w:rsid w:val="003F72D0"/>
    <w:rsid w:val="003F76A0"/>
    <w:rsid w:val="003F77B8"/>
    <w:rsid w:val="003F7BA1"/>
    <w:rsid w:val="004001B3"/>
    <w:rsid w:val="0040194A"/>
    <w:rsid w:val="00401D60"/>
    <w:rsid w:val="00402132"/>
    <w:rsid w:val="00402D18"/>
    <w:rsid w:val="00402E07"/>
    <w:rsid w:val="0040445E"/>
    <w:rsid w:val="0040446D"/>
    <w:rsid w:val="00405790"/>
    <w:rsid w:val="00405FB8"/>
    <w:rsid w:val="004062DF"/>
    <w:rsid w:val="00406A07"/>
    <w:rsid w:val="00406FF0"/>
    <w:rsid w:val="004070AB"/>
    <w:rsid w:val="004074C5"/>
    <w:rsid w:val="00407C5D"/>
    <w:rsid w:val="00407F28"/>
    <w:rsid w:val="0041020C"/>
    <w:rsid w:val="00410C07"/>
    <w:rsid w:val="00410C62"/>
    <w:rsid w:val="004113D3"/>
    <w:rsid w:val="00411DA4"/>
    <w:rsid w:val="004120CF"/>
    <w:rsid w:val="004135E1"/>
    <w:rsid w:val="00413897"/>
    <w:rsid w:val="00414480"/>
    <w:rsid w:val="004146D8"/>
    <w:rsid w:val="0041480B"/>
    <w:rsid w:val="004148A1"/>
    <w:rsid w:val="00414A18"/>
    <w:rsid w:val="0041524D"/>
    <w:rsid w:val="004153F9"/>
    <w:rsid w:val="00415893"/>
    <w:rsid w:val="00415A02"/>
    <w:rsid w:val="00415B35"/>
    <w:rsid w:val="00415C6F"/>
    <w:rsid w:val="004171F0"/>
    <w:rsid w:val="004175C4"/>
    <w:rsid w:val="004176CA"/>
    <w:rsid w:val="004209D1"/>
    <w:rsid w:val="004216FF"/>
    <w:rsid w:val="0042194A"/>
    <w:rsid w:val="004220FC"/>
    <w:rsid w:val="00422932"/>
    <w:rsid w:val="00422BD9"/>
    <w:rsid w:val="0042370E"/>
    <w:rsid w:val="00423775"/>
    <w:rsid w:val="004239FF"/>
    <w:rsid w:val="00424044"/>
    <w:rsid w:val="00425709"/>
    <w:rsid w:val="00425CB0"/>
    <w:rsid w:val="00425E53"/>
    <w:rsid w:val="00426111"/>
    <w:rsid w:val="00426FD7"/>
    <w:rsid w:val="004277D3"/>
    <w:rsid w:val="00427959"/>
    <w:rsid w:val="00430442"/>
    <w:rsid w:val="00430FC7"/>
    <w:rsid w:val="004311D3"/>
    <w:rsid w:val="00431209"/>
    <w:rsid w:val="0043163A"/>
    <w:rsid w:val="00431962"/>
    <w:rsid w:val="00431B60"/>
    <w:rsid w:val="00431B92"/>
    <w:rsid w:val="00431F50"/>
    <w:rsid w:val="00432EFF"/>
    <w:rsid w:val="004333EE"/>
    <w:rsid w:val="00433622"/>
    <w:rsid w:val="00433AC1"/>
    <w:rsid w:val="00433DE5"/>
    <w:rsid w:val="004342E5"/>
    <w:rsid w:val="004343AC"/>
    <w:rsid w:val="00434A55"/>
    <w:rsid w:val="00435025"/>
    <w:rsid w:val="0043523B"/>
    <w:rsid w:val="0043541F"/>
    <w:rsid w:val="00435580"/>
    <w:rsid w:val="00435D17"/>
    <w:rsid w:val="00436ABD"/>
    <w:rsid w:val="004370D6"/>
    <w:rsid w:val="00437498"/>
    <w:rsid w:val="00437665"/>
    <w:rsid w:val="004376B7"/>
    <w:rsid w:val="004377C2"/>
    <w:rsid w:val="004379C9"/>
    <w:rsid w:val="00437DDF"/>
    <w:rsid w:val="00437FFC"/>
    <w:rsid w:val="00440199"/>
    <w:rsid w:val="004407C5"/>
    <w:rsid w:val="004409FE"/>
    <w:rsid w:val="00440D61"/>
    <w:rsid w:val="004411EF"/>
    <w:rsid w:val="0044123D"/>
    <w:rsid w:val="0044137E"/>
    <w:rsid w:val="00442071"/>
    <w:rsid w:val="0044336E"/>
    <w:rsid w:val="004443A1"/>
    <w:rsid w:val="00444AC1"/>
    <w:rsid w:val="00444F58"/>
    <w:rsid w:val="00445574"/>
    <w:rsid w:val="00445B76"/>
    <w:rsid w:val="0044636C"/>
    <w:rsid w:val="0044644E"/>
    <w:rsid w:val="004467F2"/>
    <w:rsid w:val="00447787"/>
    <w:rsid w:val="0044792B"/>
    <w:rsid w:val="00447DDA"/>
    <w:rsid w:val="004502D0"/>
    <w:rsid w:val="004504BE"/>
    <w:rsid w:val="004512BB"/>
    <w:rsid w:val="00451448"/>
    <w:rsid w:val="004515CB"/>
    <w:rsid w:val="00452230"/>
    <w:rsid w:val="004530CB"/>
    <w:rsid w:val="004531E8"/>
    <w:rsid w:val="0045365D"/>
    <w:rsid w:val="00453F96"/>
    <w:rsid w:val="004543CF"/>
    <w:rsid w:val="00454A00"/>
    <w:rsid w:val="00454BBA"/>
    <w:rsid w:val="004550D6"/>
    <w:rsid w:val="00455C07"/>
    <w:rsid w:val="0046058B"/>
    <w:rsid w:val="00461475"/>
    <w:rsid w:val="004620B4"/>
    <w:rsid w:val="00462709"/>
    <w:rsid w:val="00462769"/>
    <w:rsid w:val="00462A03"/>
    <w:rsid w:val="0046328E"/>
    <w:rsid w:val="00463DFC"/>
    <w:rsid w:val="00463FFB"/>
    <w:rsid w:val="00464AF9"/>
    <w:rsid w:val="00464BAE"/>
    <w:rsid w:val="00464F24"/>
    <w:rsid w:val="004657D0"/>
    <w:rsid w:val="00465D1E"/>
    <w:rsid w:val="0046614E"/>
    <w:rsid w:val="004670D1"/>
    <w:rsid w:val="00467125"/>
    <w:rsid w:val="004674C5"/>
    <w:rsid w:val="00467862"/>
    <w:rsid w:val="00467896"/>
    <w:rsid w:val="0046790F"/>
    <w:rsid w:val="004679E8"/>
    <w:rsid w:val="00471324"/>
    <w:rsid w:val="004717F9"/>
    <w:rsid w:val="00471F00"/>
    <w:rsid w:val="004722AD"/>
    <w:rsid w:val="00472663"/>
    <w:rsid w:val="004726A2"/>
    <w:rsid w:val="004726DA"/>
    <w:rsid w:val="0047270C"/>
    <w:rsid w:val="004727F0"/>
    <w:rsid w:val="0047293E"/>
    <w:rsid w:val="00473F66"/>
    <w:rsid w:val="004748EE"/>
    <w:rsid w:val="00475D73"/>
    <w:rsid w:val="00476E3B"/>
    <w:rsid w:val="00477740"/>
    <w:rsid w:val="00477773"/>
    <w:rsid w:val="004803CA"/>
    <w:rsid w:val="00480552"/>
    <w:rsid w:val="00480D3E"/>
    <w:rsid w:val="00481059"/>
    <w:rsid w:val="0048166B"/>
    <w:rsid w:val="00482CD8"/>
    <w:rsid w:val="00482EB6"/>
    <w:rsid w:val="00482EEA"/>
    <w:rsid w:val="00483093"/>
    <w:rsid w:val="0048317D"/>
    <w:rsid w:val="00483326"/>
    <w:rsid w:val="004836A5"/>
    <w:rsid w:val="00483C1F"/>
    <w:rsid w:val="00483D1E"/>
    <w:rsid w:val="004842EE"/>
    <w:rsid w:val="00484A5A"/>
    <w:rsid w:val="0048578E"/>
    <w:rsid w:val="00485A55"/>
    <w:rsid w:val="004860FE"/>
    <w:rsid w:val="004861B9"/>
    <w:rsid w:val="00486805"/>
    <w:rsid w:val="00487088"/>
    <w:rsid w:val="004873FE"/>
    <w:rsid w:val="00490186"/>
    <w:rsid w:val="00490247"/>
    <w:rsid w:val="00490254"/>
    <w:rsid w:val="00490377"/>
    <w:rsid w:val="0049066A"/>
    <w:rsid w:val="004914E5"/>
    <w:rsid w:val="0049157F"/>
    <w:rsid w:val="004915AE"/>
    <w:rsid w:val="00492612"/>
    <w:rsid w:val="004930C0"/>
    <w:rsid w:val="0049316B"/>
    <w:rsid w:val="00494748"/>
    <w:rsid w:val="004947E7"/>
    <w:rsid w:val="00494B64"/>
    <w:rsid w:val="00495FC3"/>
    <w:rsid w:val="0049628E"/>
    <w:rsid w:val="004963CC"/>
    <w:rsid w:val="004963D0"/>
    <w:rsid w:val="00496B7F"/>
    <w:rsid w:val="004979F3"/>
    <w:rsid w:val="004A102D"/>
    <w:rsid w:val="004A195D"/>
    <w:rsid w:val="004A1C18"/>
    <w:rsid w:val="004A3198"/>
    <w:rsid w:val="004A37F4"/>
    <w:rsid w:val="004A3A53"/>
    <w:rsid w:val="004A46AD"/>
    <w:rsid w:val="004A48B9"/>
    <w:rsid w:val="004A4BD3"/>
    <w:rsid w:val="004A4C37"/>
    <w:rsid w:val="004A70A7"/>
    <w:rsid w:val="004A7104"/>
    <w:rsid w:val="004A7268"/>
    <w:rsid w:val="004A7E43"/>
    <w:rsid w:val="004B0C1A"/>
    <w:rsid w:val="004B0FA9"/>
    <w:rsid w:val="004B16A6"/>
    <w:rsid w:val="004B178F"/>
    <w:rsid w:val="004B21B7"/>
    <w:rsid w:val="004B46F4"/>
    <w:rsid w:val="004B48F9"/>
    <w:rsid w:val="004B5172"/>
    <w:rsid w:val="004B5189"/>
    <w:rsid w:val="004B5507"/>
    <w:rsid w:val="004B615B"/>
    <w:rsid w:val="004B6318"/>
    <w:rsid w:val="004B67D9"/>
    <w:rsid w:val="004B6E0C"/>
    <w:rsid w:val="004B719E"/>
    <w:rsid w:val="004B71BC"/>
    <w:rsid w:val="004B7509"/>
    <w:rsid w:val="004C00BA"/>
    <w:rsid w:val="004C069C"/>
    <w:rsid w:val="004C10D2"/>
    <w:rsid w:val="004C1474"/>
    <w:rsid w:val="004C1A33"/>
    <w:rsid w:val="004C27A8"/>
    <w:rsid w:val="004C2835"/>
    <w:rsid w:val="004C2859"/>
    <w:rsid w:val="004C2873"/>
    <w:rsid w:val="004C28AF"/>
    <w:rsid w:val="004C2CF7"/>
    <w:rsid w:val="004C2FC3"/>
    <w:rsid w:val="004C43B9"/>
    <w:rsid w:val="004C46DF"/>
    <w:rsid w:val="004C4A38"/>
    <w:rsid w:val="004C4D0C"/>
    <w:rsid w:val="004C50CC"/>
    <w:rsid w:val="004C5D2E"/>
    <w:rsid w:val="004C6A10"/>
    <w:rsid w:val="004C6C58"/>
    <w:rsid w:val="004C6E82"/>
    <w:rsid w:val="004C717B"/>
    <w:rsid w:val="004C79BD"/>
    <w:rsid w:val="004C7EC6"/>
    <w:rsid w:val="004D0575"/>
    <w:rsid w:val="004D0BCA"/>
    <w:rsid w:val="004D10BB"/>
    <w:rsid w:val="004D2170"/>
    <w:rsid w:val="004D277C"/>
    <w:rsid w:val="004D2C3E"/>
    <w:rsid w:val="004D2CCF"/>
    <w:rsid w:val="004D307D"/>
    <w:rsid w:val="004D30CB"/>
    <w:rsid w:val="004D359E"/>
    <w:rsid w:val="004D4A3A"/>
    <w:rsid w:val="004D5761"/>
    <w:rsid w:val="004D5A5B"/>
    <w:rsid w:val="004D6259"/>
    <w:rsid w:val="004D723B"/>
    <w:rsid w:val="004D747A"/>
    <w:rsid w:val="004D7A2D"/>
    <w:rsid w:val="004E0773"/>
    <w:rsid w:val="004E0846"/>
    <w:rsid w:val="004E0E38"/>
    <w:rsid w:val="004E10D3"/>
    <w:rsid w:val="004E14C1"/>
    <w:rsid w:val="004E2659"/>
    <w:rsid w:val="004E2718"/>
    <w:rsid w:val="004E2B48"/>
    <w:rsid w:val="004E32C0"/>
    <w:rsid w:val="004E544A"/>
    <w:rsid w:val="004E5C39"/>
    <w:rsid w:val="004E6180"/>
    <w:rsid w:val="004E61DA"/>
    <w:rsid w:val="004E6A3D"/>
    <w:rsid w:val="004E7488"/>
    <w:rsid w:val="004E7E5D"/>
    <w:rsid w:val="004F1144"/>
    <w:rsid w:val="004F1D59"/>
    <w:rsid w:val="004F37F9"/>
    <w:rsid w:val="004F388C"/>
    <w:rsid w:val="004F39B7"/>
    <w:rsid w:val="004F3CFF"/>
    <w:rsid w:val="004F4E29"/>
    <w:rsid w:val="004F4FA3"/>
    <w:rsid w:val="004F5590"/>
    <w:rsid w:val="004F5AC5"/>
    <w:rsid w:val="004F5FF0"/>
    <w:rsid w:val="004F671D"/>
    <w:rsid w:val="004F6E75"/>
    <w:rsid w:val="004F6FF7"/>
    <w:rsid w:val="004F72D0"/>
    <w:rsid w:val="004F73AC"/>
    <w:rsid w:val="00500643"/>
    <w:rsid w:val="005014EB"/>
    <w:rsid w:val="00502538"/>
    <w:rsid w:val="005035FF"/>
    <w:rsid w:val="00503D59"/>
    <w:rsid w:val="00503FE1"/>
    <w:rsid w:val="0050490F"/>
    <w:rsid w:val="00504A74"/>
    <w:rsid w:val="00504AFA"/>
    <w:rsid w:val="00504FC9"/>
    <w:rsid w:val="00505448"/>
    <w:rsid w:val="005059AC"/>
    <w:rsid w:val="00505FCC"/>
    <w:rsid w:val="005067E9"/>
    <w:rsid w:val="00506A79"/>
    <w:rsid w:val="00506B0C"/>
    <w:rsid w:val="00506D87"/>
    <w:rsid w:val="00507FD1"/>
    <w:rsid w:val="00510BC4"/>
    <w:rsid w:val="00510EAD"/>
    <w:rsid w:val="00513780"/>
    <w:rsid w:val="00513B3D"/>
    <w:rsid w:val="00513D6C"/>
    <w:rsid w:val="00514121"/>
    <w:rsid w:val="00514A66"/>
    <w:rsid w:val="00514DC5"/>
    <w:rsid w:val="0051508E"/>
    <w:rsid w:val="00515A97"/>
    <w:rsid w:val="00516191"/>
    <w:rsid w:val="00516218"/>
    <w:rsid w:val="00516485"/>
    <w:rsid w:val="00517058"/>
    <w:rsid w:val="00517907"/>
    <w:rsid w:val="0052030B"/>
    <w:rsid w:val="005210F8"/>
    <w:rsid w:val="0052149F"/>
    <w:rsid w:val="00521947"/>
    <w:rsid w:val="00522300"/>
    <w:rsid w:val="00522303"/>
    <w:rsid w:val="00522E9E"/>
    <w:rsid w:val="00522F4A"/>
    <w:rsid w:val="0052301F"/>
    <w:rsid w:val="0052383B"/>
    <w:rsid w:val="00523F89"/>
    <w:rsid w:val="00523FEC"/>
    <w:rsid w:val="005248A3"/>
    <w:rsid w:val="00526196"/>
    <w:rsid w:val="0052619A"/>
    <w:rsid w:val="005265AD"/>
    <w:rsid w:val="005272E1"/>
    <w:rsid w:val="00527409"/>
    <w:rsid w:val="00527525"/>
    <w:rsid w:val="00527765"/>
    <w:rsid w:val="005279C5"/>
    <w:rsid w:val="005301ED"/>
    <w:rsid w:val="005302F9"/>
    <w:rsid w:val="005303C1"/>
    <w:rsid w:val="00530F89"/>
    <w:rsid w:val="00531AFD"/>
    <w:rsid w:val="00531CC5"/>
    <w:rsid w:val="005321EB"/>
    <w:rsid w:val="00532574"/>
    <w:rsid w:val="00533033"/>
    <w:rsid w:val="0053334A"/>
    <w:rsid w:val="00533878"/>
    <w:rsid w:val="00533BA1"/>
    <w:rsid w:val="00535634"/>
    <w:rsid w:val="005358E8"/>
    <w:rsid w:val="00535BDF"/>
    <w:rsid w:val="00535D27"/>
    <w:rsid w:val="00535DFD"/>
    <w:rsid w:val="00535E8E"/>
    <w:rsid w:val="00536723"/>
    <w:rsid w:val="005370F0"/>
    <w:rsid w:val="005370FB"/>
    <w:rsid w:val="0054036C"/>
    <w:rsid w:val="0054074D"/>
    <w:rsid w:val="00540FEF"/>
    <w:rsid w:val="00541559"/>
    <w:rsid w:val="00541F6C"/>
    <w:rsid w:val="005433C1"/>
    <w:rsid w:val="005436D6"/>
    <w:rsid w:val="005437E7"/>
    <w:rsid w:val="005438E7"/>
    <w:rsid w:val="00543A40"/>
    <w:rsid w:val="005449D5"/>
    <w:rsid w:val="00544A70"/>
    <w:rsid w:val="00544C35"/>
    <w:rsid w:val="00546A26"/>
    <w:rsid w:val="005472DC"/>
    <w:rsid w:val="00547534"/>
    <w:rsid w:val="0055037D"/>
    <w:rsid w:val="00550D4E"/>
    <w:rsid w:val="00550FD5"/>
    <w:rsid w:val="005514D9"/>
    <w:rsid w:val="00551563"/>
    <w:rsid w:val="00551B01"/>
    <w:rsid w:val="00551E80"/>
    <w:rsid w:val="00551F55"/>
    <w:rsid w:val="00552F88"/>
    <w:rsid w:val="00553225"/>
    <w:rsid w:val="0055356E"/>
    <w:rsid w:val="0055568B"/>
    <w:rsid w:val="00555F70"/>
    <w:rsid w:val="00556B5D"/>
    <w:rsid w:val="00556BC4"/>
    <w:rsid w:val="00560656"/>
    <w:rsid w:val="00560D01"/>
    <w:rsid w:val="00561214"/>
    <w:rsid w:val="00561B3B"/>
    <w:rsid w:val="00561DB5"/>
    <w:rsid w:val="0056232B"/>
    <w:rsid w:val="00562F7A"/>
    <w:rsid w:val="00563036"/>
    <w:rsid w:val="0056450E"/>
    <w:rsid w:val="00565022"/>
    <w:rsid w:val="005652C8"/>
    <w:rsid w:val="00565361"/>
    <w:rsid w:val="00565BBE"/>
    <w:rsid w:val="00566A58"/>
    <w:rsid w:val="00567005"/>
    <w:rsid w:val="0056736E"/>
    <w:rsid w:val="0056788D"/>
    <w:rsid w:val="00567B6A"/>
    <w:rsid w:val="00567F1B"/>
    <w:rsid w:val="005702D6"/>
    <w:rsid w:val="005708A1"/>
    <w:rsid w:val="00570FF3"/>
    <w:rsid w:val="00571279"/>
    <w:rsid w:val="00571915"/>
    <w:rsid w:val="00571EF5"/>
    <w:rsid w:val="005722C3"/>
    <w:rsid w:val="00572AC2"/>
    <w:rsid w:val="00573456"/>
    <w:rsid w:val="00573AB8"/>
    <w:rsid w:val="00574094"/>
    <w:rsid w:val="0057430F"/>
    <w:rsid w:val="00575249"/>
    <w:rsid w:val="00575517"/>
    <w:rsid w:val="00575D6C"/>
    <w:rsid w:val="00575E97"/>
    <w:rsid w:val="00576184"/>
    <w:rsid w:val="0057742A"/>
    <w:rsid w:val="005801B9"/>
    <w:rsid w:val="005802CC"/>
    <w:rsid w:val="0058030F"/>
    <w:rsid w:val="0058039C"/>
    <w:rsid w:val="00580B26"/>
    <w:rsid w:val="00581940"/>
    <w:rsid w:val="00582176"/>
    <w:rsid w:val="00583270"/>
    <w:rsid w:val="005834F9"/>
    <w:rsid w:val="00583624"/>
    <w:rsid w:val="00583B07"/>
    <w:rsid w:val="00583D85"/>
    <w:rsid w:val="005840DC"/>
    <w:rsid w:val="005843C4"/>
    <w:rsid w:val="005846E8"/>
    <w:rsid w:val="005847E1"/>
    <w:rsid w:val="00585946"/>
    <w:rsid w:val="005864F3"/>
    <w:rsid w:val="00586BEE"/>
    <w:rsid w:val="00587080"/>
    <w:rsid w:val="00587421"/>
    <w:rsid w:val="0058796A"/>
    <w:rsid w:val="00587F69"/>
    <w:rsid w:val="00590033"/>
    <w:rsid w:val="00590762"/>
    <w:rsid w:val="005907C3"/>
    <w:rsid w:val="005907C6"/>
    <w:rsid w:val="00591B85"/>
    <w:rsid w:val="00591DDC"/>
    <w:rsid w:val="005922FB"/>
    <w:rsid w:val="005927DF"/>
    <w:rsid w:val="00592B95"/>
    <w:rsid w:val="00592D02"/>
    <w:rsid w:val="00593BF6"/>
    <w:rsid w:val="00593F55"/>
    <w:rsid w:val="005949B0"/>
    <w:rsid w:val="0059524C"/>
    <w:rsid w:val="005959B3"/>
    <w:rsid w:val="00596F70"/>
    <w:rsid w:val="00596FCF"/>
    <w:rsid w:val="005970EE"/>
    <w:rsid w:val="00597724"/>
    <w:rsid w:val="00597D57"/>
    <w:rsid w:val="00597E9B"/>
    <w:rsid w:val="00597F9C"/>
    <w:rsid w:val="005A0F63"/>
    <w:rsid w:val="005A2137"/>
    <w:rsid w:val="005A3000"/>
    <w:rsid w:val="005A3272"/>
    <w:rsid w:val="005A3456"/>
    <w:rsid w:val="005A3F38"/>
    <w:rsid w:val="005A454D"/>
    <w:rsid w:val="005A5BC4"/>
    <w:rsid w:val="005A5DEC"/>
    <w:rsid w:val="005A611F"/>
    <w:rsid w:val="005A6E58"/>
    <w:rsid w:val="005A739C"/>
    <w:rsid w:val="005A7B7A"/>
    <w:rsid w:val="005A7CDD"/>
    <w:rsid w:val="005B083A"/>
    <w:rsid w:val="005B1069"/>
    <w:rsid w:val="005B140A"/>
    <w:rsid w:val="005B16D3"/>
    <w:rsid w:val="005B1C3A"/>
    <w:rsid w:val="005B2823"/>
    <w:rsid w:val="005B29DF"/>
    <w:rsid w:val="005B2C81"/>
    <w:rsid w:val="005B351F"/>
    <w:rsid w:val="005B3545"/>
    <w:rsid w:val="005B3657"/>
    <w:rsid w:val="005B454A"/>
    <w:rsid w:val="005B5161"/>
    <w:rsid w:val="005B5EB8"/>
    <w:rsid w:val="005B6E15"/>
    <w:rsid w:val="005B70A6"/>
    <w:rsid w:val="005C0010"/>
    <w:rsid w:val="005C001F"/>
    <w:rsid w:val="005C01DF"/>
    <w:rsid w:val="005C06A7"/>
    <w:rsid w:val="005C0793"/>
    <w:rsid w:val="005C08B0"/>
    <w:rsid w:val="005C102A"/>
    <w:rsid w:val="005C17F5"/>
    <w:rsid w:val="005C1B0D"/>
    <w:rsid w:val="005C1FBF"/>
    <w:rsid w:val="005C3428"/>
    <w:rsid w:val="005C34F5"/>
    <w:rsid w:val="005C3981"/>
    <w:rsid w:val="005C576A"/>
    <w:rsid w:val="005C619B"/>
    <w:rsid w:val="005C65B9"/>
    <w:rsid w:val="005C6694"/>
    <w:rsid w:val="005C66F0"/>
    <w:rsid w:val="005C6A43"/>
    <w:rsid w:val="005C7019"/>
    <w:rsid w:val="005C7113"/>
    <w:rsid w:val="005C721E"/>
    <w:rsid w:val="005C762A"/>
    <w:rsid w:val="005C7C26"/>
    <w:rsid w:val="005C7CD7"/>
    <w:rsid w:val="005C7D8E"/>
    <w:rsid w:val="005D0460"/>
    <w:rsid w:val="005D1880"/>
    <w:rsid w:val="005D2C37"/>
    <w:rsid w:val="005D2CBF"/>
    <w:rsid w:val="005D4BE1"/>
    <w:rsid w:val="005D5E93"/>
    <w:rsid w:val="005D61F3"/>
    <w:rsid w:val="005D6428"/>
    <w:rsid w:val="005D6C95"/>
    <w:rsid w:val="005D75AD"/>
    <w:rsid w:val="005E048B"/>
    <w:rsid w:val="005E0A78"/>
    <w:rsid w:val="005E0EDA"/>
    <w:rsid w:val="005E13F9"/>
    <w:rsid w:val="005E195A"/>
    <w:rsid w:val="005E1D13"/>
    <w:rsid w:val="005E2FF3"/>
    <w:rsid w:val="005E3673"/>
    <w:rsid w:val="005E3A47"/>
    <w:rsid w:val="005E4880"/>
    <w:rsid w:val="005E4A87"/>
    <w:rsid w:val="005E4C7E"/>
    <w:rsid w:val="005E5CB2"/>
    <w:rsid w:val="005E5EA2"/>
    <w:rsid w:val="005E6047"/>
    <w:rsid w:val="005E6131"/>
    <w:rsid w:val="005E6655"/>
    <w:rsid w:val="005E6A91"/>
    <w:rsid w:val="005E6ABB"/>
    <w:rsid w:val="005E763A"/>
    <w:rsid w:val="005F0B54"/>
    <w:rsid w:val="005F0BEB"/>
    <w:rsid w:val="005F0E23"/>
    <w:rsid w:val="005F19F3"/>
    <w:rsid w:val="005F1E0F"/>
    <w:rsid w:val="005F23E8"/>
    <w:rsid w:val="005F275C"/>
    <w:rsid w:val="005F361C"/>
    <w:rsid w:val="005F3931"/>
    <w:rsid w:val="005F57AB"/>
    <w:rsid w:val="005F65DE"/>
    <w:rsid w:val="005F6993"/>
    <w:rsid w:val="005F7A56"/>
    <w:rsid w:val="005F7F2C"/>
    <w:rsid w:val="0060006B"/>
    <w:rsid w:val="00600636"/>
    <w:rsid w:val="006006AF"/>
    <w:rsid w:val="0060085D"/>
    <w:rsid w:val="0060104D"/>
    <w:rsid w:val="00601799"/>
    <w:rsid w:val="006017E0"/>
    <w:rsid w:val="00601922"/>
    <w:rsid w:val="00601AEF"/>
    <w:rsid w:val="00601C68"/>
    <w:rsid w:val="00602017"/>
    <w:rsid w:val="006028B3"/>
    <w:rsid w:val="00602C06"/>
    <w:rsid w:val="00604C39"/>
    <w:rsid w:val="00605100"/>
    <w:rsid w:val="00605E5F"/>
    <w:rsid w:val="00605EBB"/>
    <w:rsid w:val="0060641D"/>
    <w:rsid w:val="006067E1"/>
    <w:rsid w:val="00607138"/>
    <w:rsid w:val="006074FC"/>
    <w:rsid w:val="00607599"/>
    <w:rsid w:val="00607701"/>
    <w:rsid w:val="00607B29"/>
    <w:rsid w:val="0061030E"/>
    <w:rsid w:val="0061061D"/>
    <w:rsid w:val="00610C45"/>
    <w:rsid w:val="00611232"/>
    <w:rsid w:val="006118D0"/>
    <w:rsid w:val="00611F4B"/>
    <w:rsid w:val="00612820"/>
    <w:rsid w:val="00612CB1"/>
    <w:rsid w:val="00613600"/>
    <w:rsid w:val="0061385A"/>
    <w:rsid w:val="00613ACA"/>
    <w:rsid w:val="00614249"/>
    <w:rsid w:val="00614A2B"/>
    <w:rsid w:val="00615172"/>
    <w:rsid w:val="00615FA4"/>
    <w:rsid w:val="0061621F"/>
    <w:rsid w:val="006166E2"/>
    <w:rsid w:val="00616DCB"/>
    <w:rsid w:val="00616E51"/>
    <w:rsid w:val="006212FF"/>
    <w:rsid w:val="00621841"/>
    <w:rsid w:val="00621CE1"/>
    <w:rsid w:val="00623594"/>
    <w:rsid w:val="006248C6"/>
    <w:rsid w:val="0062513C"/>
    <w:rsid w:val="00625BC4"/>
    <w:rsid w:val="00626071"/>
    <w:rsid w:val="006269D0"/>
    <w:rsid w:val="00626C52"/>
    <w:rsid w:val="00626D64"/>
    <w:rsid w:val="00626DB0"/>
    <w:rsid w:val="00626FA9"/>
    <w:rsid w:val="006276F2"/>
    <w:rsid w:val="00627911"/>
    <w:rsid w:val="006279AC"/>
    <w:rsid w:val="006306EF"/>
    <w:rsid w:val="0063140D"/>
    <w:rsid w:val="0063219E"/>
    <w:rsid w:val="00633B3C"/>
    <w:rsid w:val="00633BCA"/>
    <w:rsid w:val="006349ED"/>
    <w:rsid w:val="00634CD2"/>
    <w:rsid w:val="00635765"/>
    <w:rsid w:val="006358D3"/>
    <w:rsid w:val="00635AF1"/>
    <w:rsid w:val="00635F6E"/>
    <w:rsid w:val="00636634"/>
    <w:rsid w:val="00637298"/>
    <w:rsid w:val="00637747"/>
    <w:rsid w:val="0064006B"/>
    <w:rsid w:val="00640B75"/>
    <w:rsid w:val="006433BA"/>
    <w:rsid w:val="006434F0"/>
    <w:rsid w:val="0064383F"/>
    <w:rsid w:val="00644126"/>
    <w:rsid w:val="0064430D"/>
    <w:rsid w:val="00644F17"/>
    <w:rsid w:val="006452C3"/>
    <w:rsid w:val="00646884"/>
    <w:rsid w:val="00646A81"/>
    <w:rsid w:val="00646C08"/>
    <w:rsid w:val="00647AD4"/>
    <w:rsid w:val="006502F1"/>
    <w:rsid w:val="006505FF"/>
    <w:rsid w:val="00651379"/>
    <w:rsid w:val="006513D1"/>
    <w:rsid w:val="006515D1"/>
    <w:rsid w:val="0065178F"/>
    <w:rsid w:val="00651D16"/>
    <w:rsid w:val="0065227E"/>
    <w:rsid w:val="006524C7"/>
    <w:rsid w:val="00652E2C"/>
    <w:rsid w:val="00653321"/>
    <w:rsid w:val="00653FE8"/>
    <w:rsid w:val="0065472E"/>
    <w:rsid w:val="00654F07"/>
    <w:rsid w:val="00655BF5"/>
    <w:rsid w:val="00656519"/>
    <w:rsid w:val="00656A11"/>
    <w:rsid w:val="00657297"/>
    <w:rsid w:val="00657F56"/>
    <w:rsid w:val="00661F5C"/>
    <w:rsid w:val="00662EC0"/>
    <w:rsid w:val="006634A3"/>
    <w:rsid w:val="00663A3B"/>
    <w:rsid w:val="00663B92"/>
    <w:rsid w:val="00664B31"/>
    <w:rsid w:val="00665C99"/>
    <w:rsid w:val="00665FA9"/>
    <w:rsid w:val="00666E20"/>
    <w:rsid w:val="006670C1"/>
    <w:rsid w:val="0067094D"/>
    <w:rsid w:val="00671641"/>
    <w:rsid w:val="00671DFE"/>
    <w:rsid w:val="00672430"/>
    <w:rsid w:val="00673A16"/>
    <w:rsid w:val="00674724"/>
    <w:rsid w:val="00676D40"/>
    <w:rsid w:val="00676D53"/>
    <w:rsid w:val="006771C9"/>
    <w:rsid w:val="006771E6"/>
    <w:rsid w:val="00677477"/>
    <w:rsid w:val="0067753D"/>
    <w:rsid w:val="00677D59"/>
    <w:rsid w:val="00677DC2"/>
    <w:rsid w:val="00680353"/>
    <w:rsid w:val="006805CD"/>
    <w:rsid w:val="00680982"/>
    <w:rsid w:val="00682CBD"/>
    <w:rsid w:val="00683136"/>
    <w:rsid w:val="0068314F"/>
    <w:rsid w:val="006834C6"/>
    <w:rsid w:val="00683DC6"/>
    <w:rsid w:val="00684304"/>
    <w:rsid w:val="006844A9"/>
    <w:rsid w:val="00684806"/>
    <w:rsid w:val="0068490D"/>
    <w:rsid w:val="00686430"/>
    <w:rsid w:val="00687EE9"/>
    <w:rsid w:val="006902AB"/>
    <w:rsid w:val="00690640"/>
    <w:rsid w:val="006911FB"/>
    <w:rsid w:val="006914E9"/>
    <w:rsid w:val="00691E6F"/>
    <w:rsid w:val="00691E73"/>
    <w:rsid w:val="0069228E"/>
    <w:rsid w:val="006924E1"/>
    <w:rsid w:val="006927AE"/>
    <w:rsid w:val="00692C34"/>
    <w:rsid w:val="006943CC"/>
    <w:rsid w:val="00694894"/>
    <w:rsid w:val="00694CE4"/>
    <w:rsid w:val="00695824"/>
    <w:rsid w:val="00696236"/>
    <w:rsid w:val="0069683B"/>
    <w:rsid w:val="006977F4"/>
    <w:rsid w:val="00697C44"/>
    <w:rsid w:val="00697F57"/>
    <w:rsid w:val="006A02EF"/>
    <w:rsid w:val="006A1654"/>
    <w:rsid w:val="006A1AF0"/>
    <w:rsid w:val="006A2BCB"/>
    <w:rsid w:val="006A2C6D"/>
    <w:rsid w:val="006A2F0A"/>
    <w:rsid w:val="006A30EB"/>
    <w:rsid w:val="006A3502"/>
    <w:rsid w:val="006A3B5B"/>
    <w:rsid w:val="006A3BE9"/>
    <w:rsid w:val="006A4B72"/>
    <w:rsid w:val="006A55E6"/>
    <w:rsid w:val="006A5849"/>
    <w:rsid w:val="006A5EBB"/>
    <w:rsid w:val="006A60A0"/>
    <w:rsid w:val="006A71BC"/>
    <w:rsid w:val="006A7419"/>
    <w:rsid w:val="006A7565"/>
    <w:rsid w:val="006B10A2"/>
    <w:rsid w:val="006B1180"/>
    <w:rsid w:val="006B17B2"/>
    <w:rsid w:val="006B1823"/>
    <w:rsid w:val="006B199E"/>
    <w:rsid w:val="006B1EED"/>
    <w:rsid w:val="006B2451"/>
    <w:rsid w:val="006B39DE"/>
    <w:rsid w:val="006B54AF"/>
    <w:rsid w:val="006B54CA"/>
    <w:rsid w:val="006B5689"/>
    <w:rsid w:val="006B598F"/>
    <w:rsid w:val="006B60C7"/>
    <w:rsid w:val="006B78B4"/>
    <w:rsid w:val="006C02A6"/>
    <w:rsid w:val="006C06C3"/>
    <w:rsid w:val="006C0885"/>
    <w:rsid w:val="006C0FCB"/>
    <w:rsid w:val="006C1275"/>
    <w:rsid w:val="006C14D9"/>
    <w:rsid w:val="006C163B"/>
    <w:rsid w:val="006C26C8"/>
    <w:rsid w:val="006C2C28"/>
    <w:rsid w:val="006C3722"/>
    <w:rsid w:val="006C3828"/>
    <w:rsid w:val="006C3AC3"/>
    <w:rsid w:val="006C3CF6"/>
    <w:rsid w:val="006C41AF"/>
    <w:rsid w:val="006C44BC"/>
    <w:rsid w:val="006C461B"/>
    <w:rsid w:val="006C4663"/>
    <w:rsid w:val="006C49A8"/>
    <w:rsid w:val="006C49EB"/>
    <w:rsid w:val="006C562A"/>
    <w:rsid w:val="006C6437"/>
    <w:rsid w:val="006C6746"/>
    <w:rsid w:val="006C6C34"/>
    <w:rsid w:val="006C74DA"/>
    <w:rsid w:val="006D056D"/>
    <w:rsid w:val="006D09D7"/>
    <w:rsid w:val="006D0CB1"/>
    <w:rsid w:val="006D2E3F"/>
    <w:rsid w:val="006D307E"/>
    <w:rsid w:val="006D3285"/>
    <w:rsid w:val="006D32C6"/>
    <w:rsid w:val="006D32E7"/>
    <w:rsid w:val="006D36A5"/>
    <w:rsid w:val="006D3DED"/>
    <w:rsid w:val="006D45CD"/>
    <w:rsid w:val="006D47F3"/>
    <w:rsid w:val="006D4B39"/>
    <w:rsid w:val="006D4E22"/>
    <w:rsid w:val="006D4F09"/>
    <w:rsid w:val="006D4FC0"/>
    <w:rsid w:val="006D504E"/>
    <w:rsid w:val="006D5845"/>
    <w:rsid w:val="006D5AA6"/>
    <w:rsid w:val="006D6051"/>
    <w:rsid w:val="006D6123"/>
    <w:rsid w:val="006D6A70"/>
    <w:rsid w:val="006D6B31"/>
    <w:rsid w:val="006D70E6"/>
    <w:rsid w:val="006D741D"/>
    <w:rsid w:val="006D7F1B"/>
    <w:rsid w:val="006E1E2B"/>
    <w:rsid w:val="006E221B"/>
    <w:rsid w:val="006E25D1"/>
    <w:rsid w:val="006E271E"/>
    <w:rsid w:val="006E28DF"/>
    <w:rsid w:val="006E2B1C"/>
    <w:rsid w:val="006E33BB"/>
    <w:rsid w:val="006E33DC"/>
    <w:rsid w:val="006E43B2"/>
    <w:rsid w:val="006E484F"/>
    <w:rsid w:val="006E48C2"/>
    <w:rsid w:val="006E4905"/>
    <w:rsid w:val="006E5D2E"/>
    <w:rsid w:val="006F0134"/>
    <w:rsid w:val="006F01E2"/>
    <w:rsid w:val="006F1E8B"/>
    <w:rsid w:val="006F2D26"/>
    <w:rsid w:val="006F30E6"/>
    <w:rsid w:val="006F4158"/>
    <w:rsid w:val="006F4352"/>
    <w:rsid w:val="006F5740"/>
    <w:rsid w:val="006F5FFE"/>
    <w:rsid w:val="006F644F"/>
    <w:rsid w:val="006F655E"/>
    <w:rsid w:val="006F6F0C"/>
    <w:rsid w:val="006F7B1E"/>
    <w:rsid w:val="006F7B77"/>
    <w:rsid w:val="006F7D34"/>
    <w:rsid w:val="006F7EBC"/>
    <w:rsid w:val="0070053D"/>
    <w:rsid w:val="00700889"/>
    <w:rsid w:val="00700C39"/>
    <w:rsid w:val="00700D22"/>
    <w:rsid w:val="00700D35"/>
    <w:rsid w:val="00700EE9"/>
    <w:rsid w:val="00701B4F"/>
    <w:rsid w:val="00702263"/>
    <w:rsid w:val="007022FF"/>
    <w:rsid w:val="00702582"/>
    <w:rsid w:val="00702C61"/>
    <w:rsid w:val="00703194"/>
    <w:rsid w:val="00703656"/>
    <w:rsid w:val="007046AF"/>
    <w:rsid w:val="00704BFC"/>
    <w:rsid w:val="007052FF"/>
    <w:rsid w:val="00707439"/>
    <w:rsid w:val="00707C44"/>
    <w:rsid w:val="007102BD"/>
    <w:rsid w:val="00710ACC"/>
    <w:rsid w:val="007115C4"/>
    <w:rsid w:val="00711879"/>
    <w:rsid w:val="00711F34"/>
    <w:rsid w:val="00711FDC"/>
    <w:rsid w:val="00712F4A"/>
    <w:rsid w:val="00712F5A"/>
    <w:rsid w:val="00713384"/>
    <w:rsid w:val="00714033"/>
    <w:rsid w:val="007148A8"/>
    <w:rsid w:val="00714B6E"/>
    <w:rsid w:val="00716B4E"/>
    <w:rsid w:val="007173D0"/>
    <w:rsid w:val="00717A44"/>
    <w:rsid w:val="00720102"/>
    <w:rsid w:val="00720322"/>
    <w:rsid w:val="00720A5B"/>
    <w:rsid w:val="007219B0"/>
    <w:rsid w:val="00722641"/>
    <w:rsid w:val="007228A5"/>
    <w:rsid w:val="007233ED"/>
    <w:rsid w:val="00724E52"/>
    <w:rsid w:val="00725262"/>
    <w:rsid w:val="0072530D"/>
    <w:rsid w:val="0072543C"/>
    <w:rsid w:val="00725645"/>
    <w:rsid w:val="007257F5"/>
    <w:rsid w:val="0072588D"/>
    <w:rsid w:val="007258C2"/>
    <w:rsid w:val="00725DE6"/>
    <w:rsid w:val="00726313"/>
    <w:rsid w:val="007274BD"/>
    <w:rsid w:val="00727565"/>
    <w:rsid w:val="00727B39"/>
    <w:rsid w:val="0073016C"/>
    <w:rsid w:val="0073055A"/>
    <w:rsid w:val="00730578"/>
    <w:rsid w:val="007307C6"/>
    <w:rsid w:val="00730982"/>
    <w:rsid w:val="00731046"/>
    <w:rsid w:val="00731448"/>
    <w:rsid w:val="0073153A"/>
    <w:rsid w:val="00731FC4"/>
    <w:rsid w:val="00732C9B"/>
    <w:rsid w:val="0073316E"/>
    <w:rsid w:val="00734140"/>
    <w:rsid w:val="0073509B"/>
    <w:rsid w:val="00735129"/>
    <w:rsid w:val="0073572D"/>
    <w:rsid w:val="00735B5B"/>
    <w:rsid w:val="00736B1F"/>
    <w:rsid w:val="00736C06"/>
    <w:rsid w:val="00736E55"/>
    <w:rsid w:val="00737019"/>
    <w:rsid w:val="00737854"/>
    <w:rsid w:val="00737E86"/>
    <w:rsid w:val="007407D8"/>
    <w:rsid w:val="00741BCF"/>
    <w:rsid w:val="00742257"/>
    <w:rsid w:val="00742C17"/>
    <w:rsid w:val="0074413A"/>
    <w:rsid w:val="0074530D"/>
    <w:rsid w:val="00745802"/>
    <w:rsid w:val="00745855"/>
    <w:rsid w:val="0074675B"/>
    <w:rsid w:val="0074694D"/>
    <w:rsid w:val="00746B6C"/>
    <w:rsid w:val="00747ACE"/>
    <w:rsid w:val="007501A5"/>
    <w:rsid w:val="007506E0"/>
    <w:rsid w:val="007508CB"/>
    <w:rsid w:val="00750B46"/>
    <w:rsid w:val="00752809"/>
    <w:rsid w:val="007528BA"/>
    <w:rsid w:val="00752CFF"/>
    <w:rsid w:val="00752D17"/>
    <w:rsid w:val="00753045"/>
    <w:rsid w:val="00753774"/>
    <w:rsid w:val="007538E7"/>
    <w:rsid w:val="00753A6A"/>
    <w:rsid w:val="00754339"/>
    <w:rsid w:val="007543D1"/>
    <w:rsid w:val="00754783"/>
    <w:rsid w:val="00755B96"/>
    <w:rsid w:val="007563D9"/>
    <w:rsid w:val="00757115"/>
    <w:rsid w:val="0075721E"/>
    <w:rsid w:val="007607E7"/>
    <w:rsid w:val="007613DA"/>
    <w:rsid w:val="0076152E"/>
    <w:rsid w:val="00761F63"/>
    <w:rsid w:val="00762CA5"/>
    <w:rsid w:val="007630D8"/>
    <w:rsid w:val="00763555"/>
    <w:rsid w:val="00763632"/>
    <w:rsid w:val="00764423"/>
    <w:rsid w:val="00764748"/>
    <w:rsid w:val="0076591B"/>
    <w:rsid w:val="0076712C"/>
    <w:rsid w:val="00767835"/>
    <w:rsid w:val="00767D10"/>
    <w:rsid w:val="007700DE"/>
    <w:rsid w:val="00770ECF"/>
    <w:rsid w:val="0077121E"/>
    <w:rsid w:val="00771454"/>
    <w:rsid w:val="0077177F"/>
    <w:rsid w:val="00772D84"/>
    <w:rsid w:val="007736C7"/>
    <w:rsid w:val="007737FA"/>
    <w:rsid w:val="007738ED"/>
    <w:rsid w:val="00773B9C"/>
    <w:rsid w:val="0077465D"/>
    <w:rsid w:val="00775215"/>
    <w:rsid w:val="007759A0"/>
    <w:rsid w:val="00775CA5"/>
    <w:rsid w:val="00775DAA"/>
    <w:rsid w:val="00775FA7"/>
    <w:rsid w:val="0077701A"/>
    <w:rsid w:val="00777498"/>
    <w:rsid w:val="00777D99"/>
    <w:rsid w:val="00781F85"/>
    <w:rsid w:val="00782757"/>
    <w:rsid w:val="0078276D"/>
    <w:rsid w:val="00783A58"/>
    <w:rsid w:val="00783B78"/>
    <w:rsid w:val="00785055"/>
    <w:rsid w:val="00785657"/>
    <w:rsid w:val="00785CE5"/>
    <w:rsid w:val="00786381"/>
    <w:rsid w:val="00790EFE"/>
    <w:rsid w:val="00790F9F"/>
    <w:rsid w:val="0079264C"/>
    <w:rsid w:val="00792E45"/>
    <w:rsid w:val="00794055"/>
    <w:rsid w:val="00795671"/>
    <w:rsid w:val="00795EF8"/>
    <w:rsid w:val="00796512"/>
    <w:rsid w:val="00796560"/>
    <w:rsid w:val="0079722A"/>
    <w:rsid w:val="00797C32"/>
    <w:rsid w:val="00797DA1"/>
    <w:rsid w:val="007A02E3"/>
    <w:rsid w:val="007A068D"/>
    <w:rsid w:val="007A06F1"/>
    <w:rsid w:val="007A0CF9"/>
    <w:rsid w:val="007A0D46"/>
    <w:rsid w:val="007A319B"/>
    <w:rsid w:val="007A367F"/>
    <w:rsid w:val="007A3700"/>
    <w:rsid w:val="007A3704"/>
    <w:rsid w:val="007A3CED"/>
    <w:rsid w:val="007A3EF7"/>
    <w:rsid w:val="007A40C1"/>
    <w:rsid w:val="007A4B98"/>
    <w:rsid w:val="007A4CD1"/>
    <w:rsid w:val="007A4DD3"/>
    <w:rsid w:val="007A4FDA"/>
    <w:rsid w:val="007A51AE"/>
    <w:rsid w:val="007A5B21"/>
    <w:rsid w:val="007A684A"/>
    <w:rsid w:val="007A753B"/>
    <w:rsid w:val="007A75E1"/>
    <w:rsid w:val="007B03EC"/>
    <w:rsid w:val="007B052D"/>
    <w:rsid w:val="007B0D25"/>
    <w:rsid w:val="007B1F4A"/>
    <w:rsid w:val="007B26DC"/>
    <w:rsid w:val="007B2A28"/>
    <w:rsid w:val="007B2B29"/>
    <w:rsid w:val="007B2F5C"/>
    <w:rsid w:val="007B3E32"/>
    <w:rsid w:val="007B3F33"/>
    <w:rsid w:val="007B4914"/>
    <w:rsid w:val="007B52B2"/>
    <w:rsid w:val="007B53B7"/>
    <w:rsid w:val="007B55E9"/>
    <w:rsid w:val="007B7522"/>
    <w:rsid w:val="007B7818"/>
    <w:rsid w:val="007B7903"/>
    <w:rsid w:val="007C02AC"/>
    <w:rsid w:val="007C04DA"/>
    <w:rsid w:val="007C06F7"/>
    <w:rsid w:val="007C0AB7"/>
    <w:rsid w:val="007C0C95"/>
    <w:rsid w:val="007C12E3"/>
    <w:rsid w:val="007C1A4A"/>
    <w:rsid w:val="007C1B55"/>
    <w:rsid w:val="007C37C0"/>
    <w:rsid w:val="007C458C"/>
    <w:rsid w:val="007C4CE4"/>
    <w:rsid w:val="007C564D"/>
    <w:rsid w:val="007C61BB"/>
    <w:rsid w:val="007C7204"/>
    <w:rsid w:val="007C725C"/>
    <w:rsid w:val="007C744E"/>
    <w:rsid w:val="007C7B99"/>
    <w:rsid w:val="007C7CB9"/>
    <w:rsid w:val="007C7F7E"/>
    <w:rsid w:val="007D0060"/>
    <w:rsid w:val="007D01A9"/>
    <w:rsid w:val="007D1235"/>
    <w:rsid w:val="007D16A6"/>
    <w:rsid w:val="007D1D67"/>
    <w:rsid w:val="007D2335"/>
    <w:rsid w:val="007D2467"/>
    <w:rsid w:val="007D2497"/>
    <w:rsid w:val="007D250F"/>
    <w:rsid w:val="007D2CFF"/>
    <w:rsid w:val="007D2ECF"/>
    <w:rsid w:val="007D2F17"/>
    <w:rsid w:val="007D35E3"/>
    <w:rsid w:val="007D4337"/>
    <w:rsid w:val="007D4614"/>
    <w:rsid w:val="007D4B9A"/>
    <w:rsid w:val="007D5051"/>
    <w:rsid w:val="007D5266"/>
    <w:rsid w:val="007D618D"/>
    <w:rsid w:val="007D6392"/>
    <w:rsid w:val="007D70AD"/>
    <w:rsid w:val="007E097A"/>
    <w:rsid w:val="007E09C8"/>
    <w:rsid w:val="007E0DFD"/>
    <w:rsid w:val="007E0F2B"/>
    <w:rsid w:val="007E1507"/>
    <w:rsid w:val="007E19AC"/>
    <w:rsid w:val="007E1ADA"/>
    <w:rsid w:val="007E1BD2"/>
    <w:rsid w:val="007E25C8"/>
    <w:rsid w:val="007E25D1"/>
    <w:rsid w:val="007E2741"/>
    <w:rsid w:val="007E278D"/>
    <w:rsid w:val="007E3344"/>
    <w:rsid w:val="007E3449"/>
    <w:rsid w:val="007E3E5D"/>
    <w:rsid w:val="007E5127"/>
    <w:rsid w:val="007E519A"/>
    <w:rsid w:val="007E5AD7"/>
    <w:rsid w:val="007E66A3"/>
    <w:rsid w:val="007E6A07"/>
    <w:rsid w:val="007E6A10"/>
    <w:rsid w:val="007E74BB"/>
    <w:rsid w:val="007E7710"/>
    <w:rsid w:val="007E7C01"/>
    <w:rsid w:val="007F0B22"/>
    <w:rsid w:val="007F0FE3"/>
    <w:rsid w:val="007F1625"/>
    <w:rsid w:val="007F1898"/>
    <w:rsid w:val="007F19C9"/>
    <w:rsid w:val="007F217C"/>
    <w:rsid w:val="007F25AB"/>
    <w:rsid w:val="007F266D"/>
    <w:rsid w:val="007F26F5"/>
    <w:rsid w:val="007F2A71"/>
    <w:rsid w:val="007F34D7"/>
    <w:rsid w:val="007F3BF3"/>
    <w:rsid w:val="007F3F2B"/>
    <w:rsid w:val="007F430E"/>
    <w:rsid w:val="007F444E"/>
    <w:rsid w:val="007F4552"/>
    <w:rsid w:val="007F4669"/>
    <w:rsid w:val="007F54A6"/>
    <w:rsid w:val="007F54E7"/>
    <w:rsid w:val="007F56C8"/>
    <w:rsid w:val="007F59D4"/>
    <w:rsid w:val="007F5A61"/>
    <w:rsid w:val="007F5C5A"/>
    <w:rsid w:val="007F5ECE"/>
    <w:rsid w:val="007F674B"/>
    <w:rsid w:val="007F6CCF"/>
    <w:rsid w:val="007F740B"/>
    <w:rsid w:val="007F78D6"/>
    <w:rsid w:val="007F7932"/>
    <w:rsid w:val="007F7ECE"/>
    <w:rsid w:val="0080099B"/>
    <w:rsid w:val="00800B0C"/>
    <w:rsid w:val="0080114C"/>
    <w:rsid w:val="008014BD"/>
    <w:rsid w:val="00801C26"/>
    <w:rsid w:val="0080292F"/>
    <w:rsid w:val="00802983"/>
    <w:rsid w:val="00802CD6"/>
    <w:rsid w:val="00802D5A"/>
    <w:rsid w:val="00803696"/>
    <w:rsid w:val="008057B6"/>
    <w:rsid w:val="0080583A"/>
    <w:rsid w:val="00806000"/>
    <w:rsid w:val="00806FEF"/>
    <w:rsid w:val="008071CE"/>
    <w:rsid w:val="008074E1"/>
    <w:rsid w:val="00807C38"/>
    <w:rsid w:val="00810187"/>
    <w:rsid w:val="008106AE"/>
    <w:rsid w:val="008109EB"/>
    <w:rsid w:val="00810DF5"/>
    <w:rsid w:val="00810FE1"/>
    <w:rsid w:val="00811448"/>
    <w:rsid w:val="00811AB8"/>
    <w:rsid w:val="00811D51"/>
    <w:rsid w:val="008120A8"/>
    <w:rsid w:val="00812337"/>
    <w:rsid w:val="00812FC9"/>
    <w:rsid w:val="0081330C"/>
    <w:rsid w:val="00813C1A"/>
    <w:rsid w:val="00814E2D"/>
    <w:rsid w:val="00815772"/>
    <w:rsid w:val="00815EA4"/>
    <w:rsid w:val="00815F8D"/>
    <w:rsid w:val="00817559"/>
    <w:rsid w:val="00817FBA"/>
    <w:rsid w:val="00820078"/>
    <w:rsid w:val="0082028D"/>
    <w:rsid w:val="00820350"/>
    <w:rsid w:val="00821069"/>
    <w:rsid w:val="0082267B"/>
    <w:rsid w:val="00822732"/>
    <w:rsid w:val="00823065"/>
    <w:rsid w:val="00823560"/>
    <w:rsid w:val="00823A12"/>
    <w:rsid w:val="00823B7C"/>
    <w:rsid w:val="0082416D"/>
    <w:rsid w:val="008248C1"/>
    <w:rsid w:val="008252FD"/>
    <w:rsid w:val="0082559C"/>
    <w:rsid w:val="00825E40"/>
    <w:rsid w:val="00826F20"/>
    <w:rsid w:val="00827BE2"/>
    <w:rsid w:val="00830025"/>
    <w:rsid w:val="00830BD6"/>
    <w:rsid w:val="00830C35"/>
    <w:rsid w:val="008315B3"/>
    <w:rsid w:val="00831930"/>
    <w:rsid w:val="00831931"/>
    <w:rsid w:val="008326D0"/>
    <w:rsid w:val="00832774"/>
    <w:rsid w:val="00834408"/>
    <w:rsid w:val="008344EC"/>
    <w:rsid w:val="0083452F"/>
    <w:rsid w:val="0083506D"/>
    <w:rsid w:val="0083601A"/>
    <w:rsid w:val="0083612D"/>
    <w:rsid w:val="008361F9"/>
    <w:rsid w:val="008363A2"/>
    <w:rsid w:val="00836AEE"/>
    <w:rsid w:val="0083773A"/>
    <w:rsid w:val="0084073E"/>
    <w:rsid w:val="008410B2"/>
    <w:rsid w:val="00841B33"/>
    <w:rsid w:val="00841C34"/>
    <w:rsid w:val="0084211D"/>
    <w:rsid w:val="00842BAA"/>
    <w:rsid w:val="008435DC"/>
    <w:rsid w:val="008445CC"/>
    <w:rsid w:val="0084489F"/>
    <w:rsid w:val="00844AF5"/>
    <w:rsid w:val="00845790"/>
    <w:rsid w:val="00845B7B"/>
    <w:rsid w:val="00845B89"/>
    <w:rsid w:val="00845F79"/>
    <w:rsid w:val="00846D54"/>
    <w:rsid w:val="00847A7C"/>
    <w:rsid w:val="00847B3F"/>
    <w:rsid w:val="00847DAC"/>
    <w:rsid w:val="008502BD"/>
    <w:rsid w:val="0085135C"/>
    <w:rsid w:val="008518F2"/>
    <w:rsid w:val="00852BC8"/>
    <w:rsid w:val="008535A4"/>
    <w:rsid w:val="00853F3B"/>
    <w:rsid w:val="0085441B"/>
    <w:rsid w:val="00854CD8"/>
    <w:rsid w:val="00855527"/>
    <w:rsid w:val="00855E40"/>
    <w:rsid w:val="008567D5"/>
    <w:rsid w:val="00856D7D"/>
    <w:rsid w:val="0085783A"/>
    <w:rsid w:val="0086032F"/>
    <w:rsid w:val="00860B3E"/>
    <w:rsid w:val="00862559"/>
    <w:rsid w:val="008626AB"/>
    <w:rsid w:val="0086289F"/>
    <w:rsid w:val="00862A32"/>
    <w:rsid w:val="0086399B"/>
    <w:rsid w:val="00864679"/>
    <w:rsid w:val="0086481D"/>
    <w:rsid w:val="00865422"/>
    <w:rsid w:val="00865B39"/>
    <w:rsid w:val="00865DE0"/>
    <w:rsid w:val="00866275"/>
    <w:rsid w:val="00866A39"/>
    <w:rsid w:val="00866F44"/>
    <w:rsid w:val="008705AD"/>
    <w:rsid w:val="00870649"/>
    <w:rsid w:val="00870E34"/>
    <w:rsid w:val="008714FF"/>
    <w:rsid w:val="00871C2F"/>
    <w:rsid w:val="0087276A"/>
    <w:rsid w:val="00872829"/>
    <w:rsid w:val="00872C75"/>
    <w:rsid w:val="008734E2"/>
    <w:rsid w:val="00873899"/>
    <w:rsid w:val="008740BD"/>
    <w:rsid w:val="00874436"/>
    <w:rsid w:val="00874AC2"/>
    <w:rsid w:val="00875950"/>
    <w:rsid w:val="00875C2A"/>
    <w:rsid w:val="00876572"/>
    <w:rsid w:val="0087714E"/>
    <w:rsid w:val="008777A1"/>
    <w:rsid w:val="008800F5"/>
    <w:rsid w:val="00880934"/>
    <w:rsid w:val="00880B53"/>
    <w:rsid w:val="008811E2"/>
    <w:rsid w:val="0088130D"/>
    <w:rsid w:val="008814A1"/>
    <w:rsid w:val="0088208D"/>
    <w:rsid w:val="0088289D"/>
    <w:rsid w:val="00882F49"/>
    <w:rsid w:val="00883C39"/>
    <w:rsid w:val="0088471C"/>
    <w:rsid w:val="008849D2"/>
    <w:rsid w:val="008855C9"/>
    <w:rsid w:val="00886137"/>
    <w:rsid w:val="00891004"/>
    <w:rsid w:val="00891710"/>
    <w:rsid w:val="00892ADD"/>
    <w:rsid w:val="00892F9C"/>
    <w:rsid w:val="0089393E"/>
    <w:rsid w:val="0089398D"/>
    <w:rsid w:val="00893EC0"/>
    <w:rsid w:val="00894778"/>
    <w:rsid w:val="00894BA8"/>
    <w:rsid w:val="0089536F"/>
    <w:rsid w:val="00896307"/>
    <w:rsid w:val="008963D1"/>
    <w:rsid w:val="008967EB"/>
    <w:rsid w:val="00896A7C"/>
    <w:rsid w:val="0089744C"/>
    <w:rsid w:val="008978E6"/>
    <w:rsid w:val="008A05BD"/>
    <w:rsid w:val="008A0779"/>
    <w:rsid w:val="008A123F"/>
    <w:rsid w:val="008A13BE"/>
    <w:rsid w:val="008A2627"/>
    <w:rsid w:val="008A2A07"/>
    <w:rsid w:val="008A2BA0"/>
    <w:rsid w:val="008A34EF"/>
    <w:rsid w:val="008A367D"/>
    <w:rsid w:val="008A37D8"/>
    <w:rsid w:val="008A3C05"/>
    <w:rsid w:val="008A4B3C"/>
    <w:rsid w:val="008A4E54"/>
    <w:rsid w:val="008A5BEE"/>
    <w:rsid w:val="008A5EE8"/>
    <w:rsid w:val="008A602B"/>
    <w:rsid w:val="008A61AF"/>
    <w:rsid w:val="008A6A3A"/>
    <w:rsid w:val="008A6AD1"/>
    <w:rsid w:val="008A6E8E"/>
    <w:rsid w:val="008A6EA4"/>
    <w:rsid w:val="008A72FA"/>
    <w:rsid w:val="008A7316"/>
    <w:rsid w:val="008A79F1"/>
    <w:rsid w:val="008A7BCA"/>
    <w:rsid w:val="008B0F13"/>
    <w:rsid w:val="008B16F8"/>
    <w:rsid w:val="008B2771"/>
    <w:rsid w:val="008B2FC1"/>
    <w:rsid w:val="008B32DE"/>
    <w:rsid w:val="008B34B7"/>
    <w:rsid w:val="008B41FC"/>
    <w:rsid w:val="008B4840"/>
    <w:rsid w:val="008B4C36"/>
    <w:rsid w:val="008B4D95"/>
    <w:rsid w:val="008B69E4"/>
    <w:rsid w:val="008C04BC"/>
    <w:rsid w:val="008C153C"/>
    <w:rsid w:val="008C252C"/>
    <w:rsid w:val="008C28F0"/>
    <w:rsid w:val="008C2D5F"/>
    <w:rsid w:val="008C3A55"/>
    <w:rsid w:val="008C40BC"/>
    <w:rsid w:val="008C4245"/>
    <w:rsid w:val="008C5646"/>
    <w:rsid w:val="008C5768"/>
    <w:rsid w:val="008C5C73"/>
    <w:rsid w:val="008C6648"/>
    <w:rsid w:val="008C670C"/>
    <w:rsid w:val="008C6AF5"/>
    <w:rsid w:val="008C6E6F"/>
    <w:rsid w:val="008C72B8"/>
    <w:rsid w:val="008C7C1F"/>
    <w:rsid w:val="008D0ECC"/>
    <w:rsid w:val="008D1493"/>
    <w:rsid w:val="008D15A1"/>
    <w:rsid w:val="008D17EA"/>
    <w:rsid w:val="008D19CF"/>
    <w:rsid w:val="008D1A44"/>
    <w:rsid w:val="008D26D4"/>
    <w:rsid w:val="008D3AD1"/>
    <w:rsid w:val="008D415C"/>
    <w:rsid w:val="008D4D00"/>
    <w:rsid w:val="008D4DCB"/>
    <w:rsid w:val="008D54D1"/>
    <w:rsid w:val="008D58F0"/>
    <w:rsid w:val="008D63EE"/>
    <w:rsid w:val="008D784A"/>
    <w:rsid w:val="008D7B9C"/>
    <w:rsid w:val="008E01ED"/>
    <w:rsid w:val="008E020B"/>
    <w:rsid w:val="008E0EF6"/>
    <w:rsid w:val="008E1694"/>
    <w:rsid w:val="008E2596"/>
    <w:rsid w:val="008E2674"/>
    <w:rsid w:val="008E2A65"/>
    <w:rsid w:val="008E2B23"/>
    <w:rsid w:val="008E3D7B"/>
    <w:rsid w:val="008E45A2"/>
    <w:rsid w:val="008E4607"/>
    <w:rsid w:val="008E52F0"/>
    <w:rsid w:val="008E539F"/>
    <w:rsid w:val="008E5633"/>
    <w:rsid w:val="008E57C8"/>
    <w:rsid w:val="008E604D"/>
    <w:rsid w:val="008E6377"/>
    <w:rsid w:val="008E69DF"/>
    <w:rsid w:val="008E7363"/>
    <w:rsid w:val="008E7FE4"/>
    <w:rsid w:val="008F0E7D"/>
    <w:rsid w:val="008F10B2"/>
    <w:rsid w:val="008F1357"/>
    <w:rsid w:val="008F1811"/>
    <w:rsid w:val="008F39E6"/>
    <w:rsid w:val="008F3FCA"/>
    <w:rsid w:val="008F554E"/>
    <w:rsid w:val="008F5F3B"/>
    <w:rsid w:val="008F5FDE"/>
    <w:rsid w:val="008F6DD6"/>
    <w:rsid w:val="008F76BE"/>
    <w:rsid w:val="0090052F"/>
    <w:rsid w:val="00901789"/>
    <w:rsid w:val="0090180B"/>
    <w:rsid w:val="009018AA"/>
    <w:rsid w:val="00902EC0"/>
    <w:rsid w:val="009034C9"/>
    <w:rsid w:val="00903BA3"/>
    <w:rsid w:val="00903CE3"/>
    <w:rsid w:val="00904E0E"/>
    <w:rsid w:val="009055AA"/>
    <w:rsid w:val="009058F4"/>
    <w:rsid w:val="00905F80"/>
    <w:rsid w:val="009061FF"/>
    <w:rsid w:val="00906BA6"/>
    <w:rsid w:val="009073E6"/>
    <w:rsid w:val="00907708"/>
    <w:rsid w:val="00910030"/>
    <w:rsid w:val="009100AF"/>
    <w:rsid w:val="00910243"/>
    <w:rsid w:val="0091052B"/>
    <w:rsid w:val="00910D6B"/>
    <w:rsid w:val="00910EFE"/>
    <w:rsid w:val="00911041"/>
    <w:rsid w:val="00911A4D"/>
    <w:rsid w:val="00911D20"/>
    <w:rsid w:val="00911F25"/>
    <w:rsid w:val="009122D4"/>
    <w:rsid w:val="00912F27"/>
    <w:rsid w:val="00913330"/>
    <w:rsid w:val="00913A51"/>
    <w:rsid w:val="00913EBA"/>
    <w:rsid w:val="009151C2"/>
    <w:rsid w:val="00915458"/>
    <w:rsid w:val="009159FE"/>
    <w:rsid w:val="00916CEE"/>
    <w:rsid w:val="00917AAF"/>
    <w:rsid w:val="00917BE1"/>
    <w:rsid w:val="00917FC2"/>
    <w:rsid w:val="0092029E"/>
    <w:rsid w:val="0092033F"/>
    <w:rsid w:val="009203E1"/>
    <w:rsid w:val="009208E6"/>
    <w:rsid w:val="00921020"/>
    <w:rsid w:val="009212F0"/>
    <w:rsid w:val="00921605"/>
    <w:rsid w:val="00921AF2"/>
    <w:rsid w:val="00922236"/>
    <w:rsid w:val="00922C3A"/>
    <w:rsid w:val="0092322D"/>
    <w:rsid w:val="00923A39"/>
    <w:rsid w:val="00923B13"/>
    <w:rsid w:val="009248E7"/>
    <w:rsid w:val="00925599"/>
    <w:rsid w:val="00925B0E"/>
    <w:rsid w:val="0092643A"/>
    <w:rsid w:val="00927D9E"/>
    <w:rsid w:val="00927FE0"/>
    <w:rsid w:val="0093067F"/>
    <w:rsid w:val="009307E2"/>
    <w:rsid w:val="00930E42"/>
    <w:rsid w:val="00930ED5"/>
    <w:rsid w:val="009312AC"/>
    <w:rsid w:val="00932231"/>
    <w:rsid w:val="0093238D"/>
    <w:rsid w:val="00933D66"/>
    <w:rsid w:val="00933EA8"/>
    <w:rsid w:val="009343DB"/>
    <w:rsid w:val="00934A72"/>
    <w:rsid w:val="00934B15"/>
    <w:rsid w:val="009369FE"/>
    <w:rsid w:val="0093765D"/>
    <w:rsid w:val="00937E70"/>
    <w:rsid w:val="0094064D"/>
    <w:rsid w:val="00940CD1"/>
    <w:rsid w:val="00940E1D"/>
    <w:rsid w:val="00941286"/>
    <w:rsid w:val="00941F03"/>
    <w:rsid w:val="00942723"/>
    <w:rsid w:val="00942967"/>
    <w:rsid w:val="009442A6"/>
    <w:rsid w:val="00944571"/>
    <w:rsid w:val="00945CF0"/>
    <w:rsid w:val="009463BB"/>
    <w:rsid w:val="00947801"/>
    <w:rsid w:val="00951DAC"/>
    <w:rsid w:val="00951FEF"/>
    <w:rsid w:val="009529D2"/>
    <w:rsid w:val="00952E29"/>
    <w:rsid w:val="00952FEF"/>
    <w:rsid w:val="00953236"/>
    <w:rsid w:val="00953E8C"/>
    <w:rsid w:val="00954BEF"/>
    <w:rsid w:val="00954E6F"/>
    <w:rsid w:val="009551BD"/>
    <w:rsid w:val="0095539A"/>
    <w:rsid w:val="00956B00"/>
    <w:rsid w:val="0096003C"/>
    <w:rsid w:val="00960260"/>
    <w:rsid w:val="0096027C"/>
    <w:rsid w:val="00960636"/>
    <w:rsid w:val="00960B0A"/>
    <w:rsid w:val="00960D91"/>
    <w:rsid w:val="0096132A"/>
    <w:rsid w:val="00961378"/>
    <w:rsid w:val="0096197A"/>
    <w:rsid w:val="00962C14"/>
    <w:rsid w:val="00962C64"/>
    <w:rsid w:val="00962F6A"/>
    <w:rsid w:val="009647F7"/>
    <w:rsid w:val="00964959"/>
    <w:rsid w:val="009653D7"/>
    <w:rsid w:val="00965740"/>
    <w:rsid w:val="00966382"/>
    <w:rsid w:val="00971417"/>
    <w:rsid w:val="00971E7F"/>
    <w:rsid w:val="00972E29"/>
    <w:rsid w:val="00972E57"/>
    <w:rsid w:val="00972FA3"/>
    <w:rsid w:val="00973514"/>
    <w:rsid w:val="009737F0"/>
    <w:rsid w:val="00975089"/>
    <w:rsid w:val="00975285"/>
    <w:rsid w:val="009761CA"/>
    <w:rsid w:val="009765A0"/>
    <w:rsid w:val="0097674C"/>
    <w:rsid w:val="00976ED4"/>
    <w:rsid w:val="00976FC9"/>
    <w:rsid w:val="00976FE3"/>
    <w:rsid w:val="00977876"/>
    <w:rsid w:val="00977DF1"/>
    <w:rsid w:val="009803FA"/>
    <w:rsid w:val="009806EF"/>
    <w:rsid w:val="00981847"/>
    <w:rsid w:val="0098271E"/>
    <w:rsid w:val="00982776"/>
    <w:rsid w:val="0098378F"/>
    <w:rsid w:val="00983DB6"/>
    <w:rsid w:val="00983E13"/>
    <w:rsid w:val="009848C6"/>
    <w:rsid w:val="009857DD"/>
    <w:rsid w:val="00985949"/>
    <w:rsid w:val="00985D8B"/>
    <w:rsid w:val="00986001"/>
    <w:rsid w:val="00986979"/>
    <w:rsid w:val="00986AA7"/>
    <w:rsid w:val="009872F3"/>
    <w:rsid w:val="00987371"/>
    <w:rsid w:val="0098761C"/>
    <w:rsid w:val="0098792A"/>
    <w:rsid w:val="009879A6"/>
    <w:rsid w:val="0099124D"/>
    <w:rsid w:val="009925A8"/>
    <w:rsid w:val="00993AA9"/>
    <w:rsid w:val="00993D1B"/>
    <w:rsid w:val="00993F3D"/>
    <w:rsid w:val="00994363"/>
    <w:rsid w:val="00995BE8"/>
    <w:rsid w:val="00996714"/>
    <w:rsid w:val="00996E10"/>
    <w:rsid w:val="00997A96"/>
    <w:rsid w:val="00997DD9"/>
    <w:rsid w:val="00997E07"/>
    <w:rsid w:val="009A116F"/>
    <w:rsid w:val="009A15F9"/>
    <w:rsid w:val="009A1E23"/>
    <w:rsid w:val="009A2E48"/>
    <w:rsid w:val="009A30D3"/>
    <w:rsid w:val="009A3595"/>
    <w:rsid w:val="009A3DBA"/>
    <w:rsid w:val="009A3F19"/>
    <w:rsid w:val="009A43A2"/>
    <w:rsid w:val="009A4AB6"/>
    <w:rsid w:val="009A4BE7"/>
    <w:rsid w:val="009A52E6"/>
    <w:rsid w:val="009A5495"/>
    <w:rsid w:val="009A591C"/>
    <w:rsid w:val="009A5DBC"/>
    <w:rsid w:val="009A5F86"/>
    <w:rsid w:val="009A5FFD"/>
    <w:rsid w:val="009A69FB"/>
    <w:rsid w:val="009A77D3"/>
    <w:rsid w:val="009A78D2"/>
    <w:rsid w:val="009B0211"/>
    <w:rsid w:val="009B0A4C"/>
    <w:rsid w:val="009B148D"/>
    <w:rsid w:val="009B1549"/>
    <w:rsid w:val="009B161B"/>
    <w:rsid w:val="009B1FAC"/>
    <w:rsid w:val="009B25AF"/>
    <w:rsid w:val="009B2938"/>
    <w:rsid w:val="009B2FA5"/>
    <w:rsid w:val="009B30F2"/>
    <w:rsid w:val="009B338C"/>
    <w:rsid w:val="009B475E"/>
    <w:rsid w:val="009B4E8A"/>
    <w:rsid w:val="009B511C"/>
    <w:rsid w:val="009B53F6"/>
    <w:rsid w:val="009B5D46"/>
    <w:rsid w:val="009B64B6"/>
    <w:rsid w:val="009B6733"/>
    <w:rsid w:val="009B676D"/>
    <w:rsid w:val="009B7569"/>
    <w:rsid w:val="009B76ED"/>
    <w:rsid w:val="009B7CD3"/>
    <w:rsid w:val="009B7D2C"/>
    <w:rsid w:val="009C0E68"/>
    <w:rsid w:val="009C102E"/>
    <w:rsid w:val="009C1200"/>
    <w:rsid w:val="009C1CBB"/>
    <w:rsid w:val="009C3890"/>
    <w:rsid w:val="009C4128"/>
    <w:rsid w:val="009C4885"/>
    <w:rsid w:val="009C4FA4"/>
    <w:rsid w:val="009C57EA"/>
    <w:rsid w:val="009C59DF"/>
    <w:rsid w:val="009C5B2B"/>
    <w:rsid w:val="009C5B66"/>
    <w:rsid w:val="009C5F91"/>
    <w:rsid w:val="009C67B4"/>
    <w:rsid w:val="009C6AE5"/>
    <w:rsid w:val="009C6CD1"/>
    <w:rsid w:val="009C72ED"/>
    <w:rsid w:val="009C7586"/>
    <w:rsid w:val="009C78F1"/>
    <w:rsid w:val="009C7BAB"/>
    <w:rsid w:val="009C7E2F"/>
    <w:rsid w:val="009C7EA4"/>
    <w:rsid w:val="009C7EDE"/>
    <w:rsid w:val="009D0597"/>
    <w:rsid w:val="009D0916"/>
    <w:rsid w:val="009D0E8F"/>
    <w:rsid w:val="009D0FC7"/>
    <w:rsid w:val="009D1163"/>
    <w:rsid w:val="009D156C"/>
    <w:rsid w:val="009D19C4"/>
    <w:rsid w:val="009D1DFF"/>
    <w:rsid w:val="009D2060"/>
    <w:rsid w:val="009D23CE"/>
    <w:rsid w:val="009D2AE1"/>
    <w:rsid w:val="009D2BFB"/>
    <w:rsid w:val="009D2DD0"/>
    <w:rsid w:val="009D3109"/>
    <w:rsid w:val="009D3DE8"/>
    <w:rsid w:val="009D3E69"/>
    <w:rsid w:val="009D3E70"/>
    <w:rsid w:val="009D401A"/>
    <w:rsid w:val="009D5152"/>
    <w:rsid w:val="009D5271"/>
    <w:rsid w:val="009D5444"/>
    <w:rsid w:val="009D5A46"/>
    <w:rsid w:val="009D5CC1"/>
    <w:rsid w:val="009D5F53"/>
    <w:rsid w:val="009D6291"/>
    <w:rsid w:val="009D6521"/>
    <w:rsid w:val="009D76D3"/>
    <w:rsid w:val="009D77FA"/>
    <w:rsid w:val="009D79CA"/>
    <w:rsid w:val="009D7A00"/>
    <w:rsid w:val="009D7B62"/>
    <w:rsid w:val="009E1BDD"/>
    <w:rsid w:val="009E1CCB"/>
    <w:rsid w:val="009E1EB3"/>
    <w:rsid w:val="009E27C5"/>
    <w:rsid w:val="009E29B5"/>
    <w:rsid w:val="009E35EB"/>
    <w:rsid w:val="009E45A0"/>
    <w:rsid w:val="009E4628"/>
    <w:rsid w:val="009E5160"/>
    <w:rsid w:val="009E5223"/>
    <w:rsid w:val="009E5705"/>
    <w:rsid w:val="009E5E10"/>
    <w:rsid w:val="009E5FDC"/>
    <w:rsid w:val="009E63D0"/>
    <w:rsid w:val="009E6524"/>
    <w:rsid w:val="009E7C00"/>
    <w:rsid w:val="009E7F6A"/>
    <w:rsid w:val="009F016A"/>
    <w:rsid w:val="009F0B09"/>
    <w:rsid w:val="009F2A4F"/>
    <w:rsid w:val="009F40C0"/>
    <w:rsid w:val="009F4214"/>
    <w:rsid w:val="009F42C5"/>
    <w:rsid w:val="009F4672"/>
    <w:rsid w:val="009F4A81"/>
    <w:rsid w:val="009F56D6"/>
    <w:rsid w:val="009F5A67"/>
    <w:rsid w:val="009F5C80"/>
    <w:rsid w:val="009F67A3"/>
    <w:rsid w:val="009F6A77"/>
    <w:rsid w:val="009F6DA8"/>
    <w:rsid w:val="009F73B4"/>
    <w:rsid w:val="009F7724"/>
    <w:rsid w:val="009F773C"/>
    <w:rsid w:val="00A0016A"/>
    <w:rsid w:val="00A0018B"/>
    <w:rsid w:val="00A00BC2"/>
    <w:rsid w:val="00A01BD1"/>
    <w:rsid w:val="00A02099"/>
    <w:rsid w:val="00A021EA"/>
    <w:rsid w:val="00A0221F"/>
    <w:rsid w:val="00A022BA"/>
    <w:rsid w:val="00A028F1"/>
    <w:rsid w:val="00A02E7B"/>
    <w:rsid w:val="00A031FA"/>
    <w:rsid w:val="00A0335B"/>
    <w:rsid w:val="00A03CE6"/>
    <w:rsid w:val="00A04968"/>
    <w:rsid w:val="00A04D0C"/>
    <w:rsid w:val="00A05195"/>
    <w:rsid w:val="00A05513"/>
    <w:rsid w:val="00A067F6"/>
    <w:rsid w:val="00A07566"/>
    <w:rsid w:val="00A07AEF"/>
    <w:rsid w:val="00A07D2E"/>
    <w:rsid w:val="00A10B61"/>
    <w:rsid w:val="00A113BD"/>
    <w:rsid w:val="00A115FB"/>
    <w:rsid w:val="00A11840"/>
    <w:rsid w:val="00A11DF5"/>
    <w:rsid w:val="00A12A2A"/>
    <w:rsid w:val="00A12C0F"/>
    <w:rsid w:val="00A12D53"/>
    <w:rsid w:val="00A139E3"/>
    <w:rsid w:val="00A13EA8"/>
    <w:rsid w:val="00A14266"/>
    <w:rsid w:val="00A142D3"/>
    <w:rsid w:val="00A1431E"/>
    <w:rsid w:val="00A144AD"/>
    <w:rsid w:val="00A14841"/>
    <w:rsid w:val="00A15DC7"/>
    <w:rsid w:val="00A160B7"/>
    <w:rsid w:val="00A16DCF"/>
    <w:rsid w:val="00A16E5F"/>
    <w:rsid w:val="00A17508"/>
    <w:rsid w:val="00A205D0"/>
    <w:rsid w:val="00A2105B"/>
    <w:rsid w:val="00A21BF9"/>
    <w:rsid w:val="00A224E3"/>
    <w:rsid w:val="00A226FF"/>
    <w:rsid w:val="00A22AA2"/>
    <w:rsid w:val="00A2305C"/>
    <w:rsid w:val="00A2375C"/>
    <w:rsid w:val="00A23BC8"/>
    <w:rsid w:val="00A23BE1"/>
    <w:rsid w:val="00A2499D"/>
    <w:rsid w:val="00A24E78"/>
    <w:rsid w:val="00A250A9"/>
    <w:rsid w:val="00A25136"/>
    <w:rsid w:val="00A25222"/>
    <w:rsid w:val="00A258E6"/>
    <w:rsid w:val="00A25A95"/>
    <w:rsid w:val="00A25AED"/>
    <w:rsid w:val="00A25B14"/>
    <w:rsid w:val="00A2665F"/>
    <w:rsid w:val="00A26825"/>
    <w:rsid w:val="00A276E6"/>
    <w:rsid w:val="00A27FE4"/>
    <w:rsid w:val="00A30B1B"/>
    <w:rsid w:val="00A31309"/>
    <w:rsid w:val="00A31453"/>
    <w:rsid w:val="00A316F0"/>
    <w:rsid w:val="00A3260A"/>
    <w:rsid w:val="00A331F8"/>
    <w:rsid w:val="00A332ED"/>
    <w:rsid w:val="00A3374C"/>
    <w:rsid w:val="00A33823"/>
    <w:rsid w:val="00A33C40"/>
    <w:rsid w:val="00A33E31"/>
    <w:rsid w:val="00A34CE4"/>
    <w:rsid w:val="00A34E27"/>
    <w:rsid w:val="00A35581"/>
    <w:rsid w:val="00A35ABB"/>
    <w:rsid w:val="00A35B54"/>
    <w:rsid w:val="00A35E5E"/>
    <w:rsid w:val="00A36A25"/>
    <w:rsid w:val="00A37784"/>
    <w:rsid w:val="00A37F92"/>
    <w:rsid w:val="00A402D3"/>
    <w:rsid w:val="00A40538"/>
    <w:rsid w:val="00A40A26"/>
    <w:rsid w:val="00A40BCA"/>
    <w:rsid w:val="00A40E42"/>
    <w:rsid w:val="00A42115"/>
    <w:rsid w:val="00A42594"/>
    <w:rsid w:val="00A428A4"/>
    <w:rsid w:val="00A42DF1"/>
    <w:rsid w:val="00A42EFC"/>
    <w:rsid w:val="00A42FF1"/>
    <w:rsid w:val="00A43A65"/>
    <w:rsid w:val="00A44DC4"/>
    <w:rsid w:val="00A44E88"/>
    <w:rsid w:val="00A45319"/>
    <w:rsid w:val="00A45A50"/>
    <w:rsid w:val="00A47DB2"/>
    <w:rsid w:val="00A51089"/>
    <w:rsid w:val="00A514FF"/>
    <w:rsid w:val="00A51600"/>
    <w:rsid w:val="00A51CBD"/>
    <w:rsid w:val="00A5283F"/>
    <w:rsid w:val="00A528FB"/>
    <w:rsid w:val="00A52DE9"/>
    <w:rsid w:val="00A53416"/>
    <w:rsid w:val="00A538C7"/>
    <w:rsid w:val="00A53E5C"/>
    <w:rsid w:val="00A54783"/>
    <w:rsid w:val="00A5484D"/>
    <w:rsid w:val="00A54B19"/>
    <w:rsid w:val="00A54B2D"/>
    <w:rsid w:val="00A54B5B"/>
    <w:rsid w:val="00A5502A"/>
    <w:rsid w:val="00A55897"/>
    <w:rsid w:val="00A56BC4"/>
    <w:rsid w:val="00A56E6F"/>
    <w:rsid w:val="00A57850"/>
    <w:rsid w:val="00A60550"/>
    <w:rsid w:val="00A609C6"/>
    <w:rsid w:val="00A60F8E"/>
    <w:rsid w:val="00A635A0"/>
    <w:rsid w:val="00A636CF"/>
    <w:rsid w:val="00A637B7"/>
    <w:rsid w:val="00A63CE5"/>
    <w:rsid w:val="00A64627"/>
    <w:rsid w:val="00A649F2"/>
    <w:rsid w:val="00A6558C"/>
    <w:rsid w:val="00A65982"/>
    <w:rsid w:val="00A66BD8"/>
    <w:rsid w:val="00A67426"/>
    <w:rsid w:val="00A6765C"/>
    <w:rsid w:val="00A702F7"/>
    <w:rsid w:val="00A70541"/>
    <w:rsid w:val="00A7157E"/>
    <w:rsid w:val="00A7193C"/>
    <w:rsid w:val="00A71950"/>
    <w:rsid w:val="00A7229C"/>
    <w:rsid w:val="00A72791"/>
    <w:rsid w:val="00A728D9"/>
    <w:rsid w:val="00A72A30"/>
    <w:rsid w:val="00A72EAC"/>
    <w:rsid w:val="00A73997"/>
    <w:rsid w:val="00A74461"/>
    <w:rsid w:val="00A74AB7"/>
    <w:rsid w:val="00A75124"/>
    <w:rsid w:val="00A7547B"/>
    <w:rsid w:val="00A766BC"/>
    <w:rsid w:val="00A775CF"/>
    <w:rsid w:val="00A7760F"/>
    <w:rsid w:val="00A77B8F"/>
    <w:rsid w:val="00A806B7"/>
    <w:rsid w:val="00A8073B"/>
    <w:rsid w:val="00A80AE1"/>
    <w:rsid w:val="00A826FE"/>
    <w:rsid w:val="00A82A30"/>
    <w:rsid w:val="00A8389C"/>
    <w:rsid w:val="00A83D62"/>
    <w:rsid w:val="00A84017"/>
    <w:rsid w:val="00A8425F"/>
    <w:rsid w:val="00A8532B"/>
    <w:rsid w:val="00A858A3"/>
    <w:rsid w:val="00A8609A"/>
    <w:rsid w:val="00A860C6"/>
    <w:rsid w:val="00A86883"/>
    <w:rsid w:val="00A86B42"/>
    <w:rsid w:val="00A90641"/>
    <w:rsid w:val="00A90EF7"/>
    <w:rsid w:val="00A91CEA"/>
    <w:rsid w:val="00A91F0A"/>
    <w:rsid w:val="00A9235C"/>
    <w:rsid w:val="00A939CC"/>
    <w:rsid w:val="00A93C53"/>
    <w:rsid w:val="00A93EEF"/>
    <w:rsid w:val="00A94863"/>
    <w:rsid w:val="00A9494E"/>
    <w:rsid w:val="00A95A3C"/>
    <w:rsid w:val="00A95B7F"/>
    <w:rsid w:val="00A95D7A"/>
    <w:rsid w:val="00A9694E"/>
    <w:rsid w:val="00A96A87"/>
    <w:rsid w:val="00A97BB4"/>
    <w:rsid w:val="00AA06B2"/>
    <w:rsid w:val="00AA075B"/>
    <w:rsid w:val="00AA0A93"/>
    <w:rsid w:val="00AA1676"/>
    <w:rsid w:val="00AA16F8"/>
    <w:rsid w:val="00AA2A88"/>
    <w:rsid w:val="00AA34D0"/>
    <w:rsid w:val="00AA410F"/>
    <w:rsid w:val="00AA4435"/>
    <w:rsid w:val="00AA4549"/>
    <w:rsid w:val="00AA488D"/>
    <w:rsid w:val="00AA4B5A"/>
    <w:rsid w:val="00AA54C4"/>
    <w:rsid w:val="00AA5685"/>
    <w:rsid w:val="00AA5699"/>
    <w:rsid w:val="00AA61DD"/>
    <w:rsid w:val="00AA6D9A"/>
    <w:rsid w:val="00AA72EB"/>
    <w:rsid w:val="00AA7F6C"/>
    <w:rsid w:val="00AB1807"/>
    <w:rsid w:val="00AB1F10"/>
    <w:rsid w:val="00AB217C"/>
    <w:rsid w:val="00AB28C6"/>
    <w:rsid w:val="00AB2FBF"/>
    <w:rsid w:val="00AB3088"/>
    <w:rsid w:val="00AB325E"/>
    <w:rsid w:val="00AB3427"/>
    <w:rsid w:val="00AB3B94"/>
    <w:rsid w:val="00AB494D"/>
    <w:rsid w:val="00AB49AD"/>
    <w:rsid w:val="00AB4A44"/>
    <w:rsid w:val="00AB58EB"/>
    <w:rsid w:val="00AB5D03"/>
    <w:rsid w:val="00AB63C8"/>
    <w:rsid w:val="00AB6C28"/>
    <w:rsid w:val="00AB7DB3"/>
    <w:rsid w:val="00AC0601"/>
    <w:rsid w:val="00AC16D9"/>
    <w:rsid w:val="00AC1AA9"/>
    <w:rsid w:val="00AC336B"/>
    <w:rsid w:val="00AC4450"/>
    <w:rsid w:val="00AC47BD"/>
    <w:rsid w:val="00AC5757"/>
    <w:rsid w:val="00AC58A7"/>
    <w:rsid w:val="00AC5D91"/>
    <w:rsid w:val="00AC6C70"/>
    <w:rsid w:val="00AC7977"/>
    <w:rsid w:val="00AD0884"/>
    <w:rsid w:val="00AD0927"/>
    <w:rsid w:val="00AD09FA"/>
    <w:rsid w:val="00AD0BFB"/>
    <w:rsid w:val="00AD11B9"/>
    <w:rsid w:val="00AD15CF"/>
    <w:rsid w:val="00AD1A72"/>
    <w:rsid w:val="00AD1F1F"/>
    <w:rsid w:val="00AD24D0"/>
    <w:rsid w:val="00AD274B"/>
    <w:rsid w:val="00AD292D"/>
    <w:rsid w:val="00AD3062"/>
    <w:rsid w:val="00AD3D27"/>
    <w:rsid w:val="00AD413D"/>
    <w:rsid w:val="00AD4441"/>
    <w:rsid w:val="00AD469F"/>
    <w:rsid w:val="00AD7319"/>
    <w:rsid w:val="00AD7998"/>
    <w:rsid w:val="00AD7BFE"/>
    <w:rsid w:val="00AD7C78"/>
    <w:rsid w:val="00AD7EB7"/>
    <w:rsid w:val="00AE0B7D"/>
    <w:rsid w:val="00AE1C33"/>
    <w:rsid w:val="00AE2409"/>
    <w:rsid w:val="00AE2D38"/>
    <w:rsid w:val="00AE3989"/>
    <w:rsid w:val="00AE5950"/>
    <w:rsid w:val="00AE6CE6"/>
    <w:rsid w:val="00AE6D0A"/>
    <w:rsid w:val="00AE71D7"/>
    <w:rsid w:val="00AE7328"/>
    <w:rsid w:val="00AE7397"/>
    <w:rsid w:val="00AE73CA"/>
    <w:rsid w:val="00AE741A"/>
    <w:rsid w:val="00AE75C1"/>
    <w:rsid w:val="00AE76B3"/>
    <w:rsid w:val="00AE79B6"/>
    <w:rsid w:val="00AF07C3"/>
    <w:rsid w:val="00AF12DE"/>
    <w:rsid w:val="00AF26BB"/>
    <w:rsid w:val="00AF2711"/>
    <w:rsid w:val="00AF291F"/>
    <w:rsid w:val="00AF2E65"/>
    <w:rsid w:val="00AF36A2"/>
    <w:rsid w:val="00AF37C4"/>
    <w:rsid w:val="00AF3809"/>
    <w:rsid w:val="00AF3CD8"/>
    <w:rsid w:val="00AF3F32"/>
    <w:rsid w:val="00AF423A"/>
    <w:rsid w:val="00AF4B02"/>
    <w:rsid w:val="00AF4EF7"/>
    <w:rsid w:val="00AF5A78"/>
    <w:rsid w:val="00AF5C0D"/>
    <w:rsid w:val="00AF6B45"/>
    <w:rsid w:val="00AF7059"/>
    <w:rsid w:val="00B00CA6"/>
    <w:rsid w:val="00B0103A"/>
    <w:rsid w:val="00B01273"/>
    <w:rsid w:val="00B0175C"/>
    <w:rsid w:val="00B01FDB"/>
    <w:rsid w:val="00B020FA"/>
    <w:rsid w:val="00B02161"/>
    <w:rsid w:val="00B02282"/>
    <w:rsid w:val="00B02432"/>
    <w:rsid w:val="00B024C6"/>
    <w:rsid w:val="00B025D4"/>
    <w:rsid w:val="00B04A40"/>
    <w:rsid w:val="00B04C74"/>
    <w:rsid w:val="00B05B9F"/>
    <w:rsid w:val="00B060AF"/>
    <w:rsid w:val="00B061CD"/>
    <w:rsid w:val="00B0770B"/>
    <w:rsid w:val="00B104EC"/>
    <w:rsid w:val="00B10CDD"/>
    <w:rsid w:val="00B1120C"/>
    <w:rsid w:val="00B11693"/>
    <w:rsid w:val="00B11B6F"/>
    <w:rsid w:val="00B12291"/>
    <w:rsid w:val="00B14FB8"/>
    <w:rsid w:val="00B15246"/>
    <w:rsid w:val="00B15415"/>
    <w:rsid w:val="00B16779"/>
    <w:rsid w:val="00B173B1"/>
    <w:rsid w:val="00B179C8"/>
    <w:rsid w:val="00B17E60"/>
    <w:rsid w:val="00B20225"/>
    <w:rsid w:val="00B20A80"/>
    <w:rsid w:val="00B21F72"/>
    <w:rsid w:val="00B2232D"/>
    <w:rsid w:val="00B223AC"/>
    <w:rsid w:val="00B22FD4"/>
    <w:rsid w:val="00B2365E"/>
    <w:rsid w:val="00B23F1C"/>
    <w:rsid w:val="00B24F34"/>
    <w:rsid w:val="00B24F36"/>
    <w:rsid w:val="00B2507E"/>
    <w:rsid w:val="00B25277"/>
    <w:rsid w:val="00B26607"/>
    <w:rsid w:val="00B27870"/>
    <w:rsid w:val="00B309AD"/>
    <w:rsid w:val="00B328E6"/>
    <w:rsid w:val="00B33138"/>
    <w:rsid w:val="00B3322B"/>
    <w:rsid w:val="00B338ED"/>
    <w:rsid w:val="00B33E58"/>
    <w:rsid w:val="00B346A5"/>
    <w:rsid w:val="00B34B62"/>
    <w:rsid w:val="00B34F5B"/>
    <w:rsid w:val="00B35BCD"/>
    <w:rsid w:val="00B35E73"/>
    <w:rsid w:val="00B36528"/>
    <w:rsid w:val="00B36828"/>
    <w:rsid w:val="00B37109"/>
    <w:rsid w:val="00B37991"/>
    <w:rsid w:val="00B4018C"/>
    <w:rsid w:val="00B4072C"/>
    <w:rsid w:val="00B40823"/>
    <w:rsid w:val="00B4201F"/>
    <w:rsid w:val="00B4281A"/>
    <w:rsid w:val="00B43067"/>
    <w:rsid w:val="00B43C7F"/>
    <w:rsid w:val="00B4428B"/>
    <w:rsid w:val="00B44757"/>
    <w:rsid w:val="00B4517E"/>
    <w:rsid w:val="00B45DB1"/>
    <w:rsid w:val="00B467C2"/>
    <w:rsid w:val="00B50CD3"/>
    <w:rsid w:val="00B53881"/>
    <w:rsid w:val="00B53F50"/>
    <w:rsid w:val="00B54308"/>
    <w:rsid w:val="00B55234"/>
    <w:rsid w:val="00B558D2"/>
    <w:rsid w:val="00B55A48"/>
    <w:rsid w:val="00B55BFA"/>
    <w:rsid w:val="00B55D63"/>
    <w:rsid w:val="00B55FB9"/>
    <w:rsid w:val="00B55FBF"/>
    <w:rsid w:val="00B562E4"/>
    <w:rsid w:val="00B579ED"/>
    <w:rsid w:val="00B57C03"/>
    <w:rsid w:val="00B604B7"/>
    <w:rsid w:val="00B60D7E"/>
    <w:rsid w:val="00B60DB1"/>
    <w:rsid w:val="00B61F75"/>
    <w:rsid w:val="00B61FE1"/>
    <w:rsid w:val="00B63000"/>
    <w:rsid w:val="00B63903"/>
    <w:rsid w:val="00B63CE4"/>
    <w:rsid w:val="00B64355"/>
    <w:rsid w:val="00B644C9"/>
    <w:rsid w:val="00B654A2"/>
    <w:rsid w:val="00B6562A"/>
    <w:rsid w:val="00B66155"/>
    <w:rsid w:val="00B66669"/>
    <w:rsid w:val="00B67158"/>
    <w:rsid w:val="00B67CE8"/>
    <w:rsid w:val="00B703B6"/>
    <w:rsid w:val="00B70775"/>
    <w:rsid w:val="00B70F2C"/>
    <w:rsid w:val="00B70F54"/>
    <w:rsid w:val="00B72693"/>
    <w:rsid w:val="00B741E4"/>
    <w:rsid w:val="00B743D1"/>
    <w:rsid w:val="00B7468E"/>
    <w:rsid w:val="00B75059"/>
    <w:rsid w:val="00B755FB"/>
    <w:rsid w:val="00B7676E"/>
    <w:rsid w:val="00B77B04"/>
    <w:rsid w:val="00B77EAC"/>
    <w:rsid w:val="00B80A3C"/>
    <w:rsid w:val="00B81090"/>
    <w:rsid w:val="00B814BF"/>
    <w:rsid w:val="00B81910"/>
    <w:rsid w:val="00B81C1A"/>
    <w:rsid w:val="00B8286A"/>
    <w:rsid w:val="00B82922"/>
    <w:rsid w:val="00B82FE4"/>
    <w:rsid w:val="00B83B42"/>
    <w:rsid w:val="00B83F0E"/>
    <w:rsid w:val="00B841E2"/>
    <w:rsid w:val="00B843BF"/>
    <w:rsid w:val="00B845F6"/>
    <w:rsid w:val="00B84FAB"/>
    <w:rsid w:val="00B853B8"/>
    <w:rsid w:val="00B85443"/>
    <w:rsid w:val="00B85AD3"/>
    <w:rsid w:val="00B85D31"/>
    <w:rsid w:val="00B8666E"/>
    <w:rsid w:val="00B874B9"/>
    <w:rsid w:val="00B877DA"/>
    <w:rsid w:val="00B9020C"/>
    <w:rsid w:val="00B930D4"/>
    <w:rsid w:val="00B93923"/>
    <w:rsid w:val="00B940D0"/>
    <w:rsid w:val="00B942F4"/>
    <w:rsid w:val="00B956A3"/>
    <w:rsid w:val="00B957A1"/>
    <w:rsid w:val="00B95862"/>
    <w:rsid w:val="00B95F59"/>
    <w:rsid w:val="00B9670C"/>
    <w:rsid w:val="00BA024B"/>
    <w:rsid w:val="00BA1226"/>
    <w:rsid w:val="00BA1467"/>
    <w:rsid w:val="00BA1505"/>
    <w:rsid w:val="00BA1768"/>
    <w:rsid w:val="00BA1E26"/>
    <w:rsid w:val="00BA1E52"/>
    <w:rsid w:val="00BA20DA"/>
    <w:rsid w:val="00BA2DF9"/>
    <w:rsid w:val="00BA3590"/>
    <w:rsid w:val="00BA3CFC"/>
    <w:rsid w:val="00BA41BF"/>
    <w:rsid w:val="00BA42C2"/>
    <w:rsid w:val="00BA4868"/>
    <w:rsid w:val="00BA490D"/>
    <w:rsid w:val="00BA4957"/>
    <w:rsid w:val="00BA4A59"/>
    <w:rsid w:val="00BA4F61"/>
    <w:rsid w:val="00BA5768"/>
    <w:rsid w:val="00BA5A24"/>
    <w:rsid w:val="00BA5E08"/>
    <w:rsid w:val="00BA72F4"/>
    <w:rsid w:val="00BA797D"/>
    <w:rsid w:val="00BA7B2B"/>
    <w:rsid w:val="00BB12DF"/>
    <w:rsid w:val="00BB2BCA"/>
    <w:rsid w:val="00BB2D4A"/>
    <w:rsid w:val="00BB33FA"/>
    <w:rsid w:val="00BB3957"/>
    <w:rsid w:val="00BB3BCA"/>
    <w:rsid w:val="00BB3E69"/>
    <w:rsid w:val="00BB418A"/>
    <w:rsid w:val="00BB41D2"/>
    <w:rsid w:val="00BB473A"/>
    <w:rsid w:val="00BB5553"/>
    <w:rsid w:val="00BB6581"/>
    <w:rsid w:val="00BB7D7F"/>
    <w:rsid w:val="00BC0679"/>
    <w:rsid w:val="00BC14AD"/>
    <w:rsid w:val="00BC2856"/>
    <w:rsid w:val="00BC289B"/>
    <w:rsid w:val="00BC2C12"/>
    <w:rsid w:val="00BC36CE"/>
    <w:rsid w:val="00BC4BCE"/>
    <w:rsid w:val="00BC4E5D"/>
    <w:rsid w:val="00BC66EE"/>
    <w:rsid w:val="00BC6827"/>
    <w:rsid w:val="00BC6AEC"/>
    <w:rsid w:val="00BC6B5A"/>
    <w:rsid w:val="00BC774A"/>
    <w:rsid w:val="00BC796F"/>
    <w:rsid w:val="00BC7AB3"/>
    <w:rsid w:val="00BC7E6C"/>
    <w:rsid w:val="00BC7FB5"/>
    <w:rsid w:val="00BD0392"/>
    <w:rsid w:val="00BD06AC"/>
    <w:rsid w:val="00BD142E"/>
    <w:rsid w:val="00BD144C"/>
    <w:rsid w:val="00BD21B5"/>
    <w:rsid w:val="00BD2540"/>
    <w:rsid w:val="00BD273E"/>
    <w:rsid w:val="00BD322A"/>
    <w:rsid w:val="00BD3F1A"/>
    <w:rsid w:val="00BD4833"/>
    <w:rsid w:val="00BD5211"/>
    <w:rsid w:val="00BD6260"/>
    <w:rsid w:val="00BD78E8"/>
    <w:rsid w:val="00BD7C79"/>
    <w:rsid w:val="00BD7CA0"/>
    <w:rsid w:val="00BE106A"/>
    <w:rsid w:val="00BE18AD"/>
    <w:rsid w:val="00BE1CBE"/>
    <w:rsid w:val="00BE2B03"/>
    <w:rsid w:val="00BE3FC5"/>
    <w:rsid w:val="00BE49DA"/>
    <w:rsid w:val="00BE4AB9"/>
    <w:rsid w:val="00BE5D98"/>
    <w:rsid w:val="00BE6137"/>
    <w:rsid w:val="00BE6F73"/>
    <w:rsid w:val="00BE7555"/>
    <w:rsid w:val="00BE7AF0"/>
    <w:rsid w:val="00BF06EB"/>
    <w:rsid w:val="00BF08FD"/>
    <w:rsid w:val="00BF0F8C"/>
    <w:rsid w:val="00BF1214"/>
    <w:rsid w:val="00BF1302"/>
    <w:rsid w:val="00BF1607"/>
    <w:rsid w:val="00BF2BAE"/>
    <w:rsid w:val="00BF37F3"/>
    <w:rsid w:val="00BF3A61"/>
    <w:rsid w:val="00BF3F9C"/>
    <w:rsid w:val="00BF5965"/>
    <w:rsid w:val="00BF5B97"/>
    <w:rsid w:val="00BF7A66"/>
    <w:rsid w:val="00BF7BFA"/>
    <w:rsid w:val="00BF7CB2"/>
    <w:rsid w:val="00BF7F76"/>
    <w:rsid w:val="00C006C6"/>
    <w:rsid w:val="00C01865"/>
    <w:rsid w:val="00C031C4"/>
    <w:rsid w:val="00C0337A"/>
    <w:rsid w:val="00C0342E"/>
    <w:rsid w:val="00C04E1A"/>
    <w:rsid w:val="00C054DE"/>
    <w:rsid w:val="00C06244"/>
    <w:rsid w:val="00C07A39"/>
    <w:rsid w:val="00C1064F"/>
    <w:rsid w:val="00C109A5"/>
    <w:rsid w:val="00C10E7D"/>
    <w:rsid w:val="00C11A36"/>
    <w:rsid w:val="00C11EA9"/>
    <w:rsid w:val="00C1227B"/>
    <w:rsid w:val="00C13EC9"/>
    <w:rsid w:val="00C14774"/>
    <w:rsid w:val="00C1487B"/>
    <w:rsid w:val="00C14A0D"/>
    <w:rsid w:val="00C14DDF"/>
    <w:rsid w:val="00C155DB"/>
    <w:rsid w:val="00C164F6"/>
    <w:rsid w:val="00C165DE"/>
    <w:rsid w:val="00C16B01"/>
    <w:rsid w:val="00C16B63"/>
    <w:rsid w:val="00C16B9E"/>
    <w:rsid w:val="00C20093"/>
    <w:rsid w:val="00C20747"/>
    <w:rsid w:val="00C2121E"/>
    <w:rsid w:val="00C214B0"/>
    <w:rsid w:val="00C223EF"/>
    <w:rsid w:val="00C237A3"/>
    <w:rsid w:val="00C23A86"/>
    <w:rsid w:val="00C24F0B"/>
    <w:rsid w:val="00C25142"/>
    <w:rsid w:val="00C2582E"/>
    <w:rsid w:val="00C2584C"/>
    <w:rsid w:val="00C259F4"/>
    <w:rsid w:val="00C25C51"/>
    <w:rsid w:val="00C25FC2"/>
    <w:rsid w:val="00C26318"/>
    <w:rsid w:val="00C26748"/>
    <w:rsid w:val="00C26CC9"/>
    <w:rsid w:val="00C27A22"/>
    <w:rsid w:val="00C27BA6"/>
    <w:rsid w:val="00C27FE2"/>
    <w:rsid w:val="00C30058"/>
    <w:rsid w:val="00C30362"/>
    <w:rsid w:val="00C3220F"/>
    <w:rsid w:val="00C34363"/>
    <w:rsid w:val="00C34B4B"/>
    <w:rsid w:val="00C35721"/>
    <w:rsid w:val="00C36B55"/>
    <w:rsid w:val="00C36DD9"/>
    <w:rsid w:val="00C37BC7"/>
    <w:rsid w:val="00C40AB0"/>
    <w:rsid w:val="00C41C6D"/>
    <w:rsid w:val="00C427E1"/>
    <w:rsid w:val="00C4290A"/>
    <w:rsid w:val="00C431BC"/>
    <w:rsid w:val="00C436A7"/>
    <w:rsid w:val="00C44115"/>
    <w:rsid w:val="00C444EB"/>
    <w:rsid w:val="00C454B4"/>
    <w:rsid w:val="00C45829"/>
    <w:rsid w:val="00C45B34"/>
    <w:rsid w:val="00C46EE4"/>
    <w:rsid w:val="00C47606"/>
    <w:rsid w:val="00C5073E"/>
    <w:rsid w:val="00C51283"/>
    <w:rsid w:val="00C51AF6"/>
    <w:rsid w:val="00C51E92"/>
    <w:rsid w:val="00C52747"/>
    <w:rsid w:val="00C52966"/>
    <w:rsid w:val="00C53145"/>
    <w:rsid w:val="00C53A31"/>
    <w:rsid w:val="00C54A2D"/>
    <w:rsid w:val="00C54D50"/>
    <w:rsid w:val="00C56AB6"/>
    <w:rsid w:val="00C56F1F"/>
    <w:rsid w:val="00C56F53"/>
    <w:rsid w:val="00C57A91"/>
    <w:rsid w:val="00C57BA9"/>
    <w:rsid w:val="00C57CAA"/>
    <w:rsid w:val="00C57FCF"/>
    <w:rsid w:val="00C600B6"/>
    <w:rsid w:val="00C60352"/>
    <w:rsid w:val="00C61509"/>
    <w:rsid w:val="00C6264F"/>
    <w:rsid w:val="00C62AD8"/>
    <w:rsid w:val="00C636A3"/>
    <w:rsid w:val="00C6370F"/>
    <w:rsid w:val="00C63904"/>
    <w:rsid w:val="00C63BB6"/>
    <w:rsid w:val="00C63D99"/>
    <w:rsid w:val="00C63FCE"/>
    <w:rsid w:val="00C64219"/>
    <w:rsid w:val="00C64AD3"/>
    <w:rsid w:val="00C64CB7"/>
    <w:rsid w:val="00C6568B"/>
    <w:rsid w:val="00C65A56"/>
    <w:rsid w:val="00C6602E"/>
    <w:rsid w:val="00C66404"/>
    <w:rsid w:val="00C66E77"/>
    <w:rsid w:val="00C6737C"/>
    <w:rsid w:val="00C70611"/>
    <w:rsid w:val="00C70B87"/>
    <w:rsid w:val="00C70F5A"/>
    <w:rsid w:val="00C743B2"/>
    <w:rsid w:val="00C7442B"/>
    <w:rsid w:val="00C74D78"/>
    <w:rsid w:val="00C76369"/>
    <w:rsid w:val="00C77218"/>
    <w:rsid w:val="00C77A13"/>
    <w:rsid w:val="00C77FC0"/>
    <w:rsid w:val="00C80012"/>
    <w:rsid w:val="00C80B0C"/>
    <w:rsid w:val="00C81D81"/>
    <w:rsid w:val="00C824DE"/>
    <w:rsid w:val="00C82F8C"/>
    <w:rsid w:val="00C8300F"/>
    <w:rsid w:val="00C83B8B"/>
    <w:rsid w:val="00C840E5"/>
    <w:rsid w:val="00C847F6"/>
    <w:rsid w:val="00C84AD5"/>
    <w:rsid w:val="00C85006"/>
    <w:rsid w:val="00C850C9"/>
    <w:rsid w:val="00C869BE"/>
    <w:rsid w:val="00C86DE8"/>
    <w:rsid w:val="00C90729"/>
    <w:rsid w:val="00C91080"/>
    <w:rsid w:val="00C915BD"/>
    <w:rsid w:val="00C91B33"/>
    <w:rsid w:val="00C91CF7"/>
    <w:rsid w:val="00C92088"/>
    <w:rsid w:val="00C92196"/>
    <w:rsid w:val="00C923EE"/>
    <w:rsid w:val="00C927D3"/>
    <w:rsid w:val="00C93200"/>
    <w:rsid w:val="00C9472A"/>
    <w:rsid w:val="00C94F50"/>
    <w:rsid w:val="00C95554"/>
    <w:rsid w:val="00C956A5"/>
    <w:rsid w:val="00C958A2"/>
    <w:rsid w:val="00C95DC7"/>
    <w:rsid w:val="00C964BE"/>
    <w:rsid w:val="00C9787C"/>
    <w:rsid w:val="00C978F2"/>
    <w:rsid w:val="00C97E07"/>
    <w:rsid w:val="00CA06E5"/>
    <w:rsid w:val="00CA0DB8"/>
    <w:rsid w:val="00CA1900"/>
    <w:rsid w:val="00CA2058"/>
    <w:rsid w:val="00CA31ED"/>
    <w:rsid w:val="00CA3257"/>
    <w:rsid w:val="00CA3702"/>
    <w:rsid w:val="00CA5264"/>
    <w:rsid w:val="00CA5E45"/>
    <w:rsid w:val="00CA6A50"/>
    <w:rsid w:val="00CA74C1"/>
    <w:rsid w:val="00CA78D8"/>
    <w:rsid w:val="00CB03FC"/>
    <w:rsid w:val="00CB0AB4"/>
    <w:rsid w:val="00CB1DF0"/>
    <w:rsid w:val="00CB1EE2"/>
    <w:rsid w:val="00CB36F2"/>
    <w:rsid w:val="00CB4336"/>
    <w:rsid w:val="00CB4580"/>
    <w:rsid w:val="00CB56A1"/>
    <w:rsid w:val="00CB5A18"/>
    <w:rsid w:val="00CB60CD"/>
    <w:rsid w:val="00CB60FE"/>
    <w:rsid w:val="00CB6B59"/>
    <w:rsid w:val="00CB71CE"/>
    <w:rsid w:val="00CB77C0"/>
    <w:rsid w:val="00CB7EAD"/>
    <w:rsid w:val="00CB7F51"/>
    <w:rsid w:val="00CC0453"/>
    <w:rsid w:val="00CC1453"/>
    <w:rsid w:val="00CC1B9A"/>
    <w:rsid w:val="00CC1D87"/>
    <w:rsid w:val="00CC2609"/>
    <w:rsid w:val="00CC263F"/>
    <w:rsid w:val="00CC2BD8"/>
    <w:rsid w:val="00CC2BF6"/>
    <w:rsid w:val="00CC332B"/>
    <w:rsid w:val="00CC4278"/>
    <w:rsid w:val="00CC4692"/>
    <w:rsid w:val="00CC5A77"/>
    <w:rsid w:val="00CC6717"/>
    <w:rsid w:val="00CC6AC1"/>
    <w:rsid w:val="00CC6EC3"/>
    <w:rsid w:val="00CD1B5E"/>
    <w:rsid w:val="00CD23C6"/>
    <w:rsid w:val="00CD24B0"/>
    <w:rsid w:val="00CD2BF9"/>
    <w:rsid w:val="00CD3115"/>
    <w:rsid w:val="00CD4115"/>
    <w:rsid w:val="00CD4123"/>
    <w:rsid w:val="00CD496C"/>
    <w:rsid w:val="00CD682A"/>
    <w:rsid w:val="00CD6E67"/>
    <w:rsid w:val="00CD7049"/>
    <w:rsid w:val="00CD78DB"/>
    <w:rsid w:val="00CD7BEF"/>
    <w:rsid w:val="00CE0BDA"/>
    <w:rsid w:val="00CE0DE1"/>
    <w:rsid w:val="00CE1702"/>
    <w:rsid w:val="00CE1949"/>
    <w:rsid w:val="00CE1AA1"/>
    <w:rsid w:val="00CE2DFD"/>
    <w:rsid w:val="00CE3901"/>
    <w:rsid w:val="00CE4033"/>
    <w:rsid w:val="00CE4B00"/>
    <w:rsid w:val="00CE5DBB"/>
    <w:rsid w:val="00CE5EC4"/>
    <w:rsid w:val="00CE64E0"/>
    <w:rsid w:val="00CE66CF"/>
    <w:rsid w:val="00CE6B0D"/>
    <w:rsid w:val="00CE6E29"/>
    <w:rsid w:val="00CE710F"/>
    <w:rsid w:val="00CE7122"/>
    <w:rsid w:val="00CE73CE"/>
    <w:rsid w:val="00CE7547"/>
    <w:rsid w:val="00CE7855"/>
    <w:rsid w:val="00CF0668"/>
    <w:rsid w:val="00CF0917"/>
    <w:rsid w:val="00CF0B6F"/>
    <w:rsid w:val="00CF191F"/>
    <w:rsid w:val="00CF1DD7"/>
    <w:rsid w:val="00CF470A"/>
    <w:rsid w:val="00CF4FF0"/>
    <w:rsid w:val="00CF4FF6"/>
    <w:rsid w:val="00CF56A1"/>
    <w:rsid w:val="00CF5958"/>
    <w:rsid w:val="00CF5FBD"/>
    <w:rsid w:val="00CF6319"/>
    <w:rsid w:val="00CF7440"/>
    <w:rsid w:val="00CF78CD"/>
    <w:rsid w:val="00CF7B30"/>
    <w:rsid w:val="00CF7D68"/>
    <w:rsid w:val="00D007F2"/>
    <w:rsid w:val="00D01196"/>
    <w:rsid w:val="00D01F2E"/>
    <w:rsid w:val="00D0227C"/>
    <w:rsid w:val="00D026A1"/>
    <w:rsid w:val="00D02806"/>
    <w:rsid w:val="00D02CA9"/>
    <w:rsid w:val="00D0386E"/>
    <w:rsid w:val="00D04255"/>
    <w:rsid w:val="00D04D15"/>
    <w:rsid w:val="00D05241"/>
    <w:rsid w:val="00D05BD3"/>
    <w:rsid w:val="00D0640E"/>
    <w:rsid w:val="00D101E2"/>
    <w:rsid w:val="00D10C55"/>
    <w:rsid w:val="00D11AE9"/>
    <w:rsid w:val="00D11F40"/>
    <w:rsid w:val="00D12A4F"/>
    <w:rsid w:val="00D1366F"/>
    <w:rsid w:val="00D13807"/>
    <w:rsid w:val="00D14770"/>
    <w:rsid w:val="00D14B07"/>
    <w:rsid w:val="00D15B13"/>
    <w:rsid w:val="00D15CDF"/>
    <w:rsid w:val="00D17955"/>
    <w:rsid w:val="00D203B0"/>
    <w:rsid w:val="00D21A65"/>
    <w:rsid w:val="00D22330"/>
    <w:rsid w:val="00D2287F"/>
    <w:rsid w:val="00D23A74"/>
    <w:rsid w:val="00D23F1E"/>
    <w:rsid w:val="00D24392"/>
    <w:rsid w:val="00D25668"/>
    <w:rsid w:val="00D25918"/>
    <w:rsid w:val="00D25AE4"/>
    <w:rsid w:val="00D261EA"/>
    <w:rsid w:val="00D269E8"/>
    <w:rsid w:val="00D27646"/>
    <w:rsid w:val="00D278B0"/>
    <w:rsid w:val="00D305F0"/>
    <w:rsid w:val="00D313CA"/>
    <w:rsid w:val="00D319CD"/>
    <w:rsid w:val="00D31E38"/>
    <w:rsid w:val="00D31FE0"/>
    <w:rsid w:val="00D32BFA"/>
    <w:rsid w:val="00D3367C"/>
    <w:rsid w:val="00D33791"/>
    <w:rsid w:val="00D35623"/>
    <w:rsid w:val="00D35BCB"/>
    <w:rsid w:val="00D36785"/>
    <w:rsid w:val="00D378A3"/>
    <w:rsid w:val="00D40EB3"/>
    <w:rsid w:val="00D41B45"/>
    <w:rsid w:val="00D41EF7"/>
    <w:rsid w:val="00D42503"/>
    <w:rsid w:val="00D42617"/>
    <w:rsid w:val="00D42D4E"/>
    <w:rsid w:val="00D43ED8"/>
    <w:rsid w:val="00D44888"/>
    <w:rsid w:val="00D44D9D"/>
    <w:rsid w:val="00D4542C"/>
    <w:rsid w:val="00D46278"/>
    <w:rsid w:val="00D471D6"/>
    <w:rsid w:val="00D473B4"/>
    <w:rsid w:val="00D50364"/>
    <w:rsid w:val="00D50472"/>
    <w:rsid w:val="00D5094F"/>
    <w:rsid w:val="00D50C03"/>
    <w:rsid w:val="00D5100A"/>
    <w:rsid w:val="00D5151B"/>
    <w:rsid w:val="00D5191F"/>
    <w:rsid w:val="00D51CEC"/>
    <w:rsid w:val="00D51EFE"/>
    <w:rsid w:val="00D53008"/>
    <w:rsid w:val="00D531CA"/>
    <w:rsid w:val="00D543D9"/>
    <w:rsid w:val="00D54632"/>
    <w:rsid w:val="00D5488C"/>
    <w:rsid w:val="00D555F3"/>
    <w:rsid w:val="00D5639F"/>
    <w:rsid w:val="00D566D6"/>
    <w:rsid w:val="00D567A6"/>
    <w:rsid w:val="00D60013"/>
    <w:rsid w:val="00D60164"/>
    <w:rsid w:val="00D602C8"/>
    <w:rsid w:val="00D6100D"/>
    <w:rsid w:val="00D619E4"/>
    <w:rsid w:val="00D62028"/>
    <w:rsid w:val="00D6242F"/>
    <w:rsid w:val="00D62B64"/>
    <w:rsid w:val="00D62C60"/>
    <w:rsid w:val="00D630FB"/>
    <w:rsid w:val="00D63C10"/>
    <w:rsid w:val="00D63D5B"/>
    <w:rsid w:val="00D63F0B"/>
    <w:rsid w:val="00D6413B"/>
    <w:rsid w:val="00D651CF"/>
    <w:rsid w:val="00D65A83"/>
    <w:rsid w:val="00D65B30"/>
    <w:rsid w:val="00D66201"/>
    <w:rsid w:val="00D66991"/>
    <w:rsid w:val="00D66A74"/>
    <w:rsid w:val="00D66B7E"/>
    <w:rsid w:val="00D671C1"/>
    <w:rsid w:val="00D67469"/>
    <w:rsid w:val="00D7016D"/>
    <w:rsid w:val="00D70520"/>
    <w:rsid w:val="00D70D9E"/>
    <w:rsid w:val="00D70F67"/>
    <w:rsid w:val="00D7120C"/>
    <w:rsid w:val="00D71701"/>
    <w:rsid w:val="00D71760"/>
    <w:rsid w:val="00D72B61"/>
    <w:rsid w:val="00D73311"/>
    <w:rsid w:val="00D73EC0"/>
    <w:rsid w:val="00D73FD9"/>
    <w:rsid w:val="00D74331"/>
    <w:rsid w:val="00D7443D"/>
    <w:rsid w:val="00D75445"/>
    <w:rsid w:val="00D757B2"/>
    <w:rsid w:val="00D75A27"/>
    <w:rsid w:val="00D7656B"/>
    <w:rsid w:val="00D771AF"/>
    <w:rsid w:val="00D77850"/>
    <w:rsid w:val="00D80AD8"/>
    <w:rsid w:val="00D80D73"/>
    <w:rsid w:val="00D80F42"/>
    <w:rsid w:val="00D81D24"/>
    <w:rsid w:val="00D824E3"/>
    <w:rsid w:val="00D83863"/>
    <w:rsid w:val="00D83DA9"/>
    <w:rsid w:val="00D848EE"/>
    <w:rsid w:val="00D85193"/>
    <w:rsid w:val="00D85978"/>
    <w:rsid w:val="00D860FD"/>
    <w:rsid w:val="00D86182"/>
    <w:rsid w:val="00D861C8"/>
    <w:rsid w:val="00D86346"/>
    <w:rsid w:val="00D8681B"/>
    <w:rsid w:val="00D86829"/>
    <w:rsid w:val="00D873C8"/>
    <w:rsid w:val="00D87A08"/>
    <w:rsid w:val="00D87C51"/>
    <w:rsid w:val="00D87E4D"/>
    <w:rsid w:val="00D9045D"/>
    <w:rsid w:val="00D90797"/>
    <w:rsid w:val="00D90BE8"/>
    <w:rsid w:val="00D915B1"/>
    <w:rsid w:val="00D91ECD"/>
    <w:rsid w:val="00D9292A"/>
    <w:rsid w:val="00D92B02"/>
    <w:rsid w:val="00D932AD"/>
    <w:rsid w:val="00D93333"/>
    <w:rsid w:val="00D951B1"/>
    <w:rsid w:val="00D95AE4"/>
    <w:rsid w:val="00D96001"/>
    <w:rsid w:val="00D96CF3"/>
    <w:rsid w:val="00DA0930"/>
    <w:rsid w:val="00DA1472"/>
    <w:rsid w:val="00DA1B0A"/>
    <w:rsid w:val="00DA1EF3"/>
    <w:rsid w:val="00DA1F62"/>
    <w:rsid w:val="00DA2631"/>
    <w:rsid w:val="00DA3484"/>
    <w:rsid w:val="00DA383D"/>
    <w:rsid w:val="00DA3A55"/>
    <w:rsid w:val="00DA4126"/>
    <w:rsid w:val="00DA5F0B"/>
    <w:rsid w:val="00DA62C5"/>
    <w:rsid w:val="00DA681D"/>
    <w:rsid w:val="00DA6BEE"/>
    <w:rsid w:val="00DA714C"/>
    <w:rsid w:val="00DA7291"/>
    <w:rsid w:val="00DA7628"/>
    <w:rsid w:val="00DA7BC6"/>
    <w:rsid w:val="00DB0B81"/>
    <w:rsid w:val="00DB0C1A"/>
    <w:rsid w:val="00DB16F9"/>
    <w:rsid w:val="00DB2F44"/>
    <w:rsid w:val="00DB368D"/>
    <w:rsid w:val="00DB4B5E"/>
    <w:rsid w:val="00DB5362"/>
    <w:rsid w:val="00DB55EE"/>
    <w:rsid w:val="00DB7D4C"/>
    <w:rsid w:val="00DC07A0"/>
    <w:rsid w:val="00DC0A27"/>
    <w:rsid w:val="00DC0B2C"/>
    <w:rsid w:val="00DC18A3"/>
    <w:rsid w:val="00DC1F59"/>
    <w:rsid w:val="00DC23A0"/>
    <w:rsid w:val="00DC2DC6"/>
    <w:rsid w:val="00DC31C5"/>
    <w:rsid w:val="00DC3314"/>
    <w:rsid w:val="00DC3D80"/>
    <w:rsid w:val="00DC3E82"/>
    <w:rsid w:val="00DC4051"/>
    <w:rsid w:val="00DC43B8"/>
    <w:rsid w:val="00DC5367"/>
    <w:rsid w:val="00DC5828"/>
    <w:rsid w:val="00DC5D87"/>
    <w:rsid w:val="00DC6105"/>
    <w:rsid w:val="00DC6346"/>
    <w:rsid w:val="00DC6406"/>
    <w:rsid w:val="00DC673A"/>
    <w:rsid w:val="00DC746C"/>
    <w:rsid w:val="00DC7A59"/>
    <w:rsid w:val="00DD0038"/>
    <w:rsid w:val="00DD0B67"/>
    <w:rsid w:val="00DD0C32"/>
    <w:rsid w:val="00DD1E36"/>
    <w:rsid w:val="00DD2660"/>
    <w:rsid w:val="00DD282B"/>
    <w:rsid w:val="00DD3110"/>
    <w:rsid w:val="00DD345C"/>
    <w:rsid w:val="00DD4229"/>
    <w:rsid w:val="00DD4237"/>
    <w:rsid w:val="00DD4293"/>
    <w:rsid w:val="00DD4A3F"/>
    <w:rsid w:val="00DD4A69"/>
    <w:rsid w:val="00DD5AC6"/>
    <w:rsid w:val="00DD5C7D"/>
    <w:rsid w:val="00DD674A"/>
    <w:rsid w:val="00DD6EF7"/>
    <w:rsid w:val="00DD70A8"/>
    <w:rsid w:val="00DD746F"/>
    <w:rsid w:val="00DD765F"/>
    <w:rsid w:val="00DD7808"/>
    <w:rsid w:val="00DD7EAE"/>
    <w:rsid w:val="00DD7EFE"/>
    <w:rsid w:val="00DE064F"/>
    <w:rsid w:val="00DE0810"/>
    <w:rsid w:val="00DE1A07"/>
    <w:rsid w:val="00DE1B97"/>
    <w:rsid w:val="00DE1D5C"/>
    <w:rsid w:val="00DE3A85"/>
    <w:rsid w:val="00DE4017"/>
    <w:rsid w:val="00DE49CD"/>
    <w:rsid w:val="00DE5418"/>
    <w:rsid w:val="00DE5525"/>
    <w:rsid w:val="00DE616D"/>
    <w:rsid w:val="00DE6687"/>
    <w:rsid w:val="00DE6864"/>
    <w:rsid w:val="00DE6A4A"/>
    <w:rsid w:val="00DE74F2"/>
    <w:rsid w:val="00DE768A"/>
    <w:rsid w:val="00DE7CD5"/>
    <w:rsid w:val="00DF0046"/>
    <w:rsid w:val="00DF089D"/>
    <w:rsid w:val="00DF1F56"/>
    <w:rsid w:val="00DF25C7"/>
    <w:rsid w:val="00DF2FA3"/>
    <w:rsid w:val="00DF3F5A"/>
    <w:rsid w:val="00DF4208"/>
    <w:rsid w:val="00DF4437"/>
    <w:rsid w:val="00DF7C88"/>
    <w:rsid w:val="00E00A4D"/>
    <w:rsid w:val="00E015CD"/>
    <w:rsid w:val="00E02C18"/>
    <w:rsid w:val="00E02F19"/>
    <w:rsid w:val="00E02FB9"/>
    <w:rsid w:val="00E033A6"/>
    <w:rsid w:val="00E0381F"/>
    <w:rsid w:val="00E039EC"/>
    <w:rsid w:val="00E03AF7"/>
    <w:rsid w:val="00E03CDC"/>
    <w:rsid w:val="00E0483F"/>
    <w:rsid w:val="00E04934"/>
    <w:rsid w:val="00E04F18"/>
    <w:rsid w:val="00E05802"/>
    <w:rsid w:val="00E05C44"/>
    <w:rsid w:val="00E05D7C"/>
    <w:rsid w:val="00E06797"/>
    <w:rsid w:val="00E067D1"/>
    <w:rsid w:val="00E06BC2"/>
    <w:rsid w:val="00E06E56"/>
    <w:rsid w:val="00E073C6"/>
    <w:rsid w:val="00E07840"/>
    <w:rsid w:val="00E07D17"/>
    <w:rsid w:val="00E10006"/>
    <w:rsid w:val="00E10BF2"/>
    <w:rsid w:val="00E10D8A"/>
    <w:rsid w:val="00E10FC8"/>
    <w:rsid w:val="00E11B52"/>
    <w:rsid w:val="00E11E30"/>
    <w:rsid w:val="00E12481"/>
    <w:rsid w:val="00E126DD"/>
    <w:rsid w:val="00E12A77"/>
    <w:rsid w:val="00E13367"/>
    <w:rsid w:val="00E1395B"/>
    <w:rsid w:val="00E13CCC"/>
    <w:rsid w:val="00E140B1"/>
    <w:rsid w:val="00E14872"/>
    <w:rsid w:val="00E168B1"/>
    <w:rsid w:val="00E168D6"/>
    <w:rsid w:val="00E172B9"/>
    <w:rsid w:val="00E17836"/>
    <w:rsid w:val="00E20CAA"/>
    <w:rsid w:val="00E210B5"/>
    <w:rsid w:val="00E2242A"/>
    <w:rsid w:val="00E2274D"/>
    <w:rsid w:val="00E227E2"/>
    <w:rsid w:val="00E235E5"/>
    <w:rsid w:val="00E24E0B"/>
    <w:rsid w:val="00E256D9"/>
    <w:rsid w:val="00E2579A"/>
    <w:rsid w:val="00E25A20"/>
    <w:rsid w:val="00E260B3"/>
    <w:rsid w:val="00E2683A"/>
    <w:rsid w:val="00E268BF"/>
    <w:rsid w:val="00E268FE"/>
    <w:rsid w:val="00E27700"/>
    <w:rsid w:val="00E277C1"/>
    <w:rsid w:val="00E27B16"/>
    <w:rsid w:val="00E27E76"/>
    <w:rsid w:val="00E27F2C"/>
    <w:rsid w:val="00E31518"/>
    <w:rsid w:val="00E325A9"/>
    <w:rsid w:val="00E33030"/>
    <w:rsid w:val="00E330BB"/>
    <w:rsid w:val="00E336E6"/>
    <w:rsid w:val="00E33DE9"/>
    <w:rsid w:val="00E33DFE"/>
    <w:rsid w:val="00E34277"/>
    <w:rsid w:val="00E3505C"/>
    <w:rsid w:val="00E35630"/>
    <w:rsid w:val="00E3668F"/>
    <w:rsid w:val="00E36C59"/>
    <w:rsid w:val="00E3730D"/>
    <w:rsid w:val="00E37E03"/>
    <w:rsid w:val="00E37F30"/>
    <w:rsid w:val="00E37FBB"/>
    <w:rsid w:val="00E401FF"/>
    <w:rsid w:val="00E40648"/>
    <w:rsid w:val="00E40961"/>
    <w:rsid w:val="00E40C24"/>
    <w:rsid w:val="00E40CDD"/>
    <w:rsid w:val="00E4173B"/>
    <w:rsid w:val="00E42372"/>
    <w:rsid w:val="00E43788"/>
    <w:rsid w:val="00E440AD"/>
    <w:rsid w:val="00E4420D"/>
    <w:rsid w:val="00E4435E"/>
    <w:rsid w:val="00E44805"/>
    <w:rsid w:val="00E44FE1"/>
    <w:rsid w:val="00E4533D"/>
    <w:rsid w:val="00E46153"/>
    <w:rsid w:val="00E46BD7"/>
    <w:rsid w:val="00E47213"/>
    <w:rsid w:val="00E4786E"/>
    <w:rsid w:val="00E47A9E"/>
    <w:rsid w:val="00E50929"/>
    <w:rsid w:val="00E511EC"/>
    <w:rsid w:val="00E520C5"/>
    <w:rsid w:val="00E527C5"/>
    <w:rsid w:val="00E52BE2"/>
    <w:rsid w:val="00E52DD7"/>
    <w:rsid w:val="00E530DE"/>
    <w:rsid w:val="00E53106"/>
    <w:rsid w:val="00E5344A"/>
    <w:rsid w:val="00E53863"/>
    <w:rsid w:val="00E539AF"/>
    <w:rsid w:val="00E53A14"/>
    <w:rsid w:val="00E548D6"/>
    <w:rsid w:val="00E54BF9"/>
    <w:rsid w:val="00E54E5F"/>
    <w:rsid w:val="00E5504D"/>
    <w:rsid w:val="00E5544A"/>
    <w:rsid w:val="00E5624C"/>
    <w:rsid w:val="00E577A5"/>
    <w:rsid w:val="00E57A7A"/>
    <w:rsid w:val="00E57D89"/>
    <w:rsid w:val="00E57EDC"/>
    <w:rsid w:val="00E60021"/>
    <w:rsid w:val="00E60789"/>
    <w:rsid w:val="00E60EC5"/>
    <w:rsid w:val="00E61407"/>
    <w:rsid w:val="00E61477"/>
    <w:rsid w:val="00E62411"/>
    <w:rsid w:val="00E627BB"/>
    <w:rsid w:val="00E62C77"/>
    <w:rsid w:val="00E6307F"/>
    <w:rsid w:val="00E63575"/>
    <w:rsid w:val="00E63BCA"/>
    <w:rsid w:val="00E644A2"/>
    <w:rsid w:val="00E64A80"/>
    <w:rsid w:val="00E64A8E"/>
    <w:rsid w:val="00E653CC"/>
    <w:rsid w:val="00E65A27"/>
    <w:rsid w:val="00E67FDA"/>
    <w:rsid w:val="00E708A1"/>
    <w:rsid w:val="00E71234"/>
    <w:rsid w:val="00E71694"/>
    <w:rsid w:val="00E71740"/>
    <w:rsid w:val="00E71973"/>
    <w:rsid w:val="00E723A2"/>
    <w:rsid w:val="00E726D8"/>
    <w:rsid w:val="00E72DA7"/>
    <w:rsid w:val="00E733E7"/>
    <w:rsid w:val="00E73DD0"/>
    <w:rsid w:val="00E746BD"/>
    <w:rsid w:val="00E74F68"/>
    <w:rsid w:val="00E75A47"/>
    <w:rsid w:val="00E76558"/>
    <w:rsid w:val="00E76632"/>
    <w:rsid w:val="00E76748"/>
    <w:rsid w:val="00E76B95"/>
    <w:rsid w:val="00E770A1"/>
    <w:rsid w:val="00E7776A"/>
    <w:rsid w:val="00E77C6A"/>
    <w:rsid w:val="00E80281"/>
    <w:rsid w:val="00E80443"/>
    <w:rsid w:val="00E80B86"/>
    <w:rsid w:val="00E80D5B"/>
    <w:rsid w:val="00E815F8"/>
    <w:rsid w:val="00E816E0"/>
    <w:rsid w:val="00E81D08"/>
    <w:rsid w:val="00E82C61"/>
    <w:rsid w:val="00E83350"/>
    <w:rsid w:val="00E83587"/>
    <w:rsid w:val="00E83B92"/>
    <w:rsid w:val="00E84C98"/>
    <w:rsid w:val="00E85766"/>
    <w:rsid w:val="00E85B21"/>
    <w:rsid w:val="00E85D85"/>
    <w:rsid w:val="00E85F37"/>
    <w:rsid w:val="00E86034"/>
    <w:rsid w:val="00E86DAE"/>
    <w:rsid w:val="00E870AD"/>
    <w:rsid w:val="00E8745E"/>
    <w:rsid w:val="00E87DFE"/>
    <w:rsid w:val="00E90628"/>
    <w:rsid w:val="00E90639"/>
    <w:rsid w:val="00E9077E"/>
    <w:rsid w:val="00E90DA8"/>
    <w:rsid w:val="00E90DFD"/>
    <w:rsid w:val="00E91375"/>
    <w:rsid w:val="00E91882"/>
    <w:rsid w:val="00E9285D"/>
    <w:rsid w:val="00E92DA2"/>
    <w:rsid w:val="00E9328E"/>
    <w:rsid w:val="00E93A3D"/>
    <w:rsid w:val="00E93E64"/>
    <w:rsid w:val="00E940EE"/>
    <w:rsid w:val="00E943E0"/>
    <w:rsid w:val="00E948B4"/>
    <w:rsid w:val="00E9492A"/>
    <w:rsid w:val="00E95BB7"/>
    <w:rsid w:val="00E96F8A"/>
    <w:rsid w:val="00E97276"/>
    <w:rsid w:val="00E97EAB"/>
    <w:rsid w:val="00EA0450"/>
    <w:rsid w:val="00EA0FEB"/>
    <w:rsid w:val="00EA11E8"/>
    <w:rsid w:val="00EA19CF"/>
    <w:rsid w:val="00EA1F1F"/>
    <w:rsid w:val="00EA251B"/>
    <w:rsid w:val="00EA2CBB"/>
    <w:rsid w:val="00EA3916"/>
    <w:rsid w:val="00EA4F0D"/>
    <w:rsid w:val="00EA50FC"/>
    <w:rsid w:val="00EA5FA9"/>
    <w:rsid w:val="00EA6828"/>
    <w:rsid w:val="00EA6B1D"/>
    <w:rsid w:val="00EA78DA"/>
    <w:rsid w:val="00EA7BC6"/>
    <w:rsid w:val="00EB13B2"/>
    <w:rsid w:val="00EB19C8"/>
    <w:rsid w:val="00EB1BC9"/>
    <w:rsid w:val="00EB1D3A"/>
    <w:rsid w:val="00EB1E42"/>
    <w:rsid w:val="00EB342A"/>
    <w:rsid w:val="00EB4369"/>
    <w:rsid w:val="00EB44A3"/>
    <w:rsid w:val="00EB58DE"/>
    <w:rsid w:val="00EB598E"/>
    <w:rsid w:val="00EB5F3A"/>
    <w:rsid w:val="00EB657C"/>
    <w:rsid w:val="00EB6908"/>
    <w:rsid w:val="00EB6BD2"/>
    <w:rsid w:val="00EB6DE7"/>
    <w:rsid w:val="00EB77F4"/>
    <w:rsid w:val="00EB79A6"/>
    <w:rsid w:val="00EB7AC8"/>
    <w:rsid w:val="00EB7DAA"/>
    <w:rsid w:val="00EB7E2E"/>
    <w:rsid w:val="00EC0654"/>
    <w:rsid w:val="00EC0A37"/>
    <w:rsid w:val="00EC1812"/>
    <w:rsid w:val="00EC32FC"/>
    <w:rsid w:val="00EC3888"/>
    <w:rsid w:val="00EC3B8C"/>
    <w:rsid w:val="00EC4A6E"/>
    <w:rsid w:val="00EC5503"/>
    <w:rsid w:val="00EC657D"/>
    <w:rsid w:val="00EC744D"/>
    <w:rsid w:val="00ED0EDF"/>
    <w:rsid w:val="00ED1991"/>
    <w:rsid w:val="00ED23DC"/>
    <w:rsid w:val="00ED29D7"/>
    <w:rsid w:val="00ED384F"/>
    <w:rsid w:val="00ED386F"/>
    <w:rsid w:val="00ED4D36"/>
    <w:rsid w:val="00ED4F58"/>
    <w:rsid w:val="00ED5212"/>
    <w:rsid w:val="00ED550A"/>
    <w:rsid w:val="00ED57E8"/>
    <w:rsid w:val="00ED599C"/>
    <w:rsid w:val="00ED5F26"/>
    <w:rsid w:val="00ED6C05"/>
    <w:rsid w:val="00EE061C"/>
    <w:rsid w:val="00EE1746"/>
    <w:rsid w:val="00EE19C4"/>
    <w:rsid w:val="00EE1FFC"/>
    <w:rsid w:val="00EE3145"/>
    <w:rsid w:val="00EE3405"/>
    <w:rsid w:val="00EE392A"/>
    <w:rsid w:val="00EE3CEB"/>
    <w:rsid w:val="00EE4190"/>
    <w:rsid w:val="00EE47F2"/>
    <w:rsid w:val="00EE5AA6"/>
    <w:rsid w:val="00EE5DE7"/>
    <w:rsid w:val="00EE5F32"/>
    <w:rsid w:val="00EE649C"/>
    <w:rsid w:val="00EE6AB1"/>
    <w:rsid w:val="00EE6CDC"/>
    <w:rsid w:val="00EE7153"/>
    <w:rsid w:val="00EF0727"/>
    <w:rsid w:val="00EF141E"/>
    <w:rsid w:val="00EF1AD2"/>
    <w:rsid w:val="00EF3520"/>
    <w:rsid w:val="00EF3743"/>
    <w:rsid w:val="00EF37F5"/>
    <w:rsid w:val="00EF408B"/>
    <w:rsid w:val="00EF44FD"/>
    <w:rsid w:val="00EF5C34"/>
    <w:rsid w:val="00EF645E"/>
    <w:rsid w:val="00EF66EA"/>
    <w:rsid w:val="00EF6A16"/>
    <w:rsid w:val="00EF78A9"/>
    <w:rsid w:val="00F00891"/>
    <w:rsid w:val="00F00B97"/>
    <w:rsid w:val="00F015ED"/>
    <w:rsid w:val="00F016F3"/>
    <w:rsid w:val="00F01BBC"/>
    <w:rsid w:val="00F02012"/>
    <w:rsid w:val="00F021C3"/>
    <w:rsid w:val="00F02813"/>
    <w:rsid w:val="00F0282A"/>
    <w:rsid w:val="00F0425B"/>
    <w:rsid w:val="00F044CE"/>
    <w:rsid w:val="00F050B3"/>
    <w:rsid w:val="00F05C0D"/>
    <w:rsid w:val="00F05EFF"/>
    <w:rsid w:val="00F07B3D"/>
    <w:rsid w:val="00F10313"/>
    <w:rsid w:val="00F10B26"/>
    <w:rsid w:val="00F1127F"/>
    <w:rsid w:val="00F11FC4"/>
    <w:rsid w:val="00F120C1"/>
    <w:rsid w:val="00F1232F"/>
    <w:rsid w:val="00F1311A"/>
    <w:rsid w:val="00F13D56"/>
    <w:rsid w:val="00F13F56"/>
    <w:rsid w:val="00F1407F"/>
    <w:rsid w:val="00F1414D"/>
    <w:rsid w:val="00F15D7F"/>
    <w:rsid w:val="00F16458"/>
    <w:rsid w:val="00F171B9"/>
    <w:rsid w:val="00F17A59"/>
    <w:rsid w:val="00F17B90"/>
    <w:rsid w:val="00F17EAF"/>
    <w:rsid w:val="00F20BC1"/>
    <w:rsid w:val="00F20E60"/>
    <w:rsid w:val="00F22063"/>
    <w:rsid w:val="00F220E9"/>
    <w:rsid w:val="00F226B5"/>
    <w:rsid w:val="00F22BAB"/>
    <w:rsid w:val="00F232D1"/>
    <w:rsid w:val="00F23D06"/>
    <w:rsid w:val="00F24607"/>
    <w:rsid w:val="00F247A1"/>
    <w:rsid w:val="00F24CFD"/>
    <w:rsid w:val="00F24EBF"/>
    <w:rsid w:val="00F252DC"/>
    <w:rsid w:val="00F254A6"/>
    <w:rsid w:val="00F25BFB"/>
    <w:rsid w:val="00F27718"/>
    <w:rsid w:val="00F27B85"/>
    <w:rsid w:val="00F30669"/>
    <w:rsid w:val="00F30777"/>
    <w:rsid w:val="00F31052"/>
    <w:rsid w:val="00F31217"/>
    <w:rsid w:val="00F318F8"/>
    <w:rsid w:val="00F32062"/>
    <w:rsid w:val="00F32F34"/>
    <w:rsid w:val="00F33337"/>
    <w:rsid w:val="00F33C04"/>
    <w:rsid w:val="00F34A8D"/>
    <w:rsid w:val="00F35461"/>
    <w:rsid w:val="00F35963"/>
    <w:rsid w:val="00F35A8E"/>
    <w:rsid w:val="00F35BB6"/>
    <w:rsid w:val="00F376D4"/>
    <w:rsid w:val="00F379E6"/>
    <w:rsid w:val="00F41B4F"/>
    <w:rsid w:val="00F41CE2"/>
    <w:rsid w:val="00F422BB"/>
    <w:rsid w:val="00F42784"/>
    <w:rsid w:val="00F437F3"/>
    <w:rsid w:val="00F4463B"/>
    <w:rsid w:val="00F447A7"/>
    <w:rsid w:val="00F452D8"/>
    <w:rsid w:val="00F4574A"/>
    <w:rsid w:val="00F45894"/>
    <w:rsid w:val="00F47888"/>
    <w:rsid w:val="00F47D99"/>
    <w:rsid w:val="00F47DEC"/>
    <w:rsid w:val="00F500D0"/>
    <w:rsid w:val="00F503B5"/>
    <w:rsid w:val="00F50735"/>
    <w:rsid w:val="00F5074E"/>
    <w:rsid w:val="00F50E32"/>
    <w:rsid w:val="00F51127"/>
    <w:rsid w:val="00F513BB"/>
    <w:rsid w:val="00F5162E"/>
    <w:rsid w:val="00F51693"/>
    <w:rsid w:val="00F5215F"/>
    <w:rsid w:val="00F526F0"/>
    <w:rsid w:val="00F52721"/>
    <w:rsid w:val="00F52AE9"/>
    <w:rsid w:val="00F52D3C"/>
    <w:rsid w:val="00F53257"/>
    <w:rsid w:val="00F532FA"/>
    <w:rsid w:val="00F53EAA"/>
    <w:rsid w:val="00F5443B"/>
    <w:rsid w:val="00F549BB"/>
    <w:rsid w:val="00F54AFA"/>
    <w:rsid w:val="00F54C9B"/>
    <w:rsid w:val="00F54F1F"/>
    <w:rsid w:val="00F569C2"/>
    <w:rsid w:val="00F56C20"/>
    <w:rsid w:val="00F56E7A"/>
    <w:rsid w:val="00F56ED7"/>
    <w:rsid w:val="00F57095"/>
    <w:rsid w:val="00F60183"/>
    <w:rsid w:val="00F6033D"/>
    <w:rsid w:val="00F604A9"/>
    <w:rsid w:val="00F6081A"/>
    <w:rsid w:val="00F60BBD"/>
    <w:rsid w:val="00F614EF"/>
    <w:rsid w:val="00F61877"/>
    <w:rsid w:val="00F6223A"/>
    <w:rsid w:val="00F632D8"/>
    <w:rsid w:val="00F6392A"/>
    <w:rsid w:val="00F63B92"/>
    <w:rsid w:val="00F65001"/>
    <w:rsid w:val="00F6527F"/>
    <w:rsid w:val="00F652E9"/>
    <w:rsid w:val="00F653D2"/>
    <w:rsid w:val="00F65626"/>
    <w:rsid w:val="00F670E5"/>
    <w:rsid w:val="00F7050D"/>
    <w:rsid w:val="00F70E73"/>
    <w:rsid w:val="00F71256"/>
    <w:rsid w:val="00F712CF"/>
    <w:rsid w:val="00F7155E"/>
    <w:rsid w:val="00F72C97"/>
    <w:rsid w:val="00F72F8C"/>
    <w:rsid w:val="00F7328A"/>
    <w:rsid w:val="00F7408C"/>
    <w:rsid w:val="00F743C9"/>
    <w:rsid w:val="00F75C71"/>
    <w:rsid w:val="00F75F8A"/>
    <w:rsid w:val="00F76228"/>
    <w:rsid w:val="00F76434"/>
    <w:rsid w:val="00F7654C"/>
    <w:rsid w:val="00F767E1"/>
    <w:rsid w:val="00F76FF3"/>
    <w:rsid w:val="00F77371"/>
    <w:rsid w:val="00F77736"/>
    <w:rsid w:val="00F77879"/>
    <w:rsid w:val="00F8136B"/>
    <w:rsid w:val="00F81520"/>
    <w:rsid w:val="00F81603"/>
    <w:rsid w:val="00F81886"/>
    <w:rsid w:val="00F828E8"/>
    <w:rsid w:val="00F83C0F"/>
    <w:rsid w:val="00F83DFA"/>
    <w:rsid w:val="00F83FBB"/>
    <w:rsid w:val="00F845A2"/>
    <w:rsid w:val="00F8462A"/>
    <w:rsid w:val="00F8498E"/>
    <w:rsid w:val="00F85B54"/>
    <w:rsid w:val="00F85C0A"/>
    <w:rsid w:val="00F85F61"/>
    <w:rsid w:val="00F86B14"/>
    <w:rsid w:val="00F86D62"/>
    <w:rsid w:val="00F8771A"/>
    <w:rsid w:val="00F87FFB"/>
    <w:rsid w:val="00F9045D"/>
    <w:rsid w:val="00F90C70"/>
    <w:rsid w:val="00F91B02"/>
    <w:rsid w:val="00F927D6"/>
    <w:rsid w:val="00F928DE"/>
    <w:rsid w:val="00F929D5"/>
    <w:rsid w:val="00F934A8"/>
    <w:rsid w:val="00F937F6"/>
    <w:rsid w:val="00F93C81"/>
    <w:rsid w:val="00F952C6"/>
    <w:rsid w:val="00F959A8"/>
    <w:rsid w:val="00F95A1C"/>
    <w:rsid w:val="00F95B87"/>
    <w:rsid w:val="00F964AC"/>
    <w:rsid w:val="00F96D2D"/>
    <w:rsid w:val="00F9728E"/>
    <w:rsid w:val="00F973A4"/>
    <w:rsid w:val="00FA0E7C"/>
    <w:rsid w:val="00FA3C57"/>
    <w:rsid w:val="00FA4E65"/>
    <w:rsid w:val="00FA5EA0"/>
    <w:rsid w:val="00FA6111"/>
    <w:rsid w:val="00FA636D"/>
    <w:rsid w:val="00FA6979"/>
    <w:rsid w:val="00FA7712"/>
    <w:rsid w:val="00FB00BE"/>
    <w:rsid w:val="00FB0616"/>
    <w:rsid w:val="00FB1045"/>
    <w:rsid w:val="00FB15FD"/>
    <w:rsid w:val="00FB16C2"/>
    <w:rsid w:val="00FB18BC"/>
    <w:rsid w:val="00FB329A"/>
    <w:rsid w:val="00FB3486"/>
    <w:rsid w:val="00FB3B7D"/>
    <w:rsid w:val="00FB4893"/>
    <w:rsid w:val="00FB4AD3"/>
    <w:rsid w:val="00FB5556"/>
    <w:rsid w:val="00FB5626"/>
    <w:rsid w:val="00FB6027"/>
    <w:rsid w:val="00FB6ABF"/>
    <w:rsid w:val="00FB708E"/>
    <w:rsid w:val="00FB79A2"/>
    <w:rsid w:val="00FB7E9A"/>
    <w:rsid w:val="00FB7F37"/>
    <w:rsid w:val="00FC0509"/>
    <w:rsid w:val="00FC1B2A"/>
    <w:rsid w:val="00FC1E02"/>
    <w:rsid w:val="00FC2348"/>
    <w:rsid w:val="00FC25D8"/>
    <w:rsid w:val="00FC3E2B"/>
    <w:rsid w:val="00FC467B"/>
    <w:rsid w:val="00FC4970"/>
    <w:rsid w:val="00FC4B13"/>
    <w:rsid w:val="00FC4CE0"/>
    <w:rsid w:val="00FC5543"/>
    <w:rsid w:val="00FC5975"/>
    <w:rsid w:val="00FC5EA9"/>
    <w:rsid w:val="00FC5F07"/>
    <w:rsid w:val="00FC6113"/>
    <w:rsid w:val="00FC6628"/>
    <w:rsid w:val="00FC6754"/>
    <w:rsid w:val="00FC70F4"/>
    <w:rsid w:val="00FD091D"/>
    <w:rsid w:val="00FD12D3"/>
    <w:rsid w:val="00FD135A"/>
    <w:rsid w:val="00FD3911"/>
    <w:rsid w:val="00FD3CD4"/>
    <w:rsid w:val="00FD4C03"/>
    <w:rsid w:val="00FD56E2"/>
    <w:rsid w:val="00FD5E42"/>
    <w:rsid w:val="00FD5F36"/>
    <w:rsid w:val="00FD66B0"/>
    <w:rsid w:val="00FD7063"/>
    <w:rsid w:val="00FD7C9B"/>
    <w:rsid w:val="00FD7D78"/>
    <w:rsid w:val="00FD7EF5"/>
    <w:rsid w:val="00FD7FDF"/>
    <w:rsid w:val="00FE00A5"/>
    <w:rsid w:val="00FE0670"/>
    <w:rsid w:val="00FE129C"/>
    <w:rsid w:val="00FE25D3"/>
    <w:rsid w:val="00FE26BB"/>
    <w:rsid w:val="00FE28A3"/>
    <w:rsid w:val="00FE2935"/>
    <w:rsid w:val="00FE3250"/>
    <w:rsid w:val="00FE34ED"/>
    <w:rsid w:val="00FE396E"/>
    <w:rsid w:val="00FE39D6"/>
    <w:rsid w:val="00FE426D"/>
    <w:rsid w:val="00FE46CD"/>
    <w:rsid w:val="00FE540D"/>
    <w:rsid w:val="00FE5B22"/>
    <w:rsid w:val="00FE5E65"/>
    <w:rsid w:val="00FE64BA"/>
    <w:rsid w:val="00FE7027"/>
    <w:rsid w:val="00FE7145"/>
    <w:rsid w:val="00FE7631"/>
    <w:rsid w:val="00FE7B78"/>
    <w:rsid w:val="00FE7BD0"/>
    <w:rsid w:val="00FF047F"/>
    <w:rsid w:val="00FF0488"/>
    <w:rsid w:val="00FF0E2D"/>
    <w:rsid w:val="00FF1B95"/>
    <w:rsid w:val="00FF23C0"/>
    <w:rsid w:val="00FF3187"/>
    <w:rsid w:val="00FF3CA3"/>
    <w:rsid w:val="00FF408C"/>
    <w:rsid w:val="00FF418D"/>
    <w:rsid w:val="00FF499F"/>
    <w:rsid w:val="00FF52D9"/>
    <w:rsid w:val="00FF533E"/>
    <w:rsid w:val="00FF534F"/>
    <w:rsid w:val="00FF55A5"/>
    <w:rsid w:val="00FF5A32"/>
    <w:rsid w:val="00FF5F4D"/>
    <w:rsid w:val="00FF6229"/>
    <w:rsid w:val="00FF6278"/>
    <w:rsid w:val="00FF6576"/>
    <w:rsid w:val="00FF6CB5"/>
    <w:rsid w:val="00FF6DF2"/>
    <w:rsid w:val="00FF7167"/>
    <w:rsid w:val="00FF75A1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9" w:name="heading 4"/>
    <w:lsdException w:qFormat="true" w:unhideWhenUsed="false" w:semiHidden="false" w:uiPriority="0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footnote text"/>
    <w:lsdException w:uiPriority="0" w:name="header"/>
    <w:lsdException w:uiPriority="0" w:name="footer"/>
    <w:lsdException w:qFormat="true" w:unhideWhenUsed="false" w:semiHidden="false" w:uiPriority="0" w:name="caption"/>
    <w:lsdException w:uiPriority="0" w:name="footnote reference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HTML Top of Form"/>
    <w:lsdException w:uiPriority="0" w:name="HTML Bottom of Form"/>
    <w:lsdException w:uiPriority="0" w:name="Table Grid 4"/>
    <w:lsdException w:unhideWhenUsed="false" w:semiHidden="false" w:uiPriority="0" w:name="Table Grid"/>
    <w:lsdException w:unhideWhenUsed="false" w:uiPriority="62" w:name="Placeholder Text"/>
    <w:lsdException w:unhideWhenUsed="false" w:semiHidden="false" w:uiPriority="63" w:name="No Spacing"/>
    <w:lsdException w:unhideWhenUsed="false" w:semiHidden="false" w:uiPriority="64" w:name="Light Shading"/>
    <w:lsdException w:unhideWhenUsed="false" w:semiHidden="false" w:uiPriority="65" w:name="Light List"/>
    <w:lsdException w:unhideWhenUsed="false" w:semiHidden="false" w:name="Light Grid"/>
    <w:lsdException w:qFormat="true" w:unhideWhenUsed="false" w:semiHidden="false" w:uiPriority="34" w:name="Medium Shading 1"/>
    <w:lsdException w:qFormat="true" w:unhideWhenUsed="false" w:semiHidden="false" w:uiPriority="29" w:name="Medium Shading 2"/>
    <w:lsdException w:qFormat="true" w:unhideWhenUsed="false" w:semiHidden="false" w:uiPriority="30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qFormat="true" w:unhideWhenUsed="false" w:semiHidden="false" w:uiPriority="72" w:name="Colorful List"/>
    <w:lsdException w:qFormat="true" w:unhideWhenUsed="false" w:semiHidden="false" w:uiPriority="73" w:name="Colorful Grid"/>
    <w:lsdException w:qFormat="true"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semiHidden="false" w:uiPriority="66" w:name="Revision"/>
    <w:lsdException w:qFormat="true" w:unhideWhenUsed="false" w:semiHidden="false" w:uiPriority="34" w:name="List Paragraph"/>
    <w:lsdException w:unhideWhenUsed="false" w:semiHidden="false" w:uiPriority="68" w:name="Quote"/>
    <w:lsdException w:unhideWhenUsed="false" w:semiHidden="false" w:uiPriority="69" w:name="Intense Quote"/>
    <w:lsdException w:unhideWhenUsed="false" w:semiHidden="false" w:uiPriority="70" w:name="Medium List 2 Accent 1"/>
    <w:lsdException w:unhideWhenUsed="false" w:semiHidden="false" w:uiPriority="71" w:name="Medium Grid 1 Accent 1"/>
    <w:lsdException w:unhideWhenUsed="false" w:semiHidden="false" w:uiPriority="72" w:name="Medium Grid 2 Accent 1"/>
    <w:lsdException w:unhideWhenUsed="false" w:semiHidden="false" w:uiPriority="73" w:name="Medium Grid 3 Accent 1"/>
    <w:lsdException w:unhideWhenUsed="false" w:semiHidden="false" w:uiPriority="60" w:name="Dark List Accent 1"/>
    <w:lsdException w:unhideWhenUsed="false" w:semiHidden="false" w:uiPriority="61" w:name="Colorful Shading Accent 1"/>
    <w:lsdException w:unhideWhenUsed="false" w:semiHidden="false" w:uiPriority="62" w:name="Colorful List Accent 1"/>
    <w:lsdException w:unhideWhenUsed="false" w:semiHidden="false" w:uiPriority="63" w:name="Colorful Grid Accent 1"/>
    <w:lsdException w:unhideWhenUsed="false" w:semiHidden="false" w:uiPriority="64" w:name="Light Shading Accent 2"/>
    <w:lsdException w:unhideWhenUsed="false" w:semiHidden="false" w:uiPriority="65" w:name="Light List Accent 2"/>
    <w:lsdException w:unhideWhenUsed="false" w:semiHidden="false" w:uiPriority="66" w:name="Light Grid Accent 2"/>
    <w:lsdException w:unhideWhenUsed="false" w:semiHidden="false" w:uiPriority="67" w:name="Medium Shading 1 Accent 2"/>
    <w:lsdException w:unhideWhenUsed="false" w:semiHidden="false" w:uiPriority="68" w:name="Medium Shading 2 Accent 2"/>
    <w:lsdException w:unhideWhenUsed="false" w:semiHidden="false" w:uiPriority="69" w:name="Medium List 1 Accent 2"/>
    <w:lsdException w:unhideWhenUsed="false" w:semiHidden="false" w:uiPriority="70" w:name="Medium List 2 Accent 2"/>
    <w:lsdException w:unhideWhenUsed="false" w:semiHidden="false" w:uiPriority="71" w:name="Medium Grid 1 Accent 2"/>
    <w:lsdException w:unhideWhenUsed="false" w:semiHidden="false" w:uiPriority="72" w:name="Medium Grid 2 Accent 2"/>
    <w:lsdException w:unhideWhenUsed="false" w:semiHidden="false" w:uiPriority="73" w:name="Medium Grid 3 Accent 2"/>
    <w:lsdException w:unhideWhenUsed="false" w:semiHidden="false" w:uiPriority="60" w:name="Dark List Accent 2"/>
    <w:lsdException w:unhideWhenUsed="false" w:semiHidden="false" w:uiPriority="61" w:name="Colorful Shading Accent 2"/>
    <w:lsdException w:unhideWhenUsed="false" w:semiHidden="false" w:uiPriority="62" w:name="Colorful List Accent 2"/>
    <w:lsdException w:unhideWhenUsed="false" w:semiHidden="false" w:uiPriority="63" w:name="Colorful Grid Accent 2"/>
    <w:lsdException w:unhideWhenUsed="false" w:semiHidden="false" w:uiPriority="64" w:name="Light Shading Accent 3"/>
    <w:lsdException w:unhideWhenUsed="false" w:semiHidden="false" w:uiPriority="65" w:name="Light List Accent 3"/>
    <w:lsdException w:unhideWhenUsed="false" w:semiHidden="false" w:uiPriority="66" w:name="Light Grid Accent 3"/>
    <w:lsdException w:unhideWhenUsed="false" w:semiHidden="false" w:uiPriority="67" w:name="Medium Shading 1 Accent 3"/>
    <w:lsdException w:unhideWhenUsed="false" w:semiHidden="false" w:uiPriority="68" w:name="Medium Shading 2 Accent 3"/>
    <w:lsdException w:unhideWhenUsed="false" w:semiHidden="false" w:uiPriority="69" w:name="Medium List 1 Accent 3"/>
    <w:lsdException w:unhideWhenUsed="false" w:semiHidden="false" w:uiPriority="70" w:name="Medium List 2 Accent 3"/>
    <w:lsdException w:unhideWhenUsed="false" w:semiHidden="false" w:uiPriority="71" w:name="Medium Grid 1 Accent 3"/>
    <w:lsdException w:unhideWhenUsed="false" w:semiHidden="false" w:uiPriority="72" w:name="Medium Grid 2 Accent 3"/>
    <w:lsdException w:unhideWhenUsed="false" w:semiHidden="false" w:uiPriority="73" w:name="Medium Grid 3 Accent 3"/>
    <w:lsdException w:unhideWhenUsed="false" w:semiHidden="false" w:uiPriority="60" w:name="Dark List Accent 3"/>
    <w:lsdException w:unhideWhenUsed="false" w:semiHidden="false" w:uiPriority="61" w:name="Colorful Shading Accent 3"/>
    <w:lsdException w:unhideWhenUsed="false" w:semiHidden="false" w:uiPriority="62" w:name="Colorful List Accent 3"/>
    <w:lsdException w:unhideWhenUsed="false" w:semiHidden="false" w:uiPriority="63" w:name="Colorful Grid Accent 3"/>
    <w:lsdException w:unhideWhenUsed="false" w:semiHidden="false" w:uiPriority="64" w:name="Light Shading Accent 4"/>
    <w:lsdException w:unhideWhenUsed="false" w:semiHidden="false" w:uiPriority="65" w:name="Light List Accent 4"/>
    <w:lsdException w:unhideWhenUsed="false" w:semiHidden="false" w:uiPriority="66" w:name="Light Grid Accent 4"/>
    <w:lsdException w:unhideWhenUsed="false" w:semiHidden="false" w:uiPriority="67" w:name="Medium Shading 1 Accent 4"/>
    <w:lsdException w:unhideWhenUsed="false" w:semiHidden="false" w:uiPriority="68" w:name="Medium Shading 2 Accent 4"/>
    <w:lsdException w:unhideWhenUsed="false" w:semiHidden="false" w:uiPriority="69" w:name="Medium List 1 Accent 4"/>
    <w:lsdException w:unhideWhenUsed="false" w:semiHidden="false" w:uiPriority="70" w:name="Medium List 2 Accent 4"/>
    <w:lsdException w:unhideWhenUsed="false" w:semiHidden="false" w:uiPriority="71" w:name="Medium Grid 1 Accent 4"/>
    <w:lsdException w:unhideWhenUsed="false" w:semiHidden="false" w:uiPriority="72" w:name="Medium Grid 2 Accent 4"/>
    <w:lsdException w:unhideWhenUsed="false" w:semiHidden="false" w:uiPriority="73" w:name="Medium Grid 3 Accent 4"/>
    <w:lsdException w:unhideWhenUsed="false" w:semiHidden="false" w:uiPriority="60" w:name="Dark List Accent 4"/>
    <w:lsdException w:unhideWhenUsed="false" w:semiHidden="false" w:uiPriority="61" w:name="Colorful Shading Accent 4"/>
    <w:lsdException w:unhideWhenUsed="false" w:semiHidden="false" w:uiPriority="62" w:name="Colorful List Accent 4"/>
    <w:lsdException w:unhideWhenUsed="false" w:semiHidden="false" w:uiPriority="63" w:name="Colorful Grid Accent 4"/>
    <w:lsdException w:unhideWhenUsed="false" w:semiHidden="false" w:uiPriority="64" w:name="Light Shading Accent 5"/>
    <w:lsdException w:unhideWhenUsed="false" w:semiHidden="false" w:uiPriority="65" w:name="Light List Accent 5"/>
    <w:lsdException w:unhideWhenUsed="false" w:semiHidden="false" w:uiPriority="66" w:name="Light Grid Accent 5"/>
    <w:lsdException w:unhideWhenUsed="false" w:semiHidden="false" w:uiPriority="67" w:name="Medium Shading 1 Accent 5"/>
    <w:lsdException w:unhideWhenUsed="false" w:semiHidden="false" w:uiPriority="68" w:name="Medium Shading 2 Accent 5"/>
    <w:lsdException w:unhideWhenUsed="false" w:semiHidden="false" w:uiPriority="69" w:name="Medium List 1 Accent 5"/>
    <w:lsdException w:unhideWhenUsed="false" w:semiHidden="false" w:uiPriority="70" w:name="Medium List 2 Accent 5"/>
    <w:lsdException w:unhideWhenUsed="false" w:semiHidden="false" w:uiPriority="71" w:name="Medium Grid 1 Accent 5"/>
    <w:lsdException w:unhideWhenUsed="false" w:semiHidden="false" w:uiPriority="72" w:name="Medium Grid 2 Accent 5"/>
    <w:lsdException w:unhideWhenUsed="false" w:semiHidden="false" w:uiPriority="73" w:name="Medium Grid 3 Accent 5"/>
    <w:lsdException w:qFormat="true" w:unhideWhenUsed="false" w:semiHidden="false" w:uiPriority="19" w:name="Dark List Accent 5"/>
    <w:lsdException w:qFormat="true" w:unhideWhenUsed="false" w:semiHidden="false" w:uiPriority="21" w:name="Colorful Shading Accent 5"/>
    <w:lsdException w:qFormat="true" w:unhideWhenUsed="false" w:semiHidden="false" w:uiPriority="31" w:name="Colorful List Accent 5"/>
    <w:lsdException w:qFormat="true" w:unhideWhenUsed="false" w:semiHidden="false" w:uiPriority="32" w:name="Colorful Grid Accent 5"/>
    <w:lsdException w:qFormat="true" w:unhideWhenUsed="false" w:semiHidden="false" w:uiPriority="33" w:name="Light Shading Accent 6"/>
    <w:lsdException w:unhideWhenUsed="false" w:semiHidden="false" w:uiPriority="37" w:name="Light List Accent 6"/>
    <w:lsdException w:qFormat="true" w:unhideWhenUsed="false" w:semiHidden="false" w:uiPriority="39" w:name="Light Grid Accent 6"/>
    <w:lsdException w:unhideWhenUsed="false" w:semiHidden="false" w:uiPriority="72" w:name="Medium Shading 1 Accent 6"/>
    <w:lsdException w:unhideWhenUsed="false" w:semiHidden="false" w:uiPriority="73" w:name="Medium Shading 2 Accent 6"/>
    <w:lsdException w:qFormat="true" w:unhideWhenUsed="false" w:semiHidden="false" w:uiPriority="19" w:name="Medium List 1 Accent 6"/>
    <w:lsdException w:qFormat="true" w:unhideWhenUsed="false" w:semiHidden="false" w:uiPriority="21" w:name="Medium List 2 Accent 6"/>
    <w:lsdException w:qFormat="true" w:unhideWhenUsed="false" w:semiHidden="false" w:uiPriority="31" w:name="Medium Grid 1 Accent 6"/>
    <w:lsdException w:qFormat="true" w:unhideWhenUsed="false" w:semiHidden="false" w:uiPriority="32" w:name="Medium Grid 2 Accent 6"/>
    <w:lsdException w:qFormat="true" w:unhideWhenUsed="false" w:semiHidden="false" w:uiPriority="33" w:name="Medium Grid 3 Accent 6"/>
    <w:lsdException w:unhideWhenUsed="false" w:semiHidden="false" w:uiPriority="37" w:name="Dark List Accent 6"/>
    <w:lsdException w:qFormat="true" w:unhideWhenUsed="false" w:semiHidden="false" w:uiPriority="39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91882"/>
    <w:rPr>
      <w:rFonts w:hAnsi="Times New Roman" w:ascii="Times New Roman"/>
      <w:sz w:val="24"/>
      <w:szCs w:val="24"/>
      <w:lang w:eastAsia="en-GB" w:val="en-GB"/>
    </w:rPr>
  </w:style>
  <w:style w:styleId="Naslov1" w:type="paragraph">
    <w:name w:val="heading 1"/>
    <w:basedOn w:val="Normal"/>
    <w:next w:val="Normal"/>
    <w:link w:val="Naslov1Char"/>
    <w:autoRedefine/>
    <w:qFormat/>
    <w:rsid w:val="009B53F6"/>
    <w:pPr>
      <w:keepNext/>
      <w:tabs>
        <w:tab w:pos="1225" w:val="left"/>
      </w:tabs>
      <w:spacing w:lineRule="auto" w:line="276" w:after="60" w:before="240"/>
      <w:jc w:val="both"/>
      <w:outlineLvl w:val="0"/>
    </w:pPr>
    <w:rPr>
      <w:b/>
      <w:color w:themeColor="accent1" w:val="4F81BD"/>
      <w:lang w:eastAsia="en-US" w:val="en-US"/>
    </w:rPr>
  </w:style>
  <w:style w:styleId="Naslov2" w:type="paragraph">
    <w:name w:val="heading 2"/>
    <w:basedOn w:val="Normal"/>
    <w:next w:val="Normal"/>
    <w:link w:val="Naslov2Char"/>
    <w:autoRedefine/>
    <w:qFormat/>
    <w:rsid w:val="000B0721"/>
    <w:pPr>
      <w:keepNext/>
      <w:numPr>
        <w:ilvl w:val="1"/>
        <w:numId w:val="2"/>
      </w:numPr>
      <w:spacing w:lineRule="auto" w:line="360" w:after="60" w:before="240"/>
      <w:jc w:val="both"/>
      <w:outlineLvl w:val="1"/>
    </w:pPr>
    <w:rPr>
      <w:rFonts w:eastAsia="Times New Roman"/>
      <w:b/>
      <w:bCs/>
      <w:iCs/>
      <w:color w:themeColor="accent1" w:val="4F81BD"/>
      <w:lang w:eastAsia="hr-HR" w:val="hr-HR"/>
    </w:rPr>
  </w:style>
  <w:style w:styleId="Naslov3" w:type="paragraph">
    <w:name w:val="heading 3"/>
    <w:basedOn w:val="Normal"/>
    <w:next w:val="Normal"/>
    <w:link w:val="Naslov3Char"/>
    <w:autoRedefine/>
    <w:qFormat/>
    <w:rsid w:val="0014086E"/>
    <w:pPr>
      <w:keepNext/>
      <w:numPr>
        <w:ilvl w:val="2"/>
        <w:numId w:val="2"/>
      </w:numPr>
      <w:spacing w:after="60" w:before="240"/>
      <w:outlineLvl w:val="2"/>
    </w:pPr>
    <w:rPr>
      <w:rFonts w:eastAsia="Times New Roman"/>
      <w:b/>
      <w:bCs/>
      <w:color w:val="548DD4"/>
      <w:lang w:eastAsia="hr-HR" w:val="hr-HR"/>
    </w:rPr>
  </w:style>
  <w:style w:styleId="Naslov4" w:type="paragraph">
    <w:name w:val="heading 4"/>
    <w:basedOn w:val="Normal"/>
    <w:next w:val="Normal"/>
    <w:link w:val="Naslov4Char"/>
    <w:uiPriority w:val="9"/>
    <w:qFormat/>
    <w:rsid w:val="00996714"/>
    <w:pPr>
      <w:keepNext/>
      <w:spacing w:after="60" w:before="240"/>
      <w:outlineLvl w:val="3"/>
    </w:pPr>
    <w:rPr>
      <w:rFonts w:eastAsia="MS Mincho" w:hAnsi="Cambria" w:ascii="Cambria"/>
      <w:b/>
      <w:bCs/>
      <w:sz w:val="28"/>
      <w:szCs w:val="28"/>
      <w:lang w:eastAsia="hr-HR" w:val="hr-HR"/>
    </w:rPr>
  </w:style>
  <w:style w:styleId="Naslov5" w:type="paragraph">
    <w:name w:val="heading 5"/>
    <w:basedOn w:val="Normal"/>
    <w:next w:val="Normal"/>
    <w:link w:val="Naslov5Char"/>
    <w:qFormat/>
    <w:rsid w:val="00F422BB"/>
    <w:pPr>
      <w:spacing w:after="60" w:before="240"/>
      <w:outlineLvl w:val="4"/>
    </w:pPr>
    <w:rPr>
      <w:rFonts w:eastAsia="Times New Roman"/>
      <w:b/>
      <w:bCs/>
      <w:i/>
      <w:iCs/>
      <w:sz w:val="26"/>
      <w:szCs w:val="26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Heading1Char" w:type="character">
    <w:name w:val="Heading 1 Char"/>
    <w:rsid w:val="00F422BB"/>
    <w:rPr>
      <w:rFonts w:cs="Times New Roman" w:eastAsia="Times New Roman" w:hAnsi="Cambria" w:ascii="Cambria"/>
      <w:b/>
      <w:bCs/>
      <w:color w:val="365F91"/>
      <w:sz w:val="28"/>
      <w:szCs w:val="28"/>
      <w:lang w:eastAsia="hr-HR"/>
    </w:rPr>
  </w:style>
  <w:style w:customStyle="true" w:styleId="Heading2Char" w:type="character">
    <w:name w:val="Heading 2 Char"/>
    <w:rsid w:val="00F422BB"/>
    <w:rPr>
      <w:rFonts w:cs="Times New Roman" w:eastAsia="Times New Roman" w:hAnsi="Cambria" w:ascii="Cambria"/>
      <w:b/>
      <w:bCs/>
      <w:color w:val="4F81BD"/>
      <w:sz w:val="26"/>
      <w:szCs w:val="26"/>
      <w:lang w:eastAsia="hr-HR"/>
    </w:rPr>
  </w:style>
  <w:style w:customStyle="true" w:styleId="Naslov3Char" w:type="character">
    <w:name w:val="Naslov 3 Char"/>
    <w:link w:val="Naslov3"/>
    <w:rsid w:val="0014086E"/>
    <w:rPr>
      <w:rFonts w:eastAsia="Times New Roman" w:hAnsi="Times New Roman" w:ascii="Times New Roman"/>
      <w:b/>
      <w:bCs/>
      <w:color w:val="548DD4"/>
      <w:sz w:val="24"/>
      <w:szCs w:val="24"/>
      <w:lang w:eastAsia="hr-HR" w:val="hr-HR"/>
    </w:rPr>
  </w:style>
  <w:style w:customStyle="true" w:styleId="Naslov5Char" w:type="character">
    <w:name w:val="Naslov 5 Char"/>
    <w:link w:val="Naslov5"/>
    <w:rsid w:val="00F422BB"/>
    <w:rPr>
      <w:rFonts w:cs="Times New Roman" w:eastAsia="Times New Roman" w:hAnsi="Times New Roman" w:ascii="Times New Roman"/>
      <w:b/>
      <w:bCs/>
      <w:i/>
      <w:iCs/>
      <w:sz w:val="26"/>
      <w:szCs w:val="26"/>
      <w:lang w:eastAsia="hr-HR"/>
    </w:rPr>
  </w:style>
  <w:style w:styleId="Reetkatablice" w:type="table">
    <w:name w:val="Table Grid"/>
    <w:basedOn w:val="Obinatablica"/>
    <w:rsid w:val="00F422BB"/>
    <w:rPr>
      <w:rFonts w:eastAsia="Times New Roman" w:hAnsi="Times New Roman" w:ascii="Times New Roman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link w:val="PodnojeChar"/>
    <w:uiPriority w:val="99"/>
    <w:rsid w:val="00F422BB"/>
    <w:pPr>
      <w:tabs>
        <w:tab w:pos="4536" w:val="center"/>
        <w:tab w:pos="9072" w:val="right"/>
      </w:tabs>
    </w:pPr>
    <w:rPr>
      <w:rFonts w:eastAsia="Times New Roman"/>
      <w:lang w:eastAsia="hr-HR" w:val="hr-HR"/>
    </w:rPr>
  </w:style>
  <w:style w:customStyle="true" w:styleId="PodnojeChar" w:type="character">
    <w:name w:val="Podnožje Char"/>
    <w:link w:val="Podnoje"/>
    <w:uiPriority w:val="99"/>
    <w:rsid w:val="00F422BB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422BB"/>
  </w:style>
  <w:style w:styleId="z-vrhobrasca" w:type="paragraph">
    <w:name w:val="HTML Top of Form"/>
    <w:basedOn w:val="Normal"/>
    <w:next w:val="Normal"/>
    <w:link w:val="z-vrhobrascaChar"/>
    <w:hidden/>
    <w:rsid w:val="00F422BB"/>
    <w:pPr>
      <w:pBdr>
        <w:bottom w:space="1" w:sz="6" w:color="auto" w:val="single"/>
      </w:pBdr>
      <w:jc w:val="center"/>
    </w:pPr>
    <w:rPr>
      <w:rFonts w:eastAsia="Times New Roman" w:hAnsi="Arial" w:ascii="Arial"/>
      <w:vanish/>
      <w:sz w:val="16"/>
      <w:szCs w:val="16"/>
      <w:lang w:eastAsia="hr-HR" w:val="hr-HR"/>
    </w:rPr>
  </w:style>
  <w:style w:customStyle="true" w:styleId="z-vrhobrascaChar" w:type="character">
    <w:name w:val="z-vrh obrasca Char"/>
    <w:link w:val="z-vrhobrasca"/>
    <w:rsid w:val="00F422BB"/>
    <w:rPr>
      <w:rFonts w:cs="Arial" w:eastAsia="Times New Roman" w:hAnsi="Arial" w:ascii="Arial"/>
      <w:vanish/>
      <w:sz w:val="16"/>
      <w:szCs w:val="16"/>
      <w:lang w:eastAsia="hr-HR"/>
    </w:rPr>
  </w:style>
  <w:style w:styleId="z-dnoobrasca" w:type="paragraph">
    <w:name w:val="HTML Bottom of Form"/>
    <w:basedOn w:val="Normal"/>
    <w:next w:val="Normal"/>
    <w:link w:val="z-dnoobrascaChar"/>
    <w:hidden/>
    <w:rsid w:val="00F422BB"/>
    <w:pPr>
      <w:pBdr>
        <w:top w:space="1" w:sz="6" w:color="auto" w:val="single"/>
      </w:pBdr>
      <w:jc w:val="center"/>
    </w:pPr>
    <w:rPr>
      <w:rFonts w:eastAsia="Times New Roman" w:hAnsi="Arial" w:ascii="Arial"/>
      <w:vanish/>
      <w:sz w:val="16"/>
      <w:szCs w:val="16"/>
      <w:lang w:eastAsia="hr-HR" w:val="hr-HR"/>
    </w:rPr>
  </w:style>
  <w:style w:customStyle="true" w:styleId="z-dnoobrascaChar" w:type="character">
    <w:name w:val="z-dno obrasca Char"/>
    <w:link w:val="z-dnoobrasca"/>
    <w:rsid w:val="00F422BB"/>
    <w:rPr>
      <w:rFonts w:cs="Arial" w:eastAsia="Times New Roman" w:hAnsi="Arial" w:ascii="Arial"/>
      <w:vanish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F422BB"/>
    <w:pPr>
      <w:tabs>
        <w:tab w:pos="4536" w:val="center"/>
        <w:tab w:pos="9072" w:val="right"/>
      </w:tabs>
    </w:pPr>
    <w:rPr>
      <w:rFonts w:eastAsia="Times New Roman"/>
      <w:lang w:eastAsia="hr-HR" w:val="hr-HR"/>
    </w:rPr>
  </w:style>
  <w:style w:customStyle="true" w:styleId="ZaglavljeChar" w:type="character">
    <w:name w:val="Zaglavlje Char"/>
    <w:link w:val="Zaglavlje"/>
    <w:uiPriority w:val="99"/>
    <w:rsid w:val="00F422BB"/>
    <w:rPr>
      <w:rFonts w:cs="Times New Roman" w:eastAsia="Times New Roman" w:hAnsi="Times New Roman" w:ascii="Times New Roman"/>
      <w:sz w:val="24"/>
      <w:szCs w:val="24"/>
      <w:lang w:eastAsia="hr-HR"/>
    </w:rPr>
  </w:style>
  <w:style w:styleId="Tekstfusnote" w:type="paragraph">
    <w:name w:val="footnote text"/>
    <w:basedOn w:val="Normal"/>
    <w:link w:val="TekstfusnoteChar"/>
    <w:semiHidden/>
    <w:rsid w:val="00F422BB"/>
    <w:rPr>
      <w:rFonts w:eastAsia="Times New Roman"/>
      <w:sz w:val="20"/>
      <w:szCs w:val="20"/>
      <w:lang w:eastAsia="hr-HR" w:val="hr-HR"/>
    </w:rPr>
  </w:style>
  <w:style w:customStyle="true" w:styleId="TekstfusnoteChar" w:type="character">
    <w:name w:val="Tekst fusnote Char"/>
    <w:link w:val="Tekstfusnote"/>
    <w:semiHidden/>
    <w:rsid w:val="00F422BB"/>
    <w:rPr>
      <w:rFonts w:cs="Times New Roman" w:eastAsia="Times New Roman" w:hAnsi="Times New Roman" w:ascii="Times New Roman"/>
      <w:sz w:val="20"/>
      <w:szCs w:val="20"/>
      <w:lang w:eastAsia="hr-HR"/>
    </w:rPr>
  </w:style>
  <w:style w:styleId="Referencafusnote" w:type="character">
    <w:name w:val="footnote reference"/>
    <w:semiHidden/>
    <w:rsid w:val="00F422BB"/>
    <w:rPr>
      <w:vertAlign w:val="superscript"/>
    </w:rPr>
  </w:style>
  <w:style w:styleId="Sadraj1" w:type="paragraph">
    <w:name w:val="toc 1"/>
    <w:basedOn w:val="Normal"/>
    <w:next w:val="Normal"/>
    <w:autoRedefine/>
    <w:uiPriority w:val="39"/>
    <w:rsid w:val="004C00BA"/>
    <w:pPr>
      <w:tabs>
        <w:tab w:pos="8914" w:val="right"/>
      </w:tabs>
      <w:spacing w:after="120" w:before="120"/>
      <w:jc w:val="both"/>
    </w:pPr>
    <w:rPr>
      <w:rFonts w:cs="Calibri" w:eastAsia="Times New Roman"/>
      <w:b/>
      <w:bCs/>
      <w:caps/>
      <w:sz w:val="28"/>
      <w:szCs w:val="28"/>
      <w:lang w:eastAsia="hr-HR" w:val="hr-HR"/>
    </w:rPr>
  </w:style>
  <w:style w:styleId="Sadraj2" w:type="paragraph">
    <w:name w:val="toc 2"/>
    <w:basedOn w:val="Normal"/>
    <w:next w:val="Normal"/>
    <w:autoRedefine/>
    <w:uiPriority w:val="39"/>
    <w:rsid w:val="00231183"/>
    <w:pPr>
      <w:tabs>
        <w:tab w:pos="960" w:val="left"/>
        <w:tab w:pos="8914" w:leader="dot" w:val="right"/>
      </w:tabs>
      <w:spacing w:lineRule="auto" w:line="480"/>
      <w:ind w:left="240"/>
    </w:pPr>
    <w:rPr>
      <w:rFonts w:cs="Calibri" w:eastAsia="Times New Roman" w:hAnsi="Calibri" w:ascii="Calibri"/>
      <w:smallCaps/>
      <w:sz w:val="20"/>
      <w:szCs w:val="20"/>
      <w:lang w:eastAsia="hr-HR" w:val="hr-HR"/>
    </w:rPr>
  </w:style>
  <w:style w:styleId="Sadraj3" w:type="paragraph">
    <w:name w:val="toc 3"/>
    <w:basedOn w:val="Normal"/>
    <w:next w:val="Normal"/>
    <w:autoRedefine/>
    <w:uiPriority w:val="39"/>
    <w:rsid w:val="00F422BB"/>
    <w:pPr>
      <w:ind w:left="480"/>
    </w:pPr>
    <w:rPr>
      <w:rFonts w:cs="Calibri" w:eastAsia="Times New Roman" w:hAnsi="Calibri" w:ascii="Calibri"/>
      <w:i/>
      <w:iCs/>
      <w:sz w:val="20"/>
      <w:szCs w:val="20"/>
      <w:lang w:eastAsia="hr-HR" w:val="hr-HR"/>
    </w:rPr>
  </w:style>
  <w:style w:styleId="Sadraj4" w:type="paragraph">
    <w:name w:val="toc 4"/>
    <w:basedOn w:val="Normal"/>
    <w:next w:val="Normal"/>
    <w:autoRedefine/>
    <w:semiHidden/>
    <w:rsid w:val="00F422BB"/>
    <w:pPr>
      <w:ind w:left="720"/>
    </w:pPr>
    <w:rPr>
      <w:rFonts w:cs="Calibri" w:hAnsi="Calibri" w:ascii="Calibri"/>
      <w:sz w:val="18"/>
      <w:szCs w:val="18"/>
      <w:lang w:eastAsia="en-US" w:val="en-US"/>
    </w:rPr>
  </w:style>
  <w:style w:styleId="Sadraj5" w:type="paragraph">
    <w:name w:val="toc 5"/>
    <w:basedOn w:val="Normal"/>
    <w:next w:val="Normal"/>
    <w:autoRedefine/>
    <w:semiHidden/>
    <w:rsid w:val="00F422BB"/>
    <w:pPr>
      <w:ind w:left="960"/>
    </w:pPr>
    <w:rPr>
      <w:rFonts w:cs="Calibri" w:hAnsi="Calibri" w:ascii="Calibri"/>
      <w:sz w:val="18"/>
      <w:szCs w:val="18"/>
      <w:lang w:eastAsia="en-US" w:val="en-US"/>
    </w:rPr>
  </w:style>
  <w:style w:styleId="Sadraj6" w:type="paragraph">
    <w:name w:val="toc 6"/>
    <w:basedOn w:val="Normal"/>
    <w:next w:val="Normal"/>
    <w:autoRedefine/>
    <w:semiHidden/>
    <w:rsid w:val="00F422BB"/>
    <w:pPr>
      <w:ind w:left="1200"/>
    </w:pPr>
    <w:rPr>
      <w:rFonts w:cs="Calibri" w:hAnsi="Calibri" w:ascii="Calibri"/>
      <w:sz w:val="18"/>
      <w:szCs w:val="18"/>
      <w:lang w:eastAsia="en-US" w:val="en-US"/>
    </w:rPr>
  </w:style>
  <w:style w:styleId="Sadraj7" w:type="paragraph">
    <w:name w:val="toc 7"/>
    <w:basedOn w:val="Normal"/>
    <w:next w:val="Normal"/>
    <w:autoRedefine/>
    <w:semiHidden/>
    <w:rsid w:val="00F422BB"/>
    <w:pPr>
      <w:ind w:left="1440"/>
    </w:pPr>
    <w:rPr>
      <w:rFonts w:cs="Calibri" w:hAnsi="Calibri" w:ascii="Calibri"/>
      <w:sz w:val="18"/>
      <w:szCs w:val="18"/>
      <w:lang w:eastAsia="en-US" w:val="en-US"/>
    </w:rPr>
  </w:style>
  <w:style w:styleId="Sadraj8" w:type="paragraph">
    <w:name w:val="toc 8"/>
    <w:basedOn w:val="Normal"/>
    <w:next w:val="Normal"/>
    <w:autoRedefine/>
    <w:semiHidden/>
    <w:rsid w:val="00F422BB"/>
    <w:pPr>
      <w:ind w:left="1680"/>
    </w:pPr>
    <w:rPr>
      <w:rFonts w:cs="Calibri" w:hAnsi="Calibri" w:ascii="Calibri"/>
      <w:sz w:val="18"/>
      <w:szCs w:val="18"/>
      <w:lang w:eastAsia="en-US" w:val="en-US"/>
    </w:rPr>
  </w:style>
  <w:style w:styleId="Sadraj9" w:type="paragraph">
    <w:name w:val="toc 9"/>
    <w:basedOn w:val="Normal"/>
    <w:next w:val="Normal"/>
    <w:autoRedefine/>
    <w:semiHidden/>
    <w:rsid w:val="00F422BB"/>
    <w:pPr>
      <w:ind w:left="1920"/>
    </w:pPr>
    <w:rPr>
      <w:rFonts w:cs="Calibri" w:hAnsi="Calibri" w:ascii="Calibri"/>
      <w:sz w:val="18"/>
      <w:szCs w:val="18"/>
      <w:lang w:eastAsia="en-US" w:val="en-US"/>
    </w:rPr>
  </w:style>
  <w:style w:styleId="Hiperveza" w:type="character">
    <w:name w:val="Hyperlink"/>
    <w:uiPriority w:val="99"/>
    <w:rsid w:val="00F422BB"/>
    <w:rPr>
      <w:color w:val="0000FF"/>
      <w:u w:val="single"/>
    </w:rPr>
  </w:style>
  <w:style w:customStyle="true" w:styleId="kontakt" w:type="paragraph">
    <w:name w:val="kontakt"/>
    <w:basedOn w:val="Normal"/>
    <w:rsid w:val="00F422BB"/>
    <w:pPr>
      <w:spacing w:afterAutospacing="true" w:after="100" w:beforeAutospacing="true" w:before="100"/>
    </w:pPr>
    <w:rPr>
      <w:rFonts w:eastAsia="Times New Roman"/>
      <w:lang w:eastAsia="hr-HR" w:val="hr-HR"/>
    </w:rPr>
  </w:style>
  <w:style w:styleId="StandardWeb" w:type="paragraph">
    <w:name w:val="Normal (Web)"/>
    <w:basedOn w:val="Normal"/>
    <w:uiPriority w:val="99"/>
    <w:rsid w:val="00F422BB"/>
    <w:pPr>
      <w:spacing w:afterAutospacing="true" w:after="100" w:beforeAutospacing="true" w:before="100"/>
    </w:pPr>
    <w:rPr>
      <w:rFonts w:eastAsia="Times New Roman"/>
      <w:lang w:eastAsia="hr-HR" w:val="hr-HR"/>
    </w:rPr>
  </w:style>
  <w:style w:styleId="Reetkatablice4" w:type="table">
    <w:name w:val="Table Grid 4"/>
    <w:basedOn w:val="Obinatablica"/>
    <w:rsid w:val="00F422BB"/>
    <w:rPr>
      <w:rFonts w:eastAsia="Times New Roman" w:hAnsi="Times New Roman" w:ascii="Times New Roman"/>
      <w:lang w:eastAsia="hr-HR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tabletextfield" w:type="character">
    <w:name w:val="table_text_field"/>
    <w:basedOn w:val="Zadanifontodlomka"/>
    <w:rsid w:val="00F422BB"/>
  </w:style>
  <w:style w:customStyle="true" w:styleId="tabletitle2" w:type="character">
    <w:name w:val="table_title2"/>
    <w:basedOn w:val="Zadanifontodlomka"/>
    <w:rsid w:val="00F422BB"/>
  </w:style>
  <w:style w:styleId="Naglaeno" w:type="character">
    <w:name w:val="Strong"/>
    <w:uiPriority w:val="22"/>
    <w:qFormat/>
    <w:rsid w:val="00F422BB"/>
    <w:rPr>
      <w:b/>
      <w:bCs/>
    </w:rPr>
  </w:style>
  <w:style w:customStyle="true" w:styleId="mw-headline" w:type="character">
    <w:name w:val="mw-headline"/>
    <w:basedOn w:val="Zadanifontodlomka"/>
    <w:rsid w:val="00F422BB"/>
  </w:style>
  <w:style w:customStyle="true" w:styleId="editsectionmoved" w:type="character">
    <w:name w:val="editsectionmoved"/>
    <w:basedOn w:val="Zadanifontodlomka"/>
    <w:rsid w:val="00F422BB"/>
  </w:style>
  <w:style w:customStyle="true" w:styleId="contenttext" w:type="paragraph">
    <w:name w:val="contenttext"/>
    <w:basedOn w:val="Normal"/>
    <w:rsid w:val="00F422BB"/>
    <w:pPr>
      <w:spacing w:afterAutospacing="true" w:after="100" w:beforeAutospacing="true" w:before="100"/>
      <w:jc w:val="both"/>
    </w:pPr>
    <w:rPr>
      <w:rFonts w:cs="Arial" w:eastAsia="Times New Roman" w:hAnsi="Arial" w:ascii="Arial"/>
      <w:color w:val="666666"/>
      <w:sz w:val="15"/>
      <w:szCs w:val="15"/>
      <w:lang w:eastAsia="hr-HR" w:val="hr-HR"/>
    </w:rPr>
  </w:style>
  <w:style w:customStyle="true" w:styleId="datum" w:type="paragraph">
    <w:name w:val="datum"/>
    <w:basedOn w:val="Normal"/>
    <w:rsid w:val="00F422BB"/>
    <w:pPr>
      <w:spacing w:afterAutospacing="true" w:after="100" w:beforeAutospacing="true" w:before="100"/>
    </w:pPr>
    <w:rPr>
      <w:rFonts w:cs="Arial" w:eastAsia="Times New Roman" w:hAnsi="Arial" w:ascii="Arial"/>
      <w:color w:val="800000"/>
      <w:sz w:val="20"/>
      <w:szCs w:val="20"/>
      <w:lang w:eastAsia="hr-HR" w:val="hr-HR"/>
    </w:rPr>
  </w:style>
  <w:style w:styleId="Opisslike" w:type="paragraph">
    <w:name w:val="caption"/>
    <w:basedOn w:val="Normal"/>
    <w:next w:val="Normal"/>
    <w:qFormat/>
    <w:rsid w:val="00CA2058"/>
    <w:pPr>
      <w:spacing w:lineRule="auto" w:line="360"/>
    </w:pPr>
    <w:rPr>
      <w:rFonts w:eastAsia="Times New Roman"/>
      <w:lang w:eastAsia="de-DE"/>
    </w:rPr>
  </w:style>
  <w:style w:customStyle="true" w:styleId="Naslov2Char" w:type="character">
    <w:name w:val="Naslov 2 Char"/>
    <w:link w:val="Naslov2"/>
    <w:rsid w:val="000B0721"/>
    <w:rPr>
      <w:rFonts w:eastAsia="Times New Roman" w:hAnsi="Times New Roman" w:ascii="Times New Roman"/>
      <w:b/>
      <w:bCs/>
      <w:iCs/>
      <w:color w:themeColor="accent1" w:val="4F81BD"/>
      <w:sz w:val="24"/>
      <w:szCs w:val="24"/>
      <w:lang w:eastAsia="hr-HR" w:val="hr-HR"/>
    </w:rPr>
  </w:style>
  <w:style w:customStyle="true" w:styleId="Naslov1Char" w:type="character">
    <w:name w:val="Naslov 1 Char"/>
    <w:link w:val="Naslov1"/>
    <w:rsid w:val="009B53F6"/>
    <w:rPr>
      <w:rFonts w:hAnsi="Times New Roman" w:ascii="Times New Roman"/>
      <w:b/>
      <w:color w:themeColor="accent1" w:val="4F81BD"/>
      <w:sz w:val="24"/>
      <w:szCs w:val="24"/>
    </w:rPr>
  </w:style>
  <w:style w:customStyle="true" w:styleId="imgdescription" w:type="character">
    <w:name w:val="imgdescription"/>
    <w:basedOn w:val="Zadanifontodlomka"/>
    <w:rsid w:val="00F422BB"/>
  </w:style>
  <w:style w:customStyle="true" w:styleId="c5" w:type="paragraph">
    <w:name w:val="c5"/>
    <w:basedOn w:val="Normal"/>
    <w:rsid w:val="00F422BB"/>
    <w:pPr>
      <w:spacing w:lineRule="atLeast" w:line="330" w:after="270" w:beforeAutospacing="true" w:before="100"/>
      <w:jc w:val="both"/>
    </w:pPr>
    <w:rPr>
      <w:rFonts w:eastAsia="Times New Roman" w:hAnsi="Georgia" w:ascii="Georgia"/>
      <w:color w:val="000000"/>
      <w:sz w:val="21"/>
      <w:szCs w:val="21"/>
      <w:lang w:eastAsia="hr-HR" w:val="hr-HR"/>
    </w:rPr>
  </w:style>
  <w:style w:customStyle="true" w:styleId="ap1" w:type="paragraph">
    <w:name w:val="ap1"/>
    <w:basedOn w:val="Normal"/>
    <w:rsid w:val="00F422BB"/>
    <w:pPr>
      <w:spacing w:lineRule="atLeast" w:line="217"/>
      <w:ind w:right="149" w:left="149"/>
    </w:pPr>
    <w:rPr>
      <w:rFonts w:eastAsia="Times New Roman"/>
      <w:color w:val="1D1C1C"/>
      <w:lang w:eastAsia="hr-HR" w:val="hr-HR"/>
    </w:rPr>
  </w:style>
  <w:style w:customStyle="true" w:styleId="itemhead" w:type="paragraph">
    <w:name w:val="itemhead"/>
    <w:basedOn w:val="Normal"/>
    <w:rsid w:val="00F422BB"/>
    <w:pP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SubtleEmphasis2" w:type="paragraph">
    <w:name w:val="Subtle Emphasis2"/>
    <w:basedOn w:val="Normal"/>
    <w:uiPriority w:val="34"/>
    <w:qFormat/>
    <w:rsid w:val="006B1823"/>
    <w:pPr>
      <w:ind w:left="720"/>
      <w:contextualSpacing/>
    </w:pPr>
    <w:rPr>
      <w:rFonts w:eastAsia="Times New Roman"/>
      <w:lang w:eastAsia="hr-HR" w:val="hr-HR"/>
    </w:rPr>
  </w:style>
  <w:style w:customStyle="true" w:styleId="c11" w:type="paragraph">
    <w:name w:val="c11"/>
    <w:basedOn w:val="Normal"/>
    <w:rsid w:val="0000105A"/>
    <w:pPr>
      <w:spacing w:after="255" w:beforeAutospacing="true" w:before="100"/>
    </w:pPr>
    <w:rPr>
      <w:rFonts w:eastAsia="Times New Roman" w:hAnsi="Georgia" w:ascii="Georgia"/>
      <w:b/>
      <w:bCs/>
      <w:i/>
      <w:iCs/>
      <w:color w:val="484848"/>
      <w:sz w:val="23"/>
      <w:szCs w:val="23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6012"/>
    <w:rPr>
      <w:rFonts w:hAnsi="Tahoma" w:ascii="Tahoma"/>
      <w:sz w:val="16"/>
      <w:szCs w:val="16"/>
      <w:lang w:eastAsia="en-US" w:val="en-US"/>
    </w:rPr>
  </w:style>
  <w:style w:customStyle="true" w:styleId="TekstbaloniaChar" w:type="character">
    <w:name w:val="Tekst balončića Char"/>
    <w:link w:val="Tekstbalonia"/>
    <w:uiPriority w:val="99"/>
    <w:semiHidden/>
    <w:rsid w:val="00266012"/>
    <w:rPr>
      <w:rFonts w:cs="Tahoma" w:eastAsia="Times New Roman" w:hAnsi="Tahoma" w:ascii="Tahoma"/>
      <w:sz w:val="16"/>
      <w:szCs w:val="16"/>
      <w:lang w:eastAsia="hr-HR"/>
    </w:rPr>
  </w:style>
  <w:style w:styleId="Istaknuto" w:type="character">
    <w:name w:val="Emphasis"/>
    <w:uiPriority w:val="20"/>
    <w:qFormat/>
    <w:rsid w:val="00DA6BEE"/>
    <w:rPr>
      <w:i/>
      <w:iCs/>
    </w:rPr>
  </w:style>
  <w:style w:customStyle="true" w:styleId="textcisti" w:type="paragraph">
    <w:name w:val="textcisti"/>
    <w:basedOn w:val="Normal"/>
    <w:rsid w:val="00504FC9"/>
    <w:pP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NoList1" w:type="numbering">
    <w:name w:val="No List1"/>
    <w:next w:val="Bezpopisa"/>
    <w:uiPriority w:val="99"/>
    <w:semiHidden/>
    <w:unhideWhenUsed/>
    <w:rsid w:val="00AE5950"/>
  </w:style>
  <w:style w:customStyle="true" w:styleId="apple-converted-space" w:type="character">
    <w:name w:val="apple-converted-space"/>
    <w:rsid w:val="00AE5950"/>
  </w:style>
  <w:style w:styleId="Tijeloteksta" w:type="paragraph">
    <w:name w:val="Body Text"/>
    <w:basedOn w:val="Normal"/>
    <w:link w:val="TijelotekstaChar"/>
    <w:rsid w:val="00AE5950"/>
    <w:pPr>
      <w:jc w:val="both"/>
    </w:pPr>
    <w:rPr>
      <w:rFonts w:eastAsia="Times New Roman" w:hAnsi="Arial" w:ascii="Arial"/>
      <w:snapToGrid w:val="false"/>
      <w:sz w:val="20"/>
      <w:szCs w:val="20"/>
      <w:lang w:eastAsia="en-US" w:val="fr-FR"/>
    </w:rPr>
  </w:style>
  <w:style w:customStyle="true" w:styleId="TijelotekstaChar" w:type="character">
    <w:name w:val="Tijelo teksta Char"/>
    <w:link w:val="Tijeloteksta"/>
    <w:rsid w:val="00AE5950"/>
    <w:rPr>
      <w:rFonts w:eastAsia="Times New Roman" w:hAnsi="Arial" w:ascii="Arial"/>
      <w:snapToGrid w:val="false"/>
      <w:lang w:eastAsia="en-US" w:val="fr-FR"/>
    </w:rPr>
  </w:style>
  <w:style w:customStyle="true" w:styleId="TableGrid1" w:type="table">
    <w:name w:val="Table Grid1"/>
    <w:basedOn w:val="Obinatablica"/>
    <w:next w:val="Reetkatablice"/>
    <w:uiPriority w:val="59"/>
    <w:rsid w:val="00AE595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apple-style-span" w:type="character">
    <w:name w:val="apple-style-span"/>
    <w:rsid w:val="00AE5950"/>
  </w:style>
  <w:style w:customStyle="true" w:styleId="text" w:type="paragraph">
    <w:name w:val="text"/>
    <w:rsid w:val="00AE5950"/>
    <w:pPr>
      <w:widowControl w:val="false"/>
      <w:spacing w:lineRule="exact" w:line="240" w:before="240"/>
      <w:jc w:val="both"/>
    </w:pPr>
    <w:rPr>
      <w:rFonts w:eastAsia="Times New Roman" w:hAnsi="Arial" w:ascii="Arial"/>
      <w:snapToGrid w:val="false"/>
      <w:sz w:val="24"/>
      <w:lang w:val="cs-CZ"/>
    </w:rPr>
  </w:style>
  <w:style w:customStyle="true" w:styleId="textcslovan" w:type="paragraph">
    <w:name w:val="text císlovaný"/>
    <w:basedOn w:val="text"/>
    <w:rsid w:val="00AE5950"/>
    <w:pPr>
      <w:ind w:hanging="567" w:left="567"/>
    </w:pPr>
  </w:style>
  <w:style w:customStyle="true" w:styleId="noparagraphstyle" w:type="paragraph">
    <w:name w:val="noparagraphstyle"/>
    <w:basedOn w:val="Normal"/>
    <w:rsid w:val="00AE5950"/>
    <w:pP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clanak" w:type="paragraph">
    <w:name w:val="clanak"/>
    <w:basedOn w:val="Normal"/>
    <w:rsid w:val="00AE5950"/>
    <w:pP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c41" w:type="paragraph">
    <w:name w:val="c41"/>
    <w:basedOn w:val="Normal"/>
    <w:rsid w:val="00C27A22"/>
    <w:pP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xclaimempty" w:type="character">
    <w:name w:val="xclaimempty"/>
    <w:rsid w:val="00C27A22"/>
  </w:style>
  <w:style w:customStyle="true" w:styleId="xclaimstyle" w:type="character">
    <w:name w:val="xclaimstyle"/>
    <w:rsid w:val="00C27A22"/>
  </w:style>
  <w:style w:customStyle="true" w:styleId="SubtleEmphasis1" w:type="paragraph">
    <w:name w:val="Subtle Emphasis1"/>
    <w:basedOn w:val="Normal"/>
    <w:uiPriority w:val="34"/>
    <w:qFormat/>
    <w:rsid w:val="00D92B02"/>
    <w:pPr>
      <w:ind w:left="708"/>
    </w:pPr>
    <w:rPr>
      <w:rFonts w:eastAsia="Times New Roman"/>
      <w:lang w:eastAsia="hr-HR" w:val="hr-HR"/>
    </w:rPr>
  </w:style>
  <w:style w:customStyle="true" w:styleId="Naslov4Char" w:type="character">
    <w:name w:val="Naslov 4 Char"/>
    <w:link w:val="Naslov4"/>
    <w:uiPriority w:val="9"/>
    <w:rsid w:val="00996714"/>
    <w:rPr>
      <w:rFonts w:cs="Times New Roman" w:eastAsia="MS Mincho" w:hAnsi="Cambria" w:ascii="Cambria"/>
      <w:b/>
      <w:bCs/>
      <w:sz w:val="28"/>
      <w:szCs w:val="28"/>
      <w:lang w:eastAsia="hr-HR" w:val="hr-HR"/>
    </w:rPr>
  </w:style>
  <w:style w:customStyle="true" w:styleId="MediumShading11" w:type="paragraph">
    <w:name w:val="Medium Shading 11"/>
    <w:basedOn w:val="Normal"/>
    <w:uiPriority w:val="63"/>
    <w:rsid w:val="00996714"/>
    <w:pPr>
      <w:keepNext/>
      <w:numPr>
        <w:ilvl w:val="5"/>
        <w:numId w:val="1"/>
      </w:numPr>
      <w:contextualSpacing/>
      <w:outlineLvl w:val="5"/>
    </w:pPr>
    <w:rPr>
      <w:rFonts w:eastAsia="MS Gothic" w:hAnsi="Verdana" w:ascii="Verdana"/>
      <w:lang w:eastAsia="hr-HR" w:val="hr-HR"/>
    </w:rPr>
  </w:style>
  <w:style w:styleId="Popis" w:type="paragraph">
    <w:name w:val="List"/>
    <w:basedOn w:val="Normal"/>
    <w:uiPriority w:val="99"/>
    <w:unhideWhenUsed/>
    <w:rsid w:val="00996714"/>
    <w:pPr>
      <w:ind w:hanging="283" w:left="283"/>
      <w:contextualSpacing/>
    </w:pPr>
    <w:rPr>
      <w:rFonts w:eastAsia="Times New Roman"/>
      <w:lang w:eastAsia="hr-HR" w:val="hr-HR"/>
    </w:rPr>
  </w:style>
  <w:style w:styleId="Popis2" w:type="paragraph">
    <w:name w:val="List 2"/>
    <w:basedOn w:val="Normal"/>
    <w:uiPriority w:val="99"/>
    <w:unhideWhenUsed/>
    <w:rsid w:val="00996714"/>
    <w:pPr>
      <w:ind w:hanging="283" w:left="566"/>
      <w:contextualSpacing/>
    </w:pPr>
    <w:rPr>
      <w:rFonts w:eastAsia="Times New Roman"/>
      <w:lang w:eastAsia="hr-HR" w:val="hr-HR"/>
    </w:rPr>
  </w:style>
  <w:style w:styleId="Popis3" w:type="paragraph">
    <w:name w:val="List 3"/>
    <w:basedOn w:val="Normal"/>
    <w:uiPriority w:val="99"/>
    <w:unhideWhenUsed/>
    <w:rsid w:val="00996714"/>
    <w:pPr>
      <w:ind w:hanging="283" w:left="849"/>
      <w:contextualSpacing/>
    </w:pPr>
    <w:rPr>
      <w:rFonts w:eastAsia="Times New Roman"/>
      <w:lang w:eastAsia="hr-HR" w:val="hr-HR"/>
    </w:rPr>
  </w:style>
  <w:style w:styleId="Popis4" w:type="paragraph">
    <w:name w:val="List 4"/>
    <w:basedOn w:val="Normal"/>
    <w:uiPriority w:val="99"/>
    <w:unhideWhenUsed/>
    <w:rsid w:val="00996714"/>
    <w:pPr>
      <w:ind w:hanging="283" w:left="1132"/>
      <w:contextualSpacing/>
    </w:pPr>
    <w:rPr>
      <w:rFonts w:eastAsia="Times New Roman"/>
      <w:lang w:eastAsia="hr-HR" w:val="hr-HR"/>
    </w:rPr>
  </w:style>
  <w:style w:styleId="Popis5" w:type="paragraph">
    <w:name w:val="List 5"/>
    <w:basedOn w:val="Normal"/>
    <w:uiPriority w:val="99"/>
    <w:unhideWhenUsed/>
    <w:rsid w:val="00996714"/>
    <w:pPr>
      <w:ind w:hanging="283" w:left="1415"/>
      <w:contextualSpacing/>
    </w:pPr>
    <w:rPr>
      <w:rFonts w:eastAsia="Times New Roman"/>
      <w:lang w:eastAsia="hr-HR" w:val="hr-HR"/>
    </w:rPr>
  </w:style>
  <w:style w:styleId="Grafikeoznake2" w:type="paragraph">
    <w:name w:val="List Bullet 2"/>
    <w:basedOn w:val="Normal"/>
    <w:uiPriority w:val="99"/>
    <w:unhideWhenUsed/>
    <w:rsid w:val="00996714"/>
    <w:pPr>
      <w:numPr>
        <w:numId w:val="4"/>
      </w:numPr>
      <w:contextualSpacing/>
    </w:pPr>
    <w:rPr>
      <w:rFonts w:eastAsia="Times New Roman"/>
      <w:lang w:eastAsia="hr-HR" w:val="hr-HR"/>
    </w:rPr>
  </w:style>
  <w:style w:styleId="Grafikeoznake5" w:type="paragraph">
    <w:name w:val="List Bullet 5"/>
    <w:basedOn w:val="Normal"/>
    <w:uiPriority w:val="99"/>
    <w:unhideWhenUsed/>
    <w:rsid w:val="00996714"/>
    <w:pPr>
      <w:numPr>
        <w:numId w:val="5"/>
      </w:numPr>
      <w:contextualSpacing/>
    </w:pPr>
    <w:rPr>
      <w:rFonts w:eastAsia="Times New Roman"/>
      <w:lang w:eastAsia="hr-HR" w:val="hr-HR"/>
    </w:rPr>
  </w:style>
  <w:style w:styleId="Nastavakpopisa" w:type="paragraph">
    <w:name w:val="List Continue"/>
    <w:basedOn w:val="Normal"/>
    <w:uiPriority w:val="99"/>
    <w:unhideWhenUsed/>
    <w:rsid w:val="00996714"/>
    <w:pPr>
      <w:spacing w:after="120"/>
      <w:ind w:left="283"/>
      <w:contextualSpacing/>
    </w:pPr>
    <w:rPr>
      <w:rFonts w:eastAsia="Times New Roman"/>
      <w:lang w:eastAsia="hr-HR" w:val="hr-HR"/>
    </w:rPr>
  </w:style>
  <w:style w:styleId="Nastavakpopisa5" w:type="paragraph">
    <w:name w:val="List Continue 5"/>
    <w:basedOn w:val="Normal"/>
    <w:uiPriority w:val="99"/>
    <w:unhideWhenUsed/>
    <w:rsid w:val="00996714"/>
    <w:pPr>
      <w:spacing w:after="120"/>
      <w:ind w:left="1415"/>
      <w:contextualSpacing/>
    </w:pPr>
    <w:rPr>
      <w:rFonts w:eastAsia="Times New Roman"/>
      <w:lang w:eastAsia="hr-HR"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unhideWhenUsed/>
    <w:rsid w:val="00996714"/>
    <w:pPr>
      <w:spacing w:after="120"/>
      <w:ind w:firstLine="210"/>
      <w:jc w:val="left"/>
    </w:pPr>
    <w:rPr>
      <w:rFonts w:hAnsi="Times New Roman" w:ascii="Times New Roman"/>
      <w:snapToGrid/>
      <w:sz w:val="24"/>
      <w:szCs w:val="24"/>
      <w:lang w:eastAsia="hr-HR" w:val="hr-HR"/>
    </w:rPr>
  </w:style>
  <w:style w:customStyle="true" w:styleId="Tijeloteksta-prvauvlakaChar" w:type="character">
    <w:name w:val="Tijelo teksta - prva uvlaka Char"/>
    <w:link w:val="Tijeloteksta-prvauvlaka"/>
    <w:uiPriority w:val="99"/>
    <w:rsid w:val="00996714"/>
    <w:rPr>
      <w:rFonts w:eastAsia="Times New Roman" w:hAnsi="Times New Roman" w:ascii="Times New Roman"/>
      <w:snapToGrid/>
      <w:sz w:val="24"/>
      <w:szCs w:val="24"/>
      <w:lang w:eastAsia="hr-HR"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996714"/>
    <w:pPr>
      <w:spacing w:after="120"/>
      <w:ind w:left="283"/>
    </w:pPr>
    <w:rPr>
      <w:rFonts w:eastAsia="Times New Roman"/>
      <w:lang w:eastAsia="hr-HR" w:val="hr-HR"/>
    </w:rPr>
  </w:style>
  <w:style w:customStyle="true" w:styleId="UvuenotijelotekstaChar" w:type="character">
    <w:name w:val="Uvučeno tijelo teksta Char"/>
    <w:link w:val="Uvuenotijeloteksta"/>
    <w:uiPriority w:val="99"/>
    <w:semiHidden/>
    <w:rsid w:val="00996714"/>
    <w:rPr>
      <w:rFonts w:eastAsia="Times New Roman" w:hAnsi="Times New Roman" w:ascii="Times New Roman"/>
      <w:sz w:val="24"/>
      <w:szCs w:val="24"/>
      <w:lang w:eastAsia="hr-HR"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unhideWhenUsed/>
    <w:rsid w:val="00996714"/>
    <w:pPr>
      <w:ind w:firstLine="210"/>
    </w:pPr>
  </w:style>
  <w:style w:customStyle="true" w:styleId="Tijeloteksta-prvauvlaka2Char" w:type="character">
    <w:name w:val="Tijelo teksta - prva uvlaka 2 Char"/>
    <w:link w:val="Tijeloteksta-prvauvlaka2"/>
    <w:uiPriority w:val="99"/>
    <w:rsid w:val="00996714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MediumGrid21" w:type="paragraph">
    <w:name w:val="Medium Grid 21"/>
    <w:uiPriority w:val="1"/>
    <w:qFormat/>
    <w:rsid w:val="008E604D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DarkList-Accent51" w:type="paragraph">
    <w:name w:val="Dark List - Accent 51"/>
    <w:basedOn w:val="Normal"/>
    <w:uiPriority w:val="34"/>
    <w:qFormat/>
    <w:rsid w:val="00777D99"/>
    <w:pPr>
      <w:ind w:left="708"/>
    </w:pPr>
    <w:rPr>
      <w:rFonts w:eastAsia="Times New Roman"/>
      <w:lang w:eastAsia="hr-HR" w:val="hr-HR"/>
    </w:rPr>
  </w:style>
  <w:style w:customStyle="true" w:styleId="Textbody" w:type="paragraph">
    <w:name w:val="Text body"/>
    <w:basedOn w:val="Normal"/>
    <w:rsid w:val="0073016C"/>
    <w:pPr>
      <w:widowControl w:val="false"/>
      <w:suppressAutoHyphens/>
      <w:autoSpaceDN w:val="false"/>
      <w:spacing w:after="120"/>
      <w:textAlignment w:val="baseline"/>
    </w:pPr>
    <w:rPr>
      <w:rFonts w:cs="Mangal" w:eastAsia="Lucida Sans Unicode"/>
      <w:kern w:val="3"/>
      <w:lang w:bidi="hi-IN" w:eastAsia="zh-CN" w:val="hr-HR"/>
    </w:rPr>
  </w:style>
  <w:style w:styleId="SlijeenaHiperveza" w:type="character">
    <w:name w:val="FollowedHyperlink"/>
    <w:uiPriority w:val="99"/>
    <w:semiHidden/>
    <w:unhideWhenUsed/>
    <w:rsid w:val="000F650F"/>
    <w:rPr>
      <w:color w:val="800080"/>
      <w:u w:val="single"/>
    </w:rPr>
  </w:style>
  <w:style w:customStyle="true" w:styleId="xl63" w:type="paragraph">
    <w:name w:val="xl63"/>
    <w:basedOn w:val="Normal"/>
    <w:rsid w:val="000F650F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Times" w:ascii="Times"/>
      <w:sz w:val="20"/>
      <w:szCs w:val="20"/>
      <w:lang w:eastAsia="en-US" w:val="en-US"/>
    </w:rPr>
  </w:style>
  <w:style w:customStyle="true" w:styleId="xl64" w:type="paragraph">
    <w:name w:val="xl64"/>
    <w:basedOn w:val="Normal"/>
    <w:rsid w:val="000F650F"/>
    <w:pPr>
      <w:shd w:fill="C0C0C0" w:color="000000" w:val="clear"/>
      <w:spacing w:afterAutospacing="true" w:after="100" w:beforeAutospacing="true" w:before="100"/>
    </w:pPr>
    <w:rPr>
      <w:rFonts w:hAnsi="Times" w:ascii="Times"/>
      <w:sz w:val="20"/>
      <w:szCs w:val="20"/>
      <w:lang w:eastAsia="en-US" w:val="en-US"/>
    </w:rPr>
  </w:style>
  <w:style w:customStyle="true" w:styleId="xl65" w:type="paragraph">
    <w:name w:val="xl65"/>
    <w:basedOn w:val="Normal"/>
    <w:rsid w:val="000F650F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Times" w:ascii="Times"/>
      <w:sz w:val="20"/>
      <w:szCs w:val="20"/>
      <w:lang w:eastAsia="en-US" w:val="en-US"/>
    </w:rPr>
  </w:style>
  <w:style w:customStyle="true" w:styleId="xl66" w:type="paragraph">
    <w:name w:val="xl66"/>
    <w:basedOn w:val="Normal"/>
    <w:rsid w:val="000F650F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Times" w:ascii="Times"/>
      <w:sz w:val="20"/>
      <w:szCs w:val="20"/>
      <w:lang w:eastAsia="en-US" w:val="en-US"/>
    </w:rPr>
  </w:style>
  <w:style w:customStyle="true" w:styleId="xl67" w:type="paragraph">
    <w:name w:val="xl67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center"/>
      <w:textAlignment w:val="center"/>
    </w:pPr>
    <w:rPr>
      <w:rFonts w:hAnsi="Times" w:ascii="Times"/>
      <w:b/>
      <w:bCs/>
      <w:color w:val="000000"/>
      <w:sz w:val="20"/>
      <w:szCs w:val="20"/>
      <w:lang w:eastAsia="en-US" w:val="en-US"/>
    </w:rPr>
  </w:style>
  <w:style w:customStyle="true" w:styleId="xl68" w:type="paragraph">
    <w:name w:val="xl68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center"/>
      <w:textAlignment w:val="center"/>
    </w:pPr>
    <w:rPr>
      <w:rFonts w:hAnsi="Times" w:ascii="Times"/>
      <w:b/>
      <w:bCs/>
      <w:color w:val="000000"/>
      <w:sz w:val="20"/>
      <w:szCs w:val="20"/>
      <w:lang w:eastAsia="en-US" w:val="en-US"/>
    </w:rPr>
  </w:style>
  <w:style w:customStyle="true" w:styleId="xl69" w:type="paragraph">
    <w:name w:val="xl69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right"/>
      <w:textAlignment w:val="center"/>
    </w:pPr>
    <w:rPr>
      <w:rFonts w:hAnsi="Times" w:ascii="Times"/>
      <w:b/>
      <w:bCs/>
      <w:color w:val="000000"/>
      <w:sz w:val="20"/>
      <w:szCs w:val="20"/>
      <w:lang w:eastAsia="en-US" w:val="en-US"/>
    </w:rPr>
  </w:style>
  <w:style w:customStyle="true" w:styleId="xl70" w:type="paragraph">
    <w:name w:val="xl70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center"/>
      <w:textAlignment w:val="center"/>
    </w:pPr>
    <w:rPr>
      <w:rFonts w:hAnsi="Times" w:ascii="Times"/>
      <w:b/>
      <w:bCs/>
      <w:color w:val="000000"/>
      <w:sz w:val="20"/>
      <w:szCs w:val="20"/>
      <w:lang w:eastAsia="en-US" w:val="en-US"/>
    </w:rPr>
  </w:style>
  <w:style w:customStyle="true" w:styleId="xl71" w:type="paragraph">
    <w:name w:val="xl71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hAnsi="Times" w:ascii="Times"/>
      <w:sz w:val="20"/>
      <w:szCs w:val="20"/>
      <w:lang w:eastAsia="en-US" w:val="en-US"/>
    </w:rPr>
  </w:style>
  <w:style w:customStyle="true" w:styleId="xl72" w:type="paragraph">
    <w:name w:val="xl72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hAnsi="Times" w:ascii="Times"/>
      <w:sz w:val="20"/>
      <w:szCs w:val="20"/>
      <w:lang w:eastAsia="en-US" w:val="en-US"/>
    </w:rPr>
  </w:style>
  <w:style w:customStyle="true" w:styleId="xl73" w:type="paragraph">
    <w:name w:val="xl73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hAnsi="Times" w:ascii="Times"/>
      <w:sz w:val="20"/>
      <w:szCs w:val="20"/>
      <w:lang w:eastAsia="en-US" w:val="en-US"/>
    </w:rPr>
  </w:style>
  <w:style w:customStyle="true" w:styleId="xl74" w:type="paragraph">
    <w:name w:val="xl74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cs="Tahoma" w:hAnsi="Tahoma" w:ascii="Tahoma"/>
      <w:color w:val="000000"/>
      <w:sz w:val="16"/>
      <w:szCs w:val="16"/>
      <w:lang w:eastAsia="en-US" w:val="en-US"/>
    </w:rPr>
  </w:style>
  <w:style w:customStyle="true" w:styleId="xl75" w:type="paragraph">
    <w:name w:val="xl75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cs="Arial" w:hAnsi="Arial" w:ascii="Arial"/>
      <w:color w:val="333333"/>
      <w:lang w:eastAsia="en-US" w:val="en-US"/>
    </w:rPr>
  </w:style>
  <w:style w:customStyle="true" w:styleId="xl76" w:type="paragraph">
    <w:name w:val="xl76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hAnsi="Verdana" w:ascii="Verdana"/>
      <w:color w:val="000080"/>
      <w:sz w:val="16"/>
      <w:szCs w:val="16"/>
      <w:lang w:eastAsia="en-US" w:val="en-US"/>
    </w:rPr>
  </w:style>
  <w:style w:customStyle="true" w:styleId="xl77" w:type="paragraph">
    <w:name w:val="xl77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hAnsi="Times" w:ascii="Times"/>
      <w:b/>
      <w:bCs/>
      <w:color w:val="000000"/>
      <w:sz w:val="20"/>
      <w:szCs w:val="20"/>
      <w:lang w:eastAsia="en-US" w:val="en-US"/>
    </w:rPr>
  </w:style>
  <w:style w:customStyle="true" w:styleId="xl78" w:type="paragraph">
    <w:name w:val="xl78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hAnsi="Times" w:ascii="Times"/>
      <w:b/>
      <w:bCs/>
      <w:color w:val="000000"/>
      <w:sz w:val="20"/>
      <w:szCs w:val="20"/>
      <w:lang w:eastAsia="en-US" w:val="en-US"/>
    </w:rPr>
  </w:style>
  <w:style w:customStyle="true" w:styleId="xl79" w:type="paragraph">
    <w:name w:val="xl79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hAnsi="Times" w:ascii="Times"/>
      <w:b/>
      <w:bCs/>
      <w:color w:val="000000"/>
      <w:sz w:val="20"/>
      <w:szCs w:val="20"/>
      <w:lang w:eastAsia="en-US" w:val="en-US"/>
    </w:rPr>
  </w:style>
  <w:style w:customStyle="true" w:styleId="xl80" w:type="paragraph">
    <w:name w:val="xl80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hAnsi="Times" w:ascii="Times"/>
      <w:b/>
      <w:bCs/>
      <w:color w:val="000000"/>
      <w:sz w:val="20"/>
      <w:szCs w:val="20"/>
      <w:lang w:eastAsia="en-US" w:val="en-US"/>
    </w:rPr>
  </w:style>
  <w:style w:customStyle="true" w:styleId="SubtleEmphasis3" w:type="paragraph">
    <w:name w:val="Subtle Emphasis3"/>
    <w:basedOn w:val="Normal"/>
    <w:uiPriority w:val="72"/>
    <w:qFormat/>
    <w:rsid w:val="00B930D4"/>
    <w:pPr>
      <w:ind w:left="720"/>
      <w:contextualSpacing/>
    </w:pPr>
    <w:rPr>
      <w:rFonts w:eastAsia="Times New Roman"/>
      <w:lang w:eastAsia="hr-HR" w:val="hr-HR"/>
    </w:rPr>
  </w:style>
  <w:style w:customStyle="true" w:styleId="xl92" w:type="paragraph">
    <w:name w:val="xl92"/>
    <w:basedOn w:val="Normal"/>
    <w:rsid w:val="007508CB"/>
    <w:pPr>
      <w:spacing w:afterAutospacing="true" w:after="100" w:beforeAutospacing="true" w:before="100"/>
    </w:pPr>
    <w:rPr>
      <w:rFonts w:hAnsi="Times" w:ascii="Times"/>
      <w:b/>
      <w:bCs/>
      <w:sz w:val="20"/>
      <w:szCs w:val="20"/>
      <w:lang w:eastAsia="en-US" w:val="en-US"/>
    </w:rPr>
  </w:style>
  <w:style w:customStyle="true" w:styleId="xl93" w:type="paragraph">
    <w:name w:val="xl93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eastAsia="en-US" w:val="en-US"/>
    </w:rPr>
  </w:style>
  <w:style w:customStyle="true" w:styleId="xl94" w:type="paragraph">
    <w:name w:val="xl94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eastAsia="en-US" w:val="en-US"/>
    </w:rPr>
  </w:style>
  <w:style w:customStyle="true" w:styleId="xl95" w:type="paragraph">
    <w:name w:val="xl95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eastAsia="en-US" w:val="en-US"/>
    </w:rPr>
  </w:style>
  <w:style w:customStyle="true" w:styleId="xl96" w:type="paragraph">
    <w:name w:val="xl96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eastAsia="en-US" w:val="en-US"/>
    </w:rPr>
  </w:style>
  <w:style w:customStyle="true" w:styleId="xl97" w:type="paragraph">
    <w:name w:val="xl97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eastAsia="en-US" w:val="en-US"/>
    </w:rPr>
  </w:style>
  <w:style w:customStyle="true" w:styleId="xl98" w:type="paragraph">
    <w:name w:val="xl98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20"/>
      <w:szCs w:val="20"/>
      <w:lang w:eastAsia="en-US" w:val="en-US"/>
    </w:rPr>
  </w:style>
  <w:style w:customStyle="true" w:styleId="xl99" w:type="paragraph">
    <w:name w:val="xl99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sz w:val="20"/>
      <w:szCs w:val="20"/>
      <w:lang w:eastAsia="en-US" w:val="en-US"/>
    </w:rPr>
  </w:style>
  <w:style w:customStyle="true" w:styleId="xl100" w:type="paragraph">
    <w:name w:val="xl100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sz w:val="20"/>
      <w:szCs w:val="20"/>
      <w:lang w:eastAsia="en-US" w:val="en-US"/>
    </w:rPr>
  </w:style>
  <w:style w:customStyle="true" w:styleId="xl101" w:type="paragraph">
    <w:name w:val="xl101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sz w:val="20"/>
      <w:szCs w:val="20"/>
      <w:lang w:eastAsia="en-US" w:val="en-US"/>
    </w:rPr>
  </w:style>
  <w:style w:customStyle="true" w:styleId="xl102" w:type="paragraph">
    <w:name w:val="xl102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sz w:val="20"/>
      <w:szCs w:val="20"/>
      <w:lang w:eastAsia="en-US" w:val="en-US"/>
    </w:rPr>
  </w:style>
  <w:style w:customStyle="true" w:styleId="xl103" w:type="paragraph">
    <w:name w:val="xl103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b/>
      <w:bCs/>
      <w:sz w:val="20"/>
      <w:szCs w:val="20"/>
      <w:lang w:eastAsia="en-US" w:val="en-US"/>
    </w:rPr>
  </w:style>
  <w:style w:customStyle="true" w:styleId="xl104" w:type="paragraph">
    <w:name w:val="xl104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b/>
      <w:bCs/>
      <w:sz w:val="20"/>
      <w:szCs w:val="20"/>
      <w:lang w:eastAsia="en-US" w:val="en-US"/>
    </w:rPr>
  </w:style>
  <w:style w:customStyle="true" w:styleId="xl105" w:type="paragraph">
    <w:name w:val="xl105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b/>
      <w:bCs/>
      <w:sz w:val="20"/>
      <w:szCs w:val="20"/>
      <w:lang w:eastAsia="en-US" w:val="en-US"/>
    </w:rPr>
  </w:style>
  <w:style w:customStyle="true" w:styleId="PlainTable31" w:type="paragraph">
    <w:name w:val="Plain Table 31"/>
    <w:basedOn w:val="Normal"/>
    <w:uiPriority w:val="72"/>
    <w:qFormat/>
    <w:rsid w:val="006634A3"/>
    <w:pPr>
      <w:ind w:left="708"/>
    </w:pPr>
    <w:rPr>
      <w:rFonts w:eastAsia="Times New Roman"/>
      <w:lang w:eastAsia="hr-HR" w:val="hr-HR"/>
    </w:rPr>
  </w:style>
  <w:style w:customStyle="true" w:styleId="xl90" w:type="paragraph">
    <w:name w:val="xl90"/>
    <w:basedOn w:val="Normal"/>
    <w:rsid w:val="000622BE"/>
    <w:pPr>
      <w:spacing w:afterAutospacing="true" w:after="100" w:beforeAutospacing="true" w:before="100"/>
    </w:pPr>
    <w:rPr>
      <w:sz w:val="20"/>
      <w:szCs w:val="20"/>
      <w:lang w:eastAsia="en-US" w:val="en-US"/>
    </w:rPr>
  </w:style>
  <w:style w:customStyle="true" w:styleId="xl91" w:type="paragraph">
    <w:name w:val="xl91"/>
    <w:basedOn w:val="Normal"/>
    <w:rsid w:val="000622B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sz w:val="20"/>
      <w:szCs w:val="20"/>
      <w:lang w:eastAsia="en-US" w:val="en-US"/>
    </w:rPr>
  </w:style>
  <w:style w:styleId="Odlomakpopisa" w:type="paragraph">
    <w:name w:val="List Paragraph"/>
    <w:basedOn w:val="Normal"/>
    <w:uiPriority w:val="34"/>
    <w:qFormat/>
    <w:rsid w:val="00ED57E8"/>
    <w:pPr>
      <w:ind w:left="720"/>
      <w:contextualSpacing/>
    </w:pPr>
    <w:rPr>
      <w:rFonts w:eastAsia="Times New Roman"/>
      <w:lang w:eastAsia="hr-HR" w:val="hr-HR"/>
    </w:rPr>
  </w:style>
  <w:style w:customStyle="true" w:styleId="style3" w:type="character">
    <w:name w:val="style3"/>
    <w:basedOn w:val="Zadanifontodlomka"/>
    <w:rsid w:val="00A91F0A"/>
  </w:style>
  <w:style w:customStyle="true" w:styleId="st" w:type="character">
    <w:name w:val="st"/>
    <w:basedOn w:val="Zadanifontodlomka"/>
    <w:rsid w:val="00A91F0A"/>
  </w:style>
  <w:style w:customStyle="true" w:styleId="xl81" w:type="paragraph">
    <w:name w:val="xl81"/>
    <w:basedOn w:val="Normal"/>
    <w:rsid w:val="00E05C44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/>
      <w:lang w:eastAsia="hr-HR" w:val="hr-HR"/>
    </w:rPr>
  </w:style>
  <w:style w:customStyle="true" w:styleId="xl82" w:type="paragraph">
    <w:name w:val="xl82"/>
    <w:basedOn w:val="Normal"/>
    <w:rsid w:val="00E05C4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xl83" w:type="paragraph">
    <w:name w:val="xl83"/>
    <w:basedOn w:val="Normal"/>
    <w:rsid w:val="00E05C4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Times New Roman"/>
      <w:sz w:val="18"/>
      <w:szCs w:val="18"/>
      <w:lang w:eastAsia="hr-HR" w:val="hr-HR"/>
    </w:rPr>
  </w:style>
  <w:style w:customStyle="true" w:styleId="xl84" w:type="paragraph">
    <w:name w:val="xl84"/>
    <w:basedOn w:val="Normal"/>
    <w:rsid w:val="00E05C4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Times New Roman"/>
      <w:sz w:val="18"/>
      <w:szCs w:val="18"/>
      <w:lang w:eastAsia="hr-HR" w:val="hr-HR"/>
    </w:rPr>
  </w:style>
  <w:style w:customStyle="true" w:styleId="xl85" w:type="paragraph">
    <w:name w:val="xl85"/>
    <w:basedOn w:val="Normal"/>
    <w:rsid w:val="00E05C44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/>
      <w:lang w:eastAsia="hr-HR" w:val="hr-HR"/>
    </w:rPr>
  </w:style>
  <w:style w:customStyle="true" w:styleId="xl86" w:type="paragraph">
    <w:name w:val="xl86"/>
    <w:basedOn w:val="Normal"/>
    <w:rsid w:val="00E05C44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eastAsia="Times New Roman"/>
      <w:lang w:eastAsia="hr-HR" w:val="hr-HR"/>
    </w:rPr>
  </w:style>
  <w:style w:customStyle="true" w:styleId="xl87" w:type="paragraph">
    <w:name w:val="xl87"/>
    <w:basedOn w:val="Normal"/>
    <w:rsid w:val="00E05C44"/>
    <w:pPr>
      <w:pBdr>
        <w:top w:space="0" w:sz="4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xl88" w:type="paragraph">
    <w:name w:val="xl88"/>
    <w:basedOn w:val="Normal"/>
    <w:rsid w:val="00E05C44"/>
    <w:pPr>
      <w:pBdr>
        <w:top w:space="0" w:sz="4" w:color="auto" w:val="single"/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xl89" w:type="paragraph">
    <w:name w:val="xl89"/>
    <w:basedOn w:val="Normal"/>
    <w:rsid w:val="00E05C44"/>
    <w:pPr>
      <w:pBdr>
        <w:top w:space="0" w:sz="4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</w:pPr>
    <w:rPr>
      <w:rFonts w:eastAsia="Times New Roman"/>
      <w:sz w:val="18"/>
      <w:szCs w:val="18"/>
      <w:lang w:eastAsia="hr-HR" w:val="hr-HR"/>
    </w:rPr>
  </w:style>
  <w:style w:styleId="TOCNaslov" w:type="paragraph">
    <w:name w:val="TOC Heading"/>
    <w:basedOn w:val="Naslov1"/>
    <w:next w:val="Normal"/>
    <w:uiPriority w:val="39"/>
    <w:unhideWhenUsed/>
    <w:qFormat/>
    <w:rsid w:val="00C56AB6"/>
    <w:pPr>
      <w:keepLines/>
      <w:tabs>
        <w:tab w:pos="1225" w:val="clear"/>
      </w:tabs>
      <w:spacing w:lineRule="auto" w:line="259" w:after="0"/>
      <w:outlineLvl w:val="9"/>
    </w:pPr>
    <w:rPr>
      <w:rFonts w:cstheme="majorBidi" w:eastAsiaTheme="majorEastAsia" w:hAnsiTheme="majorHAnsi" w:asciiTheme="majorHAnsi"/>
      <w:b w:val="false"/>
      <w:bCs/>
      <w:color w:themeShade="BF" w:themeColor="accent1" w:val="365F91"/>
      <w:sz w:val="32"/>
    </w:rPr>
  </w:style>
  <w:style w:styleId="Tekstrezerviranogmjesta" w:type="character">
    <w:name w:val="Placeholder Text"/>
    <w:basedOn w:val="Zadanifontodlomka"/>
    <w:uiPriority w:val="62"/>
    <w:semiHidden/>
    <w:rsid w:val="00D503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0364"/>
    <w:rPr>
      <w:rFonts w:cs="Times New Roman" w:hAnsi="Times New Roman" w:ascii="Times New Roman"/>
      <w:color w:themeTint="99" w:themeColor="text2" w:val="548DD4"/>
      <w:sz w:val="24"/>
      <w:szCs w:val="4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0364"/>
    <w:rPr>
      <w:color w:themeTint="99" w:themeColor="text2" w:val="548DD4"/>
      <w:sz w:val="40"/>
      <w:szCs w:val="4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0364"/>
    <w:rPr>
      <w:rFonts w:cs="Times New Roman" w:hAnsi="Times New Roman" w:ascii="Times New Roman"/>
      <w:color w:themeTint="99" w:themeColor="text2" w:val="548DD4"/>
      <w:sz w:val="40"/>
      <w:szCs w:val="4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0364"/>
    <w:rPr>
      <w:rFonts w:cs="Times New Roman" w:hAnsi="Times New Roman" w:ascii="Times New Roman"/>
      <w:color w:themeTint="99" w:themeColor="text2" w:val="548DD4"/>
      <w:sz w:val="40"/>
      <w:szCs w:val="4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9" w:unhideWhenUsed="0"/>
    <w:lsdException w:name="heading 5" w:qFormat="1" w:semiHidden="0" w:uiPriority="0" w:unhideWhenUsed="0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qFormat="1" w:semiHidden="0" w:uiPriority="0" w:unhideWhenUsed="0"/>
    <w:lsdException w:name="footnote reference" w:uiPriority="0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HTML Top of Form" w:uiPriority="0"/>
    <w:lsdException w:name="HTML Bottom of Form" w:uiPriority="0"/>
    <w:lsdException w:name="Table Grid 4" w:uiPriority="0"/>
    <w:lsdException w:name="Table Grid" w:semiHidden="0" w:uiPriority="0" w:unhideWhenUsed="0"/>
    <w:lsdException w:name="Placeholder Text" w:uiPriority="62" w:unhideWhenUsed="0"/>
    <w:lsdException w:name="No Spacing" w:semiHidden="0" w:uiPriority="63" w:unhideWhenUsed="0"/>
    <w:lsdException w:name="Light Shading" w:semiHidden="0" w:uiPriority="64" w:unhideWhenUsed="0"/>
    <w:lsdException w:name="Light List" w:semiHidden="0" w:uiPriority="65" w:unhideWhenUsed="0"/>
    <w:lsdException w:name="Light Grid" w:semiHidden="0" w:unhideWhenUsed="0"/>
    <w:lsdException w:name="Medium Shading 1" w:qFormat="1" w:semiHidden="0" w:uiPriority="34" w:unhideWhenUsed="0"/>
    <w:lsdException w:name="Medium Shading 2" w:qFormat="1" w:semiHidden="0" w:uiPriority="29" w:unhideWhenUsed="0"/>
    <w:lsdException w:name="Medium List 1" w:qFormat="1" w:semiHidden="0" w:uiPriority="30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qFormat="1" w:semiHidden="0" w:uiPriority="72" w:unhideWhenUsed="0"/>
    <w:lsdException w:name="Colorful Grid" w:qFormat="1" w:semiHidden="0" w:uiPriority="73" w:unhideWhenUsed="0"/>
    <w:lsdException w:name="Light Shading Accent 1" w:qFormat="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semiHidden="0" w:uiPriority="66" w:unhideWhenUsed="0"/>
    <w:lsdException w:name="List Paragraph" w:qFormat="1" w:semiHidden="0" w:uiPriority="34" w:unhideWhenUsed="0"/>
    <w:lsdException w:name="Quote" w:semiHidden="0" w:uiPriority="68" w:unhideWhenUsed="0"/>
    <w:lsdException w:name="Intense Quote" w:semiHidden="0" w:uiPriority="69" w:unhideWhenUsed="0"/>
    <w:lsdException w:name="Medium List 2 Accent 1" w:semiHidden="0" w:uiPriority="70" w:unhideWhenUsed="0"/>
    <w:lsdException w:name="Medium Grid 1 Accent 1" w:semiHidden="0" w:uiPriority="71" w:unhideWhenUsed="0"/>
    <w:lsdException w:name="Medium Grid 2 Accent 1" w:semiHidden="0" w:uiPriority="72" w:unhideWhenUsed="0"/>
    <w:lsdException w:name="Medium Grid 3 Accent 1" w:semiHidden="0" w:uiPriority="73" w:unhideWhenUsed="0"/>
    <w:lsdException w:name="Dark List Accent 1" w:semiHidden="0" w:uiPriority="60" w:unhideWhenUsed="0"/>
    <w:lsdException w:name="Colorful Shading Accent 1" w:semiHidden="0" w:uiPriority="61" w:unhideWhenUsed="0"/>
    <w:lsdException w:name="Colorful List Accent 1" w:semiHidden="0" w:uiPriority="62" w:unhideWhenUsed="0"/>
    <w:lsdException w:name="Colorful Grid Accent 1" w:semiHidden="0" w:uiPriority="63" w:unhideWhenUsed="0"/>
    <w:lsdException w:name="Light Shading Accent 2" w:semiHidden="0" w:uiPriority="64" w:unhideWhenUsed="0"/>
    <w:lsdException w:name="Light List Accent 2" w:semiHidden="0" w:uiPriority="65" w:unhideWhenUsed="0"/>
    <w:lsdException w:name="Light Grid Accent 2" w:semiHidden="0" w:uiPriority="66" w:unhideWhenUsed="0"/>
    <w:lsdException w:name="Medium Shading 1 Accent 2" w:semiHidden="0" w:uiPriority="67" w:unhideWhenUsed="0"/>
    <w:lsdException w:name="Medium Shading 2 Accent 2" w:semiHidden="0" w:uiPriority="68" w:unhideWhenUsed="0"/>
    <w:lsdException w:name="Medium List 1 Accent 2" w:semiHidden="0" w:uiPriority="69" w:unhideWhenUsed="0"/>
    <w:lsdException w:name="Medium List 2 Accent 2" w:semiHidden="0" w:uiPriority="70" w:unhideWhenUsed="0"/>
    <w:lsdException w:name="Medium Grid 1 Accent 2" w:semiHidden="0" w:uiPriority="71" w:unhideWhenUsed="0"/>
    <w:lsdException w:name="Medium Grid 2 Accent 2" w:semiHidden="0" w:uiPriority="72" w:unhideWhenUsed="0"/>
    <w:lsdException w:name="Medium Grid 3 Accent 2" w:semiHidden="0" w:uiPriority="73" w:unhideWhenUsed="0"/>
    <w:lsdException w:name="Dark List Accent 2" w:semiHidden="0" w:uiPriority="60" w:unhideWhenUsed="0"/>
    <w:lsdException w:name="Colorful Shading Accent 2" w:semiHidden="0" w:uiPriority="61" w:unhideWhenUsed="0"/>
    <w:lsdException w:name="Colorful List Accent 2" w:semiHidden="0" w:uiPriority="62" w:unhideWhenUsed="0"/>
    <w:lsdException w:name="Colorful Grid Accent 2" w:semiHidden="0" w:uiPriority="63" w:unhideWhenUsed="0"/>
    <w:lsdException w:name="Light Shading Accent 3" w:semiHidden="0" w:uiPriority="64" w:unhideWhenUsed="0"/>
    <w:lsdException w:name="Light List Accent 3" w:semiHidden="0" w:uiPriority="65" w:unhideWhenUsed="0"/>
    <w:lsdException w:name="Light Grid Accent 3" w:semiHidden="0" w:uiPriority="66" w:unhideWhenUsed="0"/>
    <w:lsdException w:name="Medium Shading 1 Accent 3" w:semiHidden="0" w:uiPriority="67" w:unhideWhenUsed="0"/>
    <w:lsdException w:name="Medium Shading 2 Accent 3" w:semiHidden="0" w:uiPriority="68" w:unhideWhenUsed="0"/>
    <w:lsdException w:name="Medium List 1 Accent 3" w:semiHidden="0" w:uiPriority="69" w:unhideWhenUsed="0"/>
    <w:lsdException w:name="Medium List 2 Accent 3" w:semiHidden="0" w:uiPriority="70" w:unhideWhenUsed="0"/>
    <w:lsdException w:name="Medium Grid 1 Accent 3" w:semiHidden="0" w:uiPriority="71" w:unhideWhenUsed="0"/>
    <w:lsdException w:name="Medium Grid 2 Accent 3" w:semiHidden="0" w:uiPriority="72" w:unhideWhenUsed="0"/>
    <w:lsdException w:name="Medium Grid 3 Accent 3" w:semiHidden="0" w:uiPriority="73" w:unhideWhenUsed="0"/>
    <w:lsdException w:name="Dark List Accent 3" w:semiHidden="0" w:uiPriority="60" w:unhideWhenUsed="0"/>
    <w:lsdException w:name="Colorful Shading Accent 3" w:semiHidden="0" w:uiPriority="61" w:unhideWhenUsed="0"/>
    <w:lsdException w:name="Colorful List Accent 3" w:semiHidden="0" w:uiPriority="62" w:unhideWhenUsed="0"/>
    <w:lsdException w:name="Colorful Grid Accent 3" w:semiHidden="0" w:uiPriority="63" w:unhideWhenUsed="0"/>
    <w:lsdException w:name="Light Shading Accent 4" w:semiHidden="0" w:uiPriority="64" w:unhideWhenUsed="0"/>
    <w:lsdException w:name="Light List Accent 4" w:semiHidden="0" w:uiPriority="65" w:unhideWhenUsed="0"/>
    <w:lsdException w:name="Light Grid Accent 4" w:semiHidden="0" w:uiPriority="66" w:unhideWhenUsed="0"/>
    <w:lsdException w:name="Medium Shading 1 Accent 4" w:semiHidden="0" w:uiPriority="67" w:unhideWhenUsed="0"/>
    <w:lsdException w:name="Medium Shading 2 Accent 4" w:semiHidden="0" w:uiPriority="68" w:unhideWhenUsed="0"/>
    <w:lsdException w:name="Medium List 1 Accent 4" w:semiHidden="0" w:uiPriority="69" w:unhideWhenUsed="0"/>
    <w:lsdException w:name="Medium List 2 Accent 4" w:semiHidden="0" w:uiPriority="70" w:unhideWhenUsed="0"/>
    <w:lsdException w:name="Medium Grid 1 Accent 4" w:semiHidden="0" w:uiPriority="71" w:unhideWhenUsed="0"/>
    <w:lsdException w:name="Medium Grid 2 Accent 4" w:semiHidden="0" w:uiPriority="72" w:unhideWhenUsed="0"/>
    <w:lsdException w:name="Medium Grid 3 Accent 4" w:semiHidden="0" w:uiPriority="73" w:unhideWhenUsed="0"/>
    <w:lsdException w:name="Dark List Accent 4" w:semiHidden="0" w:uiPriority="60" w:unhideWhenUsed="0"/>
    <w:lsdException w:name="Colorful Shading Accent 4" w:semiHidden="0" w:uiPriority="61" w:unhideWhenUsed="0"/>
    <w:lsdException w:name="Colorful List Accent 4" w:semiHidden="0" w:uiPriority="62" w:unhideWhenUsed="0"/>
    <w:lsdException w:name="Colorful Grid Accent 4" w:semiHidden="0" w:uiPriority="63" w:unhideWhenUsed="0"/>
    <w:lsdException w:name="Light Shading Accent 5" w:semiHidden="0" w:uiPriority="64" w:unhideWhenUsed="0"/>
    <w:lsdException w:name="Light List Accent 5" w:semiHidden="0" w:uiPriority="65" w:unhideWhenUsed="0"/>
    <w:lsdException w:name="Light Grid Accent 5" w:semiHidden="0" w:uiPriority="66" w:unhideWhenUsed="0"/>
    <w:lsdException w:name="Medium Shading 1 Accent 5" w:semiHidden="0" w:uiPriority="67" w:unhideWhenUsed="0"/>
    <w:lsdException w:name="Medium Shading 2 Accent 5" w:semiHidden="0" w:uiPriority="68" w:unhideWhenUsed="0"/>
    <w:lsdException w:name="Medium List 1 Accent 5" w:semiHidden="0" w:uiPriority="69" w:unhideWhenUsed="0"/>
    <w:lsdException w:name="Medium List 2 Accent 5" w:semiHidden="0" w:uiPriority="70" w:unhideWhenUsed="0"/>
    <w:lsdException w:name="Medium Grid 1 Accent 5" w:semiHidden="0" w:uiPriority="71" w:unhideWhenUsed="0"/>
    <w:lsdException w:name="Medium Grid 2 Accent 5" w:semiHidden="0" w:uiPriority="72" w:unhideWhenUsed="0"/>
    <w:lsdException w:name="Medium Grid 3 Accent 5" w:semiHidden="0" w:uiPriority="73" w:unhideWhenUsed="0"/>
    <w:lsdException w:name="Dark List Accent 5" w:qFormat="1" w:semiHidden="0" w:uiPriority="19" w:unhideWhenUsed="0"/>
    <w:lsdException w:name="Colorful Shading Accent 5" w:qFormat="1" w:semiHidden="0" w:uiPriority="21" w:unhideWhenUsed="0"/>
    <w:lsdException w:name="Colorful List Accent 5" w:qFormat="1" w:semiHidden="0" w:uiPriority="31" w:unhideWhenUsed="0"/>
    <w:lsdException w:name="Colorful Grid Accent 5" w:qFormat="1" w:semiHidden="0" w:uiPriority="32" w:unhideWhenUsed="0"/>
    <w:lsdException w:name="Light Shading Accent 6" w:qFormat="1" w:semiHidden="0" w:uiPriority="33" w:unhideWhenUsed="0"/>
    <w:lsdException w:name="Light List Accent 6" w:semiHidden="0" w:uiPriority="37" w:unhideWhenUsed="0"/>
    <w:lsdException w:name="Light Grid Accent 6" w:qFormat="1" w:semiHidden="0" w:uiPriority="39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qFormat="1" w:semiHidden="0" w:uiPriority="19" w:unhideWhenUsed="0"/>
    <w:lsdException w:name="Medium List 2 Accent 6" w:qFormat="1" w:semiHidden="0" w:uiPriority="21" w:unhideWhenUsed="0"/>
    <w:lsdException w:name="Medium Grid 1 Accent 6" w:qFormat="1" w:semiHidden="0" w:uiPriority="31" w:unhideWhenUsed="0"/>
    <w:lsdException w:name="Medium Grid 2 Accent 6" w:qFormat="1" w:semiHidden="0" w:uiPriority="32" w:unhideWhenUsed="0"/>
    <w:lsdException w:name="Medium Grid 3 Accent 6" w:qFormat="1" w:semiHidden="0" w:uiPriority="33" w:unhideWhenUsed="0"/>
    <w:lsdException w:name="Dark List Accent 6" w:semiHidden="0" w:uiPriority="37" w:unhideWhenUsed="0"/>
    <w:lsdException w:name="Colorful Shading Accent 6" w:qFormat="1" w:semiHidden="0" w:uiPriority="39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91882"/>
    <w:rPr>
      <w:rFonts w:ascii="Times New Roman" w:hAnsi="Times New Roman"/>
      <w:sz w:val="24"/>
      <w:szCs w:val="24"/>
      <w:lang w:eastAsia="en-GB" w:val="en-GB"/>
    </w:rPr>
  </w:style>
  <w:style w:styleId="Naslov1" w:type="paragraph">
    <w:name w:val="heading 1"/>
    <w:basedOn w:val="Normal"/>
    <w:next w:val="Normal"/>
    <w:link w:val="Naslov1Char"/>
    <w:autoRedefine/>
    <w:qFormat/>
    <w:rsid w:val="009B53F6"/>
    <w:pPr>
      <w:keepNext/>
      <w:tabs>
        <w:tab w:pos="1225" w:val="left"/>
      </w:tabs>
      <w:spacing w:after="60" w:before="240" w:line="276" w:lineRule="auto"/>
      <w:jc w:val="both"/>
      <w:outlineLvl w:val="0"/>
    </w:pPr>
    <w:rPr>
      <w:b/>
      <w:color w:themeColor="accent1" w:val="4F81BD"/>
      <w:lang w:eastAsia="en-US" w:val="en-US"/>
    </w:rPr>
  </w:style>
  <w:style w:styleId="Naslov2" w:type="paragraph">
    <w:name w:val="heading 2"/>
    <w:basedOn w:val="Normal"/>
    <w:next w:val="Normal"/>
    <w:link w:val="Naslov2Char"/>
    <w:autoRedefine/>
    <w:qFormat/>
    <w:rsid w:val="000B0721"/>
    <w:pPr>
      <w:keepNext/>
      <w:numPr>
        <w:ilvl w:val="1"/>
        <w:numId w:val="2"/>
      </w:numPr>
      <w:spacing w:after="60" w:before="240" w:line="360" w:lineRule="auto"/>
      <w:jc w:val="both"/>
      <w:outlineLvl w:val="1"/>
    </w:pPr>
    <w:rPr>
      <w:rFonts w:eastAsia="Times New Roman"/>
      <w:b/>
      <w:bCs/>
      <w:iCs/>
      <w:color w:themeColor="accent1" w:val="4F81BD"/>
      <w:lang w:eastAsia="hr-HR" w:val="hr-HR"/>
    </w:rPr>
  </w:style>
  <w:style w:styleId="Naslov3" w:type="paragraph">
    <w:name w:val="heading 3"/>
    <w:basedOn w:val="Normal"/>
    <w:next w:val="Normal"/>
    <w:link w:val="Naslov3Char"/>
    <w:autoRedefine/>
    <w:qFormat/>
    <w:rsid w:val="0014086E"/>
    <w:pPr>
      <w:keepNext/>
      <w:numPr>
        <w:ilvl w:val="2"/>
        <w:numId w:val="2"/>
      </w:numPr>
      <w:spacing w:after="60" w:before="240"/>
      <w:outlineLvl w:val="2"/>
    </w:pPr>
    <w:rPr>
      <w:rFonts w:eastAsia="Times New Roman"/>
      <w:b/>
      <w:bCs/>
      <w:color w:val="548DD4"/>
      <w:lang w:eastAsia="hr-HR" w:val="hr-HR"/>
    </w:rPr>
  </w:style>
  <w:style w:styleId="Naslov4" w:type="paragraph">
    <w:name w:val="heading 4"/>
    <w:basedOn w:val="Normal"/>
    <w:next w:val="Normal"/>
    <w:link w:val="Naslov4Char"/>
    <w:uiPriority w:val="9"/>
    <w:qFormat/>
    <w:rsid w:val="00996714"/>
    <w:pPr>
      <w:keepNext/>
      <w:spacing w:after="60" w:before="240"/>
      <w:outlineLvl w:val="3"/>
    </w:pPr>
    <w:rPr>
      <w:rFonts w:ascii="Cambria" w:eastAsia="MS Mincho" w:hAnsi="Cambria"/>
      <w:b/>
      <w:bCs/>
      <w:sz w:val="28"/>
      <w:szCs w:val="28"/>
      <w:lang w:eastAsia="hr-HR" w:val="hr-HR"/>
    </w:rPr>
  </w:style>
  <w:style w:styleId="Naslov5" w:type="paragraph">
    <w:name w:val="heading 5"/>
    <w:basedOn w:val="Normal"/>
    <w:next w:val="Normal"/>
    <w:link w:val="Naslov5Char"/>
    <w:qFormat/>
    <w:rsid w:val="00F422BB"/>
    <w:pPr>
      <w:spacing w:after="60" w:before="240"/>
      <w:outlineLvl w:val="4"/>
    </w:pPr>
    <w:rPr>
      <w:rFonts w:eastAsia="Times New Roman"/>
      <w:b/>
      <w:bCs/>
      <w:i/>
      <w:iCs/>
      <w:sz w:val="26"/>
      <w:szCs w:val="26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Heading1Char" w:type="character">
    <w:name w:val="Heading 1 Char"/>
    <w:rsid w:val="00F422BB"/>
    <w:rPr>
      <w:rFonts w:ascii="Cambria" w:cs="Times New Roman" w:eastAsia="Times New Roman" w:hAnsi="Cambria"/>
      <w:b/>
      <w:bCs/>
      <w:color w:val="365F91"/>
      <w:sz w:val="28"/>
      <w:szCs w:val="28"/>
      <w:lang w:eastAsia="hr-HR"/>
    </w:rPr>
  </w:style>
  <w:style w:customStyle="1" w:styleId="Heading2Char" w:type="character">
    <w:name w:val="Heading 2 Char"/>
    <w:rsid w:val="00F422BB"/>
    <w:rPr>
      <w:rFonts w:ascii="Cambria" w:cs="Times New Roman" w:eastAsia="Times New Roman" w:hAnsi="Cambria"/>
      <w:b/>
      <w:bCs/>
      <w:color w:val="4F81BD"/>
      <w:sz w:val="26"/>
      <w:szCs w:val="26"/>
      <w:lang w:eastAsia="hr-HR"/>
    </w:rPr>
  </w:style>
  <w:style w:customStyle="1" w:styleId="Naslov3Char" w:type="character">
    <w:name w:val="Naslov 3 Char"/>
    <w:link w:val="Naslov3"/>
    <w:rsid w:val="0014086E"/>
    <w:rPr>
      <w:rFonts w:ascii="Times New Roman" w:eastAsia="Times New Roman" w:hAnsi="Times New Roman"/>
      <w:b/>
      <w:bCs/>
      <w:color w:val="548DD4"/>
      <w:sz w:val="24"/>
      <w:szCs w:val="24"/>
      <w:lang w:eastAsia="hr-HR" w:val="hr-HR"/>
    </w:rPr>
  </w:style>
  <w:style w:customStyle="1" w:styleId="Naslov5Char" w:type="character">
    <w:name w:val="Naslov 5 Char"/>
    <w:link w:val="Naslov5"/>
    <w:rsid w:val="00F422BB"/>
    <w:rPr>
      <w:rFonts w:ascii="Times New Roman" w:cs="Times New Roman" w:eastAsia="Times New Roman" w:hAnsi="Times New Roman"/>
      <w:b/>
      <w:bCs/>
      <w:i/>
      <w:iCs/>
      <w:sz w:val="26"/>
      <w:szCs w:val="26"/>
      <w:lang w:eastAsia="hr-HR"/>
    </w:rPr>
  </w:style>
  <w:style w:styleId="Reetkatablice" w:type="table">
    <w:name w:val="Table Grid"/>
    <w:basedOn w:val="Obinatablica"/>
    <w:rsid w:val="00F422BB"/>
    <w:rPr>
      <w:rFonts w:ascii="Times New Roman" w:eastAsia="Times New Roman" w:hAnsi="Times New Roman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uiPriority w:val="99"/>
    <w:rsid w:val="00F422BB"/>
    <w:pPr>
      <w:tabs>
        <w:tab w:pos="4536" w:val="center"/>
        <w:tab w:pos="9072" w:val="right"/>
      </w:tabs>
    </w:pPr>
    <w:rPr>
      <w:rFonts w:eastAsia="Times New Roman"/>
      <w:lang w:eastAsia="hr-HR" w:val="hr-HR"/>
    </w:rPr>
  </w:style>
  <w:style w:customStyle="1" w:styleId="PodnojeChar" w:type="character">
    <w:name w:val="Podnožje Char"/>
    <w:link w:val="Podnoje"/>
    <w:uiPriority w:val="99"/>
    <w:rsid w:val="00F422BB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422BB"/>
  </w:style>
  <w:style w:styleId="z-vrhobrasca" w:type="paragraph">
    <w:name w:val="HTML Top of Form"/>
    <w:basedOn w:val="Normal"/>
    <w:next w:val="Normal"/>
    <w:link w:val="z-vrhobrascaChar"/>
    <w:hidden/>
    <w:rsid w:val="00F422BB"/>
    <w:pPr>
      <w:pBdr>
        <w:bottom w:color="auto" w:space="1" w:sz="6" w:val="single"/>
      </w:pBdr>
      <w:jc w:val="center"/>
    </w:pPr>
    <w:rPr>
      <w:rFonts w:ascii="Arial" w:eastAsia="Times New Roman" w:hAnsi="Arial"/>
      <w:vanish/>
      <w:sz w:val="16"/>
      <w:szCs w:val="16"/>
      <w:lang w:eastAsia="hr-HR" w:val="hr-HR"/>
    </w:rPr>
  </w:style>
  <w:style w:customStyle="1" w:styleId="z-vrhobrascaChar" w:type="character">
    <w:name w:val="z-vrh obrasca Char"/>
    <w:link w:val="z-vrhobrasca"/>
    <w:rsid w:val="00F422BB"/>
    <w:rPr>
      <w:rFonts w:ascii="Arial" w:cs="Arial" w:eastAsia="Times New Roman" w:hAnsi="Arial"/>
      <w:vanish/>
      <w:sz w:val="16"/>
      <w:szCs w:val="16"/>
      <w:lang w:eastAsia="hr-HR"/>
    </w:rPr>
  </w:style>
  <w:style w:styleId="z-dnoobrasca" w:type="paragraph">
    <w:name w:val="HTML Bottom of Form"/>
    <w:basedOn w:val="Normal"/>
    <w:next w:val="Normal"/>
    <w:link w:val="z-dnoobrascaChar"/>
    <w:hidden/>
    <w:rsid w:val="00F422BB"/>
    <w:pPr>
      <w:pBdr>
        <w:top w:color="auto" w:space="1" w:sz="6" w:val="single"/>
      </w:pBdr>
      <w:jc w:val="center"/>
    </w:pPr>
    <w:rPr>
      <w:rFonts w:ascii="Arial" w:eastAsia="Times New Roman" w:hAnsi="Arial"/>
      <w:vanish/>
      <w:sz w:val="16"/>
      <w:szCs w:val="16"/>
      <w:lang w:eastAsia="hr-HR" w:val="hr-HR"/>
    </w:rPr>
  </w:style>
  <w:style w:customStyle="1" w:styleId="z-dnoobrascaChar" w:type="character">
    <w:name w:val="z-dno obrasca Char"/>
    <w:link w:val="z-dnoobrasca"/>
    <w:rsid w:val="00F422BB"/>
    <w:rPr>
      <w:rFonts w:ascii="Arial" w:cs="Arial" w:eastAsia="Times New Roman" w:hAnsi="Arial"/>
      <w:vanish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F422BB"/>
    <w:pPr>
      <w:tabs>
        <w:tab w:pos="4536" w:val="center"/>
        <w:tab w:pos="9072" w:val="right"/>
      </w:tabs>
    </w:pPr>
    <w:rPr>
      <w:rFonts w:eastAsia="Times New Roman"/>
      <w:lang w:eastAsia="hr-HR" w:val="hr-HR"/>
    </w:rPr>
  </w:style>
  <w:style w:customStyle="1" w:styleId="ZaglavljeChar" w:type="character">
    <w:name w:val="Zaglavlje Char"/>
    <w:link w:val="Zaglavlje"/>
    <w:uiPriority w:val="99"/>
    <w:rsid w:val="00F422BB"/>
    <w:rPr>
      <w:rFonts w:ascii="Times New Roman" w:cs="Times New Roman" w:eastAsia="Times New Roman" w:hAnsi="Times New Roman"/>
      <w:sz w:val="24"/>
      <w:szCs w:val="24"/>
      <w:lang w:eastAsia="hr-HR"/>
    </w:rPr>
  </w:style>
  <w:style w:styleId="Tekstfusnote" w:type="paragraph">
    <w:name w:val="footnote text"/>
    <w:basedOn w:val="Normal"/>
    <w:link w:val="TekstfusnoteChar"/>
    <w:semiHidden/>
    <w:rsid w:val="00F422BB"/>
    <w:rPr>
      <w:rFonts w:eastAsia="Times New Roman"/>
      <w:sz w:val="20"/>
      <w:szCs w:val="20"/>
      <w:lang w:eastAsia="hr-HR" w:val="hr-HR"/>
    </w:rPr>
  </w:style>
  <w:style w:customStyle="1" w:styleId="TekstfusnoteChar" w:type="character">
    <w:name w:val="Tekst fusnote Char"/>
    <w:link w:val="Tekstfusnote"/>
    <w:semiHidden/>
    <w:rsid w:val="00F422BB"/>
    <w:rPr>
      <w:rFonts w:ascii="Times New Roman" w:cs="Times New Roman" w:eastAsia="Times New Roman" w:hAnsi="Times New Roman"/>
      <w:sz w:val="20"/>
      <w:szCs w:val="20"/>
      <w:lang w:eastAsia="hr-HR"/>
    </w:rPr>
  </w:style>
  <w:style w:styleId="Referencafusnote" w:type="character">
    <w:name w:val="footnote reference"/>
    <w:semiHidden/>
    <w:rsid w:val="00F422BB"/>
    <w:rPr>
      <w:vertAlign w:val="superscript"/>
    </w:rPr>
  </w:style>
  <w:style w:styleId="Sadraj1" w:type="paragraph">
    <w:name w:val="toc 1"/>
    <w:basedOn w:val="Normal"/>
    <w:next w:val="Normal"/>
    <w:autoRedefine/>
    <w:uiPriority w:val="39"/>
    <w:rsid w:val="004C00BA"/>
    <w:pPr>
      <w:tabs>
        <w:tab w:pos="8914" w:val="right"/>
      </w:tabs>
      <w:spacing w:after="120" w:before="120"/>
      <w:jc w:val="both"/>
    </w:pPr>
    <w:rPr>
      <w:rFonts w:cs="Calibri" w:eastAsia="Times New Roman"/>
      <w:b/>
      <w:bCs/>
      <w:caps/>
      <w:sz w:val="28"/>
      <w:szCs w:val="28"/>
      <w:lang w:eastAsia="hr-HR" w:val="hr-HR"/>
    </w:rPr>
  </w:style>
  <w:style w:styleId="Sadraj2" w:type="paragraph">
    <w:name w:val="toc 2"/>
    <w:basedOn w:val="Normal"/>
    <w:next w:val="Normal"/>
    <w:autoRedefine/>
    <w:uiPriority w:val="39"/>
    <w:rsid w:val="00231183"/>
    <w:pPr>
      <w:tabs>
        <w:tab w:pos="960" w:val="left"/>
        <w:tab w:leader="dot" w:pos="8914" w:val="right"/>
      </w:tabs>
      <w:spacing w:line="480" w:lineRule="auto"/>
      <w:ind w:left="240"/>
    </w:pPr>
    <w:rPr>
      <w:rFonts w:ascii="Calibri" w:cs="Calibri" w:eastAsia="Times New Roman" w:hAnsi="Calibri"/>
      <w:smallCaps/>
      <w:sz w:val="20"/>
      <w:szCs w:val="20"/>
      <w:lang w:eastAsia="hr-HR" w:val="hr-HR"/>
    </w:rPr>
  </w:style>
  <w:style w:styleId="Sadraj3" w:type="paragraph">
    <w:name w:val="toc 3"/>
    <w:basedOn w:val="Normal"/>
    <w:next w:val="Normal"/>
    <w:autoRedefine/>
    <w:uiPriority w:val="39"/>
    <w:rsid w:val="00F422BB"/>
    <w:pPr>
      <w:ind w:left="480"/>
    </w:pPr>
    <w:rPr>
      <w:rFonts w:ascii="Calibri" w:cs="Calibri" w:eastAsia="Times New Roman" w:hAnsi="Calibri"/>
      <w:i/>
      <w:iCs/>
      <w:sz w:val="20"/>
      <w:szCs w:val="20"/>
      <w:lang w:eastAsia="hr-HR" w:val="hr-HR"/>
    </w:rPr>
  </w:style>
  <w:style w:styleId="Sadraj4" w:type="paragraph">
    <w:name w:val="toc 4"/>
    <w:basedOn w:val="Normal"/>
    <w:next w:val="Normal"/>
    <w:autoRedefine/>
    <w:semiHidden/>
    <w:rsid w:val="00F422BB"/>
    <w:pPr>
      <w:ind w:left="720"/>
    </w:pPr>
    <w:rPr>
      <w:rFonts w:ascii="Calibri" w:cs="Calibri" w:hAnsi="Calibri"/>
      <w:sz w:val="18"/>
      <w:szCs w:val="18"/>
      <w:lang w:eastAsia="en-US" w:val="en-US"/>
    </w:rPr>
  </w:style>
  <w:style w:styleId="Sadraj5" w:type="paragraph">
    <w:name w:val="toc 5"/>
    <w:basedOn w:val="Normal"/>
    <w:next w:val="Normal"/>
    <w:autoRedefine/>
    <w:semiHidden/>
    <w:rsid w:val="00F422BB"/>
    <w:pPr>
      <w:ind w:left="960"/>
    </w:pPr>
    <w:rPr>
      <w:rFonts w:ascii="Calibri" w:cs="Calibri" w:hAnsi="Calibri"/>
      <w:sz w:val="18"/>
      <w:szCs w:val="18"/>
      <w:lang w:eastAsia="en-US" w:val="en-US"/>
    </w:rPr>
  </w:style>
  <w:style w:styleId="Sadraj6" w:type="paragraph">
    <w:name w:val="toc 6"/>
    <w:basedOn w:val="Normal"/>
    <w:next w:val="Normal"/>
    <w:autoRedefine/>
    <w:semiHidden/>
    <w:rsid w:val="00F422BB"/>
    <w:pPr>
      <w:ind w:left="1200"/>
    </w:pPr>
    <w:rPr>
      <w:rFonts w:ascii="Calibri" w:cs="Calibri" w:hAnsi="Calibri"/>
      <w:sz w:val="18"/>
      <w:szCs w:val="18"/>
      <w:lang w:eastAsia="en-US" w:val="en-US"/>
    </w:rPr>
  </w:style>
  <w:style w:styleId="Sadraj7" w:type="paragraph">
    <w:name w:val="toc 7"/>
    <w:basedOn w:val="Normal"/>
    <w:next w:val="Normal"/>
    <w:autoRedefine/>
    <w:semiHidden/>
    <w:rsid w:val="00F422BB"/>
    <w:pPr>
      <w:ind w:left="1440"/>
    </w:pPr>
    <w:rPr>
      <w:rFonts w:ascii="Calibri" w:cs="Calibri" w:hAnsi="Calibri"/>
      <w:sz w:val="18"/>
      <w:szCs w:val="18"/>
      <w:lang w:eastAsia="en-US" w:val="en-US"/>
    </w:rPr>
  </w:style>
  <w:style w:styleId="Sadraj8" w:type="paragraph">
    <w:name w:val="toc 8"/>
    <w:basedOn w:val="Normal"/>
    <w:next w:val="Normal"/>
    <w:autoRedefine/>
    <w:semiHidden/>
    <w:rsid w:val="00F422BB"/>
    <w:pPr>
      <w:ind w:left="1680"/>
    </w:pPr>
    <w:rPr>
      <w:rFonts w:ascii="Calibri" w:cs="Calibri" w:hAnsi="Calibri"/>
      <w:sz w:val="18"/>
      <w:szCs w:val="18"/>
      <w:lang w:eastAsia="en-US" w:val="en-US"/>
    </w:rPr>
  </w:style>
  <w:style w:styleId="Sadraj9" w:type="paragraph">
    <w:name w:val="toc 9"/>
    <w:basedOn w:val="Normal"/>
    <w:next w:val="Normal"/>
    <w:autoRedefine/>
    <w:semiHidden/>
    <w:rsid w:val="00F422BB"/>
    <w:pPr>
      <w:ind w:left="1920"/>
    </w:pPr>
    <w:rPr>
      <w:rFonts w:ascii="Calibri" w:cs="Calibri" w:hAnsi="Calibri"/>
      <w:sz w:val="18"/>
      <w:szCs w:val="18"/>
      <w:lang w:eastAsia="en-US" w:val="en-US"/>
    </w:rPr>
  </w:style>
  <w:style w:styleId="Hiperveza" w:type="character">
    <w:name w:val="Hyperlink"/>
    <w:uiPriority w:val="99"/>
    <w:rsid w:val="00F422BB"/>
    <w:rPr>
      <w:color w:val="0000FF"/>
      <w:u w:val="single"/>
    </w:rPr>
  </w:style>
  <w:style w:customStyle="1" w:styleId="kontakt" w:type="paragraph">
    <w:name w:val="kontakt"/>
    <w:basedOn w:val="Normal"/>
    <w:rsid w:val="00F422BB"/>
    <w:pPr>
      <w:spacing w:after="100" w:afterAutospacing="1" w:before="100" w:beforeAutospacing="1"/>
    </w:pPr>
    <w:rPr>
      <w:rFonts w:eastAsia="Times New Roman"/>
      <w:lang w:eastAsia="hr-HR" w:val="hr-HR"/>
    </w:rPr>
  </w:style>
  <w:style w:styleId="StandardWeb" w:type="paragraph">
    <w:name w:val="Normal (Web)"/>
    <w:basedOn w:val="Normal"/>
    <w:uiPriority w:val="99"/>
    <w:rsid w:val="00F422BB"/>
    <w:pPr>
      <w:spacing w:after="100" w:afterAutospacing="1" w:before="100" w:beforeAutospacing="1"/>
    </w:pPr>
    <w:rPr>
      <w:rFonts w:eastAsia="Times New Roman"/>
      <w:lang w:eastAsia="hr-HR" w:val="hr-HR"/>
    </w:rPr>
  </w:style>
  <w:style w:styleId="Reetkatablice4" w:type="table">
    <w:name w:val="Table Grid 4"/>
    <w:basedOn w:val="Obinatablica"/>
    <w:rsid w:val="00F422BB"/>
    <w:rPr>
      <w:rFonts w:ascii="Times New Roman" w:eastAsia="Times New Roman" w:hAnsi="Times New Roman"/>
      <w:lang w:eastAsia="hr-HR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customStyle="1" w:styleId="tabletextfield" w:type="character">
    <w:name w:val="table_text_field"/>
    <w:basedOn w:val="Zadanifontodlomka"/>
    <w:rsid w:val="00F422BB"/>
  </w:style>
  <w:style w:customStyle="1" w:styleId="tabletitle2" w:type="character">
    <w:name w:val="table_title2"/>
    <w:basedOn w:val="Zadanifontodlomka"/>
    <w:rsid w:val="00F422BB"/>
  </w:style>
  <w:style w:styleId="Naglaeno" w:type="character">
    <w:name w:val="Strong"/>
    <w:uiPriority w:val="22"/>
    <w:qFormat/>
    <w:rsid w:val="00F422BB"/>
    <w:rPr>
      <w:b/>
      <w:bCs/>
    </w:rPr>
  </w:style>
  <w:style w:customStyle="1" w:styleId="mw-headline" w:type="character">
    <w:name w:val="mw-headline"/>
    <w:basedOn w:val="Zadanifontodlomka"/>
    <w:rsid w:val="00F422BB"/>
  </w:style>
  <w:style w:customStyle="1" w:styleId="editsectionmoved" w:type="character">
    <w:name w:val="editsectionmoved"/>
    <w:basedOn w:val="Zadanifontodlomka"/>
    <w:rsid w:val="00F422BB"/>
  </w:style>
  <w:style w:customStyle="1" w:styleId="contenttext" w:type="paragraph">
    <w:name w:val="contenttext"/>
    <w:basedOn w:val="Normal"/>
    <w:rsid w:val="00F422BB"/>
    <w:pPr>
      <w:spacing w:after="100" w:afterAutospacing="1" w:before="100" w:beforeAutospacing="1"/>
      <w:jc w:val="both"/>
    </w:pPr>
    <w:rPr>
      <w:rFonts w:ascii="Arial" w:cs="Arial" w:eastAsia="Times New Roman" w:hAnsi="Arial"/>
      <w:color w:val="666666"/>
      <w:sz w:val="15"/>
      <w:szCs w:val="15"/>
      <w:lang w:eastAsia="hr-HR" w:val="hr-HR"/>
    </w:rPr>
  </w:style>
  <w:style w:customStyle="1" w:styleId="datum" w:type="paragraph">
    <w:name w:val="datum"/>
    <w:basedOn w:val="Normal"/>
    <w:rsid w:val="00F422BB"/>
    <w:pPr>
      <w:spacing w:after="100" w:afterAutospacing="1" w:before="100" w:beforeAutospacing="1"/>
    </w:pPr>
    <w:rPr>
      <w:rFonts w:ascii="Arial" w:cs="Arial" w:eastAsia="Times New Roman" w:hAnsi="Arial"/>
      <w:color w:val="800000"/>
      <w:sz w:val="20"/>
      <w:szCs w:val="20"/>
      <w:lang w:eastAsia="hr-HR" w:val="hr-HR"/>
    </w:rPr>
  </w:style>
  <w:style w:styleId="Opisslike" w:type="paragraph">
    <w:name w:val="caption"/>
    <w:basedOn w:val="Normal"/>
    <w:next w:val="Normal"/>
    <w:qFormat/>
    <w:rsid w:val="00CA2058"/>
    <w:pPr>
      <w:spacing w:line="360" w:lineRule="auto"/>
    </w:pPr>
    <w:rPr>
      <w:rFonts w:eastAsia="Times New Roman"/>
      <w:lang w:eastAsia="de-DE"/>
    </w:rPr>
  </w:style>
  <w:style w:customStyle="1" w:styleId="Naslov2Char" w:type="character">
    <w:name w:val="Naslov 2 Char"/>
    <w:link w:val="Naslov2"/>
    <w:rsid w:val="000B0721"/>
    <w:rPr>
      <w:rFonts w:ascii="Times New Roman" w:eastAsia="Times New Roman" w:hAnsi="Times New Roman"/>
      <w:b/>
      <w:bCs/>
      <w:iCs/>
      <w:color w:themeColor="accent1" w:val="4F81BD"/>
      <w:sz w:val="24"/>
      <w:szCs w:val="24"/>
      <w:lang w:eastAsia="hr-HR" w:val="hr-HR"/>
    </w:rPr>
  </w:style>
  <w:style w:customStyle="1" w:styleId="Naslov1Char" w:type="character">
    <w:name w:val="Naslov 1 Char"/>
    <w:link w:val="Naslov1"/>
    <w:rsid w:val="009B53F6"/>
    <w:rPr>
      <w:rFonts w:ascii="Times New Roman" w:hAnsi="Times New Roman"/>
      <w:b/>
      <w:color w:themeColor="accent1" w:val="4F81BD"/>
      <w:sz w:val="24"/>
      <w:szCs w:val="24"/>
    </w:rPr>
  </w:style>
  <w:style w:customStyle="1" w:styleId="imgdescription" w:type="character">
    <w:name w:val="imgdescription"/>
    <w:basedOn w:val="Zadanifontodlomka"/>
    <w:rsid w:val="00F422BB"/>
  </w:style>
  <w:style w:customStyle="1" w:styleId="c5" w:type="paragraph">
    <w:name w:val="c5"/>
    <w:basedOn w:val="Normal"/>
    <w:rsid w:val="00F422BB"/>
    <w:pPr>
      <w:spacing w:after="270" w:before="100" w:beforeAutospacing="1" w:line="330" w:lineRule="atLeast"/>
      <w:jc w:val="both"/>
    </w:pPr>
    <w:rPr>
      <w:rFonts w:ascii="Georgia" w:eastAsia="Times New Roman" w:hAnsi="Georgia"/>
      <w:color w:val="000000"/>
      <w:sz w:val="21"/>
      <w:szCs w:val="21"/>
      <w:lang w:eastAsia="hr-HR" w:val="hr-HR"/>
    </w:rPr>
  </w:style>
  <w:style w:customStyle="1" w:styleId="ap1" w:type="paragraph">
    <w:name w:val="ap1"/>
    <w:basedOn w:val="Normal"/>
    <w:rsid w:val="00F422BB"/>
    <w:pPr>
      <w:spacing w:line="217" w:lineRule="atLeast"/>
      <w:ind w:left="149" w:right="149"/>
    </w:pPr>
    <w:rPr>
      <w:rFonts w:eastAsia="Times New Roman"/>
      <w:color w:val="1D1C1C"/>
      <w:lang w:eastAsia="hr-HR" w:val="hr-HR"/>
    </w:rPr>
  </w:style>
  <w:style w:customStyle="1" w:styleId="itemhead" w:type="paragraph">
    <w:name w:val="itemhead"/>
    <w:basedOn w:val="Normal"/>
    <w:rsid w:val="00F422BB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SubtleEmphasis2" w:type="paragraph">
    <w:name w:val="Subtle Emphasis2"/>
    <w:basedOn w:val="Normal"/>
    <w:uiPriority w:val="34"/>
    <w:qFormat/>
    <w:rsid w:val="006B1823"/>
    <w:pPr>
      <w:ind w:left="720"/>
      <w:contextualSpacing/>
    </w:pPr>
    <w:rPr>
      <w:rFonts w:eastAsia="Times New Roman"/>
      <w:lang w:eastAsia="hr-HR" w:val="hr-HR"/>
    </w:rPr>
  </w:style>
  <w:style w:customStyle="1" w:styleId="c11" w:type="paragraph">
    <w:name w:val="c11"/>
    <w:basedOn w:val="Normal"/>
    <w:rsid w:val="0000105A"/>
    <w:pPr>
      <w:spacing w:after="255" w:before="100" w:beforeAutospacing="1"/>
    </w:pPr>
    <w:rPr>
      <w:rFonts w:ascii="Georgia" w:eastAsia="Times New Roman" w:hAnsi="Georgia"/>
      <w:b/>
      <w:bCs/>
      <w:i/>
      <w:iCs/>
      <w:color w:val="484848"/>
      <w:sz w:val="23"/>
      <w:szCs w:val="23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6012"/>
    <w:rPr>
      <w:rFonts w:ascii="Tahoma" w:hAnsi="Tahoma"/>
      <w:sz w:val="16"/>
      <w:szCs w:val="16"/>
      <w:lang w:eastAsia="en-US" w:val="en-US"/>
    </w:rPr>
  </w:style>
  <w:style w:customStyle="1" w:styleId="TekstbaloniaChar" w:type="character">
    <w:name w:val="Tekst balončića Char"/>
    <w:link w:val="Tekstbalonia"/>
    <w:uiPriority w:val="99"/>
    <w:semiHidden/>
    <w:rsid w:val="00266012"/>
    <w:rPr>
      <w:rFonts w:ascii="Tahoma" w:cs="Tahoma" w:eastAsia="Times New Roman" w:hAnsi="Tahoma"/>
      <w:sz w:val="16"/>
      <w:szCs w:val="16"/>
      <w:lang w:eastAsia="hr-HR"/>
    </w:rPr>
  </w:style>
  <w:style w:styleId="Istaknuto" w:type="character">
    <w:name w:val="Emphasis"/>
    <w:uiPriority w:val="20"/>
    <w:qFormat/>
    <w:rsid w:val="00DA6BEE"/>
    <w:rPr>
      <w:i/>
      <w:iCs/>
    </w:rPr>
  </w:style>
  <w:style w:customStyle="1" w:styleId="textcisti" w:type="paragraph">
    <w:name w:val="textcisti"/>
    <w:basedOn w:val="Normal"/>
    <w:rsid w:val="00504FC9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NoList1" w:type="numbering">
    <w:name w:val="No List1"/>
    <w:next w:val="Bezpopisa"/>
    <w:uiPriority w:val="99"/>
    <w:semiHidden/>
    <w:unhideWhenUsed/>
    <w:rsid w:val="00AE5950"/>
  </w:style>
  <w:style w:customStyle="1" w:styleId="apple-converted-space" w:type="character">
    <w:name w:val="apple-converted-space"/>
    <w:rsid w:val="00AE5950"/>
  </w:style>
  <w:style w:styleId="Tijeloteksta" w:type="paragraph">
    <w:name w:val="Body Text"/>
    <w:basedOn w:val="Normal"/>
    <w:link w:val="TijelotekstaChar"/>
    <w:rsid w:val="00AE5950"/>
    <w:pPr>
      <w:jc w:val="both"/>
    </w:pPr>
    <w:rPr>
      <w:rFonts w:ascii="Arial" w:eastAsia="Times New Roman" w:hAnsi="Arial"/>
      <w:snapToGrid w:val="0"/>
      <w:sz w:val="20"/>
      <w:szCs w:val="20"/>
      <w:lang w:eastAsia="en-US" w:val="fr-FR"/>
    </w:rPr>
  </w:style>
  <w:style w:customStyle="1" w:styleId="TijelotekstaChar" w:type="character">
    <w:name w:val="Tijelo teksta Char"/>
    <w:link w:val="Tijeloteksta"/>
    <w:rsid w:val="00AE5950"/>
    <w:rPr>
      <w:rFonts w:ascii="Arial" w:eastAsia="Times New Roman" w:hAnsi="Arial"/>
      <w:snapToGrid w:val="0"/>
      <w:lang w:eastAsia="en-US" w:val="fr-FR"/>
    </w:rPr>
  </w:style>
  <w:style w:customStyle="1" w:styleId="TableGrid1" w:type="table">
    <w:name w:val="Table Grid1"/>
    <w:basedOn w:val="Obinatablica"/>
    <w:next w:val="Reetkatablice"/>
    <w:uiPriority w:val="59"/>
    <w:rsid w:val="00AE595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apple-style-span" w:type="character">
    <w:name w:val="apple-style-span"/>
    <w:rsid w:val="00AE5950"/>
  </w:style>
  <w:style w:customStyle="1" w:styleId="text" w:type="paragraph">
    <w:name w:val="text"/>
    <w:rsid w:val="00AE5950"/>
    <w:pPr>
      <w:widowControl w:val="0"/>
      <w:spacing w:before="240" w:line="240" w:lineRule="exact"/>
      <w:jc w:val="both"/>
    </w:pPr>
    <w:rPr>
      <w:rFonts w:ascii="Arial" w:eastAsia="Times New Roman" w:hAnsi="Arial"/>
      <w:snapToGrid w:val="0"/>
      <w:sz w:val="24"/>
      <w:lang w:val="cs-CZ"/>
    </w:rPr>
  </w:style>
  <w:style w:customStyle="1" w:styleId="textcslovan" w:type="paragraph">
    <w:name w:val="text císlovaný"/>
    <w:basedOn w:val="text"/>
    <w:rsid w:val="00AE5950"/>
    <w:pPr>
      <w:ind w:hanging="567" w:left="567"/>
    </w:pPr>
  </w:style>
  <w:style w:customStyle="1" w:styleId="noparagraphstyle" w:type="paragraph">
    <w:name w:val="noparagraphstyle"/>
    <w:basedOn w:val="Normal"/>
    <w:rsid w:val="00AE5950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clanak" w:type="paragraph">
    <w:name w:val="clanak"/>
    <w:basedOn w:val="Normal"/>
    <w:rsid w:val="00AE5950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c41" w:type="paragraph">
    <w:name w:val="c41"/>
    <w:basedOn w:val="Normal"/>
    <w:rsid w:val="00C27A22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xclaimempty" w:type="character">
    <w:name w:val="xclaimempty"/>
    <w:rsid w:val="00C27A22"/>
  </w:style>
  <w:style w:customStyle="1" w:styleId="xclaimstyle" w:type="character">
    <w:name w:val="xclaimstyle"/>
    <w:rsid w:val="00C27A22"/>
  </w:style>
  <w:style w:customStyle="1" w:styleId="SubtleEmphasis1" w:type="paragraph">
    <w:name w:val="Subtle Emphasis1"/>
    <w:basedOn w:val="Normal"/>
    <w:uiPriority w:val="34"/>
    <w:qFormat/>
    <w:rsid w:val="00D92B02"/>
    <w:pPr>
      <w:ind w:left="708"/>
    </w:pPr>
    <w:rPr>
      <w:rFonts w:eastAsia="Times New Roman"/>
      <w:lang w:eastAsia="hr-HR" w:val="hr-HR"/>
    </w:rPr>
  </w:style>
  <w:style w:customStyle="1" w:styleId="Naslov4Char" w:type="character">
    <w:name w:val="Naslov 4 Char"/>
    <w:link w:val="Naslov4"/>
    <w:uiPriority w:val="9"/>
    <w:rsid w:val="00996714"/>
    <w:rPr>
      <w:rFonts w:ascii="Cambria" w:cs="Times New Roman" w:eastAsia="MS Mincho" w:hAnsi="Cambria"/>
      <w:b/>
      <w:bCs/>
      <w:sz w:val="28"/>
      <w:szCs w:val="28"/>
      <w:lang w:eastAsia="hr-HR" w:val="hr-HR"/>
    </w:rPr>
  </w:style>
  <w:style w:customStyle="1" w:styleId="MediumShading11" w:type="paragraph">
    <w:name w:val="Medium Shading 11"/>
    <w:basedOn w:val="Normal"/>
    <w:uiPriority w:val="63"/>
    <w:rsid w:val="00996714"/>
    <w:pPr>
      <w:keepNext/>
      <w:numPr>
        <w:ilvl w:val="5"/>
        <w:numId w:val="1"/>
      </w:numPr>
      <w:contextualSpacing/>
      <w:outlineLvl w:val="5"/>
    </w:pPr>
    <w:rPr>
      <w:rFonts w:ascii="Verdana" w:eastAsia="MS Gothic" w:hAnsi="Verdana"/>
      <w:lang w:eastAsia="hr-HR" w:val="hr-HR"/>
    </w:rPr>
  </w:style>
  <w:style w:styleId="Popis" w:type="paragraph">
    <w:name w:val="List"/>
    <w:basedOn w:val="Normal"/>
    <w:uiPriority w:val="99"/>
    <w:unhideWhenUsed/>
    <w:rsid w:val="00996714"/>
    <w:pPr>
      <w:ind w:hanging="283" w:left="283"/>
      <w:contextualSpacing/>
    </w:pPr>
    <w:rPr>
      <w:rFonts w:eastAsia="Times New Roman"/>
      <w:lang w:eastAsia="hr-HR" w:val="hr-HR"/>
    </w:rPr>
  </w:style>
  <w:style w:styleId="Popis2" w:type="paragraph">
    <w:name w:val="List 2"/>
    <w:basedOn w:val="Normal"/>
    <w:uiPriority w:val="99"/>
    <w:unhideWhenUsed/>
    <w:rsid w:val="00996714"/>
    <w:pPr>
      <w:ind w:hanging="283" w:left="566"/>
      <w:contextualSpacing/>
    </w:pPr>
    <w:rPr>
      <w:rFonts w:eastAsia="Times New Roman"/>
      <w:lang w:eastAsia="hr-HR" w:val="hr-HR"/>
    </w:rPr>
  </w:style>
  <w:style w:styleId="Popis3" w:type="paragraph">
    <w:name w:val="List 3"/>
    <w:basedOn w:val="Normal"/>
    <w:uiPriority w:val="99"/>
    <w:unhideWhenUsed/>
    <w:rsid w:val="00996714"/>
    <w:pPr>
      <w:ind w:hanging="283" w:left="849"/>
      <w:contextualSpacing/>
    </w:pPr>
    <w:rPr>
      <w:rFonts w:eastAsia="Times New Roman"/>
      <w:lang w:eastAsia="hr-HR" w:val="hr-HR"/>
    </w:rPr>
  </w:style>
  <w:style w:styleId="Popis4" w:type="paragraph">
    <w:name w:val="List 4"/>
    <w:basedOn w:val="Normal"/>
    <w:uiPriority w:val="99"/>
    <w:unhideWhenUsed/>
    <w:rsid w:val="00996714"/>
    <w:pPr>
      <w:ind w:hanging="283" w:left="1132"/>
      <w:contextualSpacing/>
    </w:pPr>
    <w:rPr>
      <w:rFonts w:eastAsia="Times New Roman"/>
      <w:lang w:eastAsia="hr-HR" w:val="hr-HR"/>
    </w:rPr>
  </w:style>
  <w:style w:styleId="Popis5" w:type="paragraph">
    <w:name w:val="List 5"/>
    <w:basedOn w:val="Normal"/>
    <w:uiPriority w:val="99"/>
    <w:unhideWhenUsed/>
    <w:rsid w:val="00996714"/>
    <w:pPr>
      <w:ind w:hanging="283" w:left="1415"/>
      <w:contextualSpacing/>
    </w:pPr>
    <w:rPr>
      <w:rFonts w:eastAsia="Times New Roman"/>
      <w:lang w:eastAsia="hr-HR" w:val="hr-HR"/>
    </w:rPr>
  </w:style>
  <w:style w:styleId="Grafikeoznake2" w:type="paragraph">
    <w:name w:val="List Bullet 2"/>
    <w:basedOn w:val="Normal"/>
    <w:uiPriority w:val="99"/>
    <w:unhideWhenUsed/>
    <w:rsid w:val="00996714"/>
    <w:pPr>
      <w:numPr>
        <w:numId w:val="4"/>
      </w:numPr>
      <w:contextualSpacing/>
    </w:pPr>
    <w:rPr>
      <w:rFonts w:eastAsia="Times New Roman"/>
      <w:lang w:eastAsia="hr-HR" w:val="hr-HR"/>
    </w:rPr>
  </w:style>
  <w:style w:styleId="Grafikeoznake5" w:type="paragraph">
    <w:name w:val="List Bullet 5"/>
    <w:basedOn w:val="Normal"/>
    <w:uiPriority w:val="99"/>
    <w:unhideWhenUsed/>
    <w:rsid w:val="00996714"/>
    <w:pPr>
      <w:numPr>
        <w:numId w:val="5"/>
      </w:numPr>
      <w:contextualSpacing/>
    </w:pPr>
    <w:rPr>
      <w:rFonts w:eastAsia="Times New Roman"/>
      <w:lang w:eastAsia="hr-HR" w:val="hr-HR"/>
    </w:rPr>
  </w:style>
  <w:style w:styleId="Nastavakpopisa" w:type="paragraph">
    <w:name w:val="List Continue"/>
    <w:basedOn w:val="Normal"/>
    <w:uiPriority w:val="99"/>
    <w:unhideWhenUsed/>
    <w:rsid w:val="00996714"/>
    <w:pPr>
      <w:spacing w:after="120"/>
      <w:ind w:left="283"/>
      <w:contextualSpacing/>
    </w:pPr>
    <w:rPr>
      <w:rFonts w:eastAsia="Times New Roman"/>
      <w:lang w:eastAsia="hr-HR" w:val="hr-HR"/>
    </w:rPr>
  </w:style>
  <w:style w:styleId="Nastavakpopisa5" w:type="paragraph">
    <w:name w:val="List Continue 5"/>
    <w:basedOn w:val="Normal"/>
    <w:uiPriority w:val="99"/>
    <w:unhideWhenUsed/>
    <w:rsid w:val="00996714"/>
    <w:pPr>
      <w:spacing w:after="120"/>
      <w:ind w:left="1415"/>
      <w:contextualSpacing/>
    </w:pPr>
    <w:rPr>
      <w:rFonts w:eastAsia="Times New Roman"/>
      <w:lang w:eastAsia="hr-HR"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unhideWhenUsed/>
    <w:rsid w:val="00996714"/>
    <w:pPr>
      <w:spacing w:after="120"/>
      <w:ind w:firstLine="210"/>
      <w:jc w:val="left"/>
    </w:pPr>
    <w:rPr>
      <w:rFonts w:ascii="Times New Roman" w:hAnsi="Times New Roman"/>
      <w:snapToGrid/>
      <w:sz w:val="24"/>
      <w:szCs w:val="24"/>
      <w:lang w:eastAsia="hr-HR" w:val="hr-HR"/>
    </w:rPr>
  </w:style>
  <w:style w:customStyle="1" w:styleId="Tijeloteksta-prvauvlakaChar" w:type="character">
    <w:name w:val="Tijelo teksta - prva uvlaka Char"/>
    <w:link w:val="Tijeloteksta-prvauvlaka"/>
    <w:uiPriority w:val="99"/>
    <w:rsid w:val="00996714"/>
    <w:rPr>
      <w:rFonts w:ascii="Times New Roman" w:eastAsia="Times New Roman" w:hAnsi="Times New Roman"/>
      <w:snapToGrid/>
      <w:sz w:val="24"/>
      <w:szCs w:val="24"/>
      <w:lang w:eastAsia="hr-HR"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996714"/>
    <w:pPr>
      <w:spacing w:after="120"/>
      <w:ind w:left="283"/>
    </w:pPr>
    <w:rPr>
      <w:rFonts w:eastAsia="Times New Roman"/>
      <w:lang w:eastAsia="hr-HR" w:val="hr-HR"/>
    </w:rPr>
  </w:style>
  <w:style w:customStyle="1" w:styleId="UvuenotijelotekstaChar" w:type="character">
    <w:name w:val="Uvučeno tijelo teksta Char"/>
    <w:link w:val="Uvuenotijeloteksta"/>
    <w:uiPriority w:val="99"/>
    <w:semiHidden/>
    <w:rsid w:val="00996714"/>
    <w:rPr>
      <w:rFonts w:ascii="Times New Roman" w:eastAsia="Times New Roman" w:hAnsi="Times New Roman"/>
      <w:sz w:val="24"/>
      <w:szCs w:val="24"/>
      <w:lang w:eastAsia="hr-HR"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unhideWhenUsed/>
    <w:rsid w:val="00996714"/>
    <w:pPr>
      <w:ind w:firstLine="210"/>
    </w:pPr>
  </w:style>
  <w:style w:customStyle="1" w:styleId="Tijeloteksta-prvauvlaka2Char" w:type="character">
    <w:name w:val="Tijelo teksta - prva uvlaka 2 Char"/>
    <w:link w:val="Tijeloteksta-prvauvlaka2"/>
    <w:uiPriority w:val="99"/>
    <w:rsid w:val="00996714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MediumGrid21" w:type="paragraph">
    <w:name w:val="Medium Grid 21"/>
    <w:uiPriority w:val="1"/>
    <w:qFormat/>
    <w:rsid w:val="008E604D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DarkList-Accent51" w:type="paragraph">
    <w:name w:val="Dark List - Accent 51"/>
    <w:basedOn w:val="Normal"/>
    <w:uiPriority w:val="34"/>
    <w:qFormat/>
    <w:rsid w:val="00777D99"/>
    <w:pPr>
      <w:ind w:left="708"/>
    </w:pPr>
    <w:rPr>
      <w:rFonts w:eastAsia="Times New Roman"/>
      <w:lang w:eastAsia="hr-HR" w:val="hr-HR"/>
    </w:rPr>
  </w:style>
  <w:style w:customStyle="1" w:styleId="Textbody" w:type="paragraph">
    <w:name w:val="Text body"/>
    <w:basedOn w:val="Normal"/>
    <w:rsid w:val="0073016C"/>
    <w:pPr>
      <w:widowControl w:val="0"/>
      <w:suppressAutoHyphens/>
      <w:autoSpaceDN w:val="0"/>
      <w:spacing w:after="120"/>
      <w:textAlignment w:val="baseline"/>
    </w:pPr>
    <w:rPr>
      <w:rFonts w:cs="Mangal" w:eastAsia="Lucida Sans Unicode"/>
      <w:kern w:val="3"/>
      <w:lang w:bidi="hi-IN" w:eastAsia="zh-CN" w:val="hr-HR"/>
    </w:rPr>
  </w:style>
  <w:style w:styleId="SlijeenaHiperveza" w:type="character">
    <w:name w:val="FollowedHyperlink"/>
    <w:uiPriority w:val="99"/>
    <w:semiHidden/>
    <w:unhideWhenUsed/>
    <w:rsid w:val="000F650F"/>
    <w:rPr>
      <w:color w:val="800080"/>
      <w:u w:val="single"/>
    </w:rPr>
  </w:style>
  <w:style w:customStyle="1" w:styleId="xl63" w:type="paragraph">
    <w:name w:val="xl63"/>
    <w:basedOn w:val="Normal"/>
    <w:rsid w:val="000F650F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" w:hAnsi="Times"/>
      <w:sz w:val="20"/>
      <w:szCs w:val="20"/>
      <w:lang w:eastAsia="en-US" w:val="en-US"/>
    </w:rPr>
  </w:style>
  <w:style w:customStyle="1" w:styleId="xl64" w:type="paragraph">
    <w:name w:val="xl64"/>
    <w:basedOn w:val="Normal"/>
    <w:rsid w:val="000F650F"/>
    <w:pPr>
      <w:shd w:color="000000" w:fill="C0C0C0" w:val="clear"/>
      <w:spacing w:after="100" w:afterAutospacing="1" w:before="100" w:beforeAutospacing="1"/>
    </w:pPr>
    <w:rPr>
      <w:rFonts w:ascii="Times" w:hAnsi="Times"/>
      <w:sz w:val="20"/>
      <w:szCs w:val="20"/>
      <w:lang w:eastAsia="en-US" w:val="en-US"/>
    </w:rPr>
  </w:style>
  <w:style w:customStyle="1" w:styleId="xl65" w:type="paragraph">
    <w:name w:val="xl65"/>
    <w:basedOn w:val="Normal"/>
    <w:rsid w:val="000F650F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" w:hAnsi="Times"/>
      <w:sz w:val="20"/>
      <w:szCs w:val="20"/>
      <w:lang w:eastAsia="en-US" w:val="en-US"/>
    </w:rPr>
  </w:style>
  <w:style w:customStyle="1" w:styleId="xl66" w:type="paragraph">
    <w:name w:val="xl66"/>
    <w:basedOn w:val="Normal"/>
    <w:rsid w:val="000F650F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" w:hAnsi="Times"/>
      <w:sz w:val="20"/>
      <w:szCs w:val="20"/>
      <w:lang w:eastAsia="en-US" w:val="en-US"/>
    </w:rPr>
  </w:style>
  <w:style w:customStyle="1" w:styleId="xl67" w:type="paragraph">
    <w:name w:val="xl67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center"/>
      <w:textAlignment w:val="center"/>
    </w:pPr>
    <w:rPr>
      <w:rFonts w:ascii="Times" w:hAnsi="Times"/>
      <w:b/>
      <w:bCs/>
      <w:color w:val="000000"/>
      <w:sz w:val="20"/>
      <w:szCs w:val="20"/>
      <w:lang w:eastAsia="en-US" w:val="en-US"/>
    </w:rPr>
  </w:style>
  <w:style w:customStyle="1" w:styleId="xl68" w:type="paragraph">
    <w:name w:val="xl68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center"/>
      <w:textAlignment w:val="center"/>
    </w:pPr>
    <w:rPr>
      <w:rFonts w:ascii="Times" w:hAnsi="Times"/>
      <w:b/>
      <w:bCs/>
      <w:color w:val="000000"/>
      <w:sz w:val="20"/>
      <w:szCs w:val="20"/>
      <w:lang w:eastAsia="en-US" w:val="en-US"/>
    </w:rPr>
  </w:style>
  <w:style w:customStyle="1" w:styleId="xl69" w:type="paragraph">
    <w:name w:val="xl69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right"/>
      <w:textAlignment w:val="center"/>
    </w:pPr>
    <w:rPr>
      <w:rFonts w:ascii="Times" w:hAnsi="Times"/>
      <w:b/>
      <w:bCs/>
      <w:color w:val="000000"/>
      <w:sz w:val="20"/>
      <w:szCs w:val="20"/>
      <w:lang w:eastAsia="en-US" w:val="en-US"/>
    </w:rPr>
  </w:style>
  <w:style w:customStyle="1" w:styleId="xl70" w:type="paragraph">
    <w:name w:val="xl70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center"/>
      <w:textAlignment w:val="center"/>
    </w:pPr>
    <w:rPr>
      <w:rFonts w:ascii="Times" w:hAnsi="Times"/>
      <w:b/>
      <w:bCs/>
      <w:color w:val="000000"/>
      <w:sz w:val="20"/>
      <w:szCs w:val="20"/>
      <w:lang w:eastAsia="en-US" w:val="en-US"/>
    </w:rPr>
  </w:style>
  <w:style w:customStyle="1" w:styleId="xl71" w:type="paragraph">
    <w:name w:val="xl71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imes" w:hAnsi="Times"/>
      <w:sz w:val="20"/>
      <w:szCs w:val="20"/>
      <w:lang w:eastAsia="en-US" w:val="en-US"/>
    </w:rPr>
  </w:style>
  <w:style w:customStyle="1" w:styleId="xl72" w:type="paragraph">
    <w:name w:val="xl72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imes" w:hAnsi="Times"/>
      <w:sz w:val="20"/>
      <w:szCs w:val="20"/>
      <w:lang w:eastAsia="en-US" w:val="en-US"/>
    </w:rPr>
  </w:style>
  <w:style w:customStyle="1" w:styleId="xl73" w:type="paragraph">
    <w:name w:val="xl73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imes" w:hAnsi="Times"/>
      <w:sz w:val="20"/>
      <w:szCs w:val="20"/>
      <w:lang w:eastAsia="en-US" w:val="en-US"/>
    </w:rPr>
  </w:style>
  <w:style w:customStyle="1" w:styleId="xl74" w:type="paragraph">
    <w:name w:val="xl74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ahoma" w:cs="Tahoma" w:hAnsi="Tahoma"/>
      <w:color w:val="000000"/>
      <w:sz w:val="16"/>
      <w:szCs w:val="16"/>
      <w:lang w:eastAsia="en-US" w:val="en-US"/>
    </w:rPr>
  </w:style>
  <w:style w:customStyle="1" w:styleId="xl75" w:type="paragraph">
    <w:name w:val="xl75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Arial" w:cs="Arial" w:hAnsi="Arial"/>
      <w:color w:val="333333"/>
      <w:lang w:eastAsia="en-US" w:val="en-US"/>
    </w:rPr>
  </w:style>
  <w:style w:customStyle="1" w:styleId="xl76" w:type="paragraph">
    <w:name w:val="xl76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Verdana" w:hAnsi="Verdana"/>
      <w:color w:val="000080"/>
      <w:sz w:val="16"/>
      <w:szCs w:val="16"/>
      <w:lang w:eastAsia="en-US" w:val="en-US"/>
    </w:rPr>
  </w:style>
  <w:style w:customStyle="1" w:styleId="xl77" w:type="paragraph">
    <w:name w:val="xl77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hAnsi="Times"/>
      <w:b/>
      <w:bCs/>
      <w:color w:val="000000"/>
      <w:sz w:val="20"/>
      <w:szCs w:val="20"/>
      <w:lang w:eastAsia="en-US" w:val="en-US"/>
    </w:rPr>
  </w:style>
  <w:style w:customStyle="1" w:styleId="xl78" w:type="paragraph">
    <w:name w:val="xl78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hAnsi="Times"/>
      <w:b/>
      <w:bCs/>
      <w:color w:val="000000"/>
      <w:sz w:val="20"/>
      <w:szCs w:val="20"/>
      <w:lang w:eastAsia="en-US" w:val="en-US"/>
    </w:rPr>
  </w:style>
  <w:style w:customStyle="1" w:styleId="xl79" w:type="paragraph">
    <w:name w:val="xl79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hAnsi="Times"/>
      <w:b/>
      <w:bCs/>
      <w:color w:val="000000"/>
      <w:sz w:val="20"/>
      <w:szCs w:val="20"/>
      <w:lang w:eastAsia="en-US" w:val="en-US"/>
    </w:rPr>
  </w:style>
  <w:style w:customStyle="1" w:styleId="xl80" w:type="paragraph">
    <w:name w:val="xl80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hAnsi="Times"/>
      <w:b/>
      <w:bCs/>
      <w:color w:val="000000"/>
      <w:sz w:val="20"/>
      <w:szCs w:val="20"/>
      <w:lang w:eastAsia="en-US" w:val="en-US"/>
    </w:rPr>
  </w:style>
  <w:style w:customStyle="1" w:styleId="SubtleEmphasis3" w:type="paragraph">
    <w:name w:val="Subtle Emphasis3"/>
    <w:basedOn w:val="Normal"/>
    <w:uiPriority w:val="72"/>
    <w:qFormat/>
    <w:rsid w:val="00B930D4"/>
    <w:pPr>
      <w:ind w:left="720"/>
      <w:contextualSpacing/>
    </w:pPr>
    <w:rPr>
      <w:rFonts w:eastAsia="Times New Roman"/>
      <w:lang w:eastAsia="hr-HR" w:val="hr-HR"/>
    </w:rPr>
  </w:style>
  <w:style w:customStyle="1" w:styleId="xl92" w:type="paragraph">
    <w:name w:val="xl92"/>
    <w:basedOn w:val="Normal"/>
    <w:rsid w:val="007508CB"/>
    <w:pPr>
      <w:spacing w:after="100" w:afterAutospacing="1" w:before="100" w:beforeAutospacing="1"/>
    </w:pPr>
    <w:rPr>
      <w:rFonts w:ascii="Times" w:hAnsi="Times"/>
      <w:b/>
      <w:bCs/>
      <w:sz w:val="20"/>
      <w:szCs w:val="20"/>
      <w:lang w:eastAsia="en-US" w:val="en-US"/>
    </w:rPr>
  </w:style>
  <w:style w:customStyle="1" w:styleId="xl93" w:type="paragraph">
    <w:name w:val="xl93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eastAsia="en-US" w:val="en-US"/>
    </w:rPr>
  </w:style>
  <w:style w:customStyle="1" w:styleId="xl94" w:type="paragraph">
    <w:name w:val="xl94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eastAsia="en-US" w:val="en-US"/>
    </w:rPr>
  </w:style>
  <w:style w:customStyle="1" w:styleId="xl95" w:type="paragraph">
    <w:name w:val="xl95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eastAsia="en-US" w:val="en-US"/>
    </w:rPr>
  </w:style>
  <w:style w:customStyle="1" w:styleId="xl96" w:type="paragraph">
    <w:name w:val="xl96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eastAsia="en-US" w:val="en-US"/>
    </w:rPr>
  </w:style>
  <w:style w:customStyle="1" w:styleId="xl97" w:type="paragraph">
    <w:name w:val="xl97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eastAsia="en-US" w:val="en-US"/>
    </w:rPr>
  </w:style>
  <w:style w:customStyle="1" w:styleId="xl98" w:type="paragraph">
    <w:name w:val="xl98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20"/>
      <w:szCs w:val="20"/>
      <w:lang w:eastAsia="en-US" w:val="en-US"/>
    </w:rPr>
  </w:style>
  <w:style w:customStyle="1" w:styleId="xl99" w:type="paragraph">
    <w:name w:val="xl99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sz w:val="20"/>
      <w:szCs w:val="20"/>
      <w:lang w:eastAsia="en-US" w:val="en-US"/>
    </w:rPr>
  </w:style>
  <w:style w:customStyle="1" w:styleId="xl100" w:type="paragraph">
    <w:name w:val="xl100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sz w:val="20"/>
      <w:szCs w:val="20"/>
      <w:lang w:eastAsia="en-US" w:val="en-US"/>
    </w:rPr>
  </w:style>
  <w:style w:customStyle="1" w:styleId="xl101" w:type="paragraph">
    <w:name w:val="xl101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sz w:val="20"/>
      <w:szCs w:val="20"/>
      <w:lang w:eastAsia="en-US" w:val="en-US"/>
    </w:rPr>
  </w:style>
  <w:style w:customStyle="1" w:styleId="xl102" w:type="paragraph">
    <w:name w:val="xl102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sz w:val="20"/>
      <w:szCs w:val="20"/>
      <w:lang w:eastAsia="en-US" w:val="en-US"/>
    </w:rPr>
  </w:style>
  <w:style w:customStyle="1" w:styleId="xl103" w:type="paragraph">
    <w:name w:val="xl103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b/>
      <w:bCs/>
      <w:sz w:val="20"/>
      <w:szCs w:val="20"/>
      <w:lang w:eastAsia="en-US" w:val="en-US"/>
    </w:rPr>
  </w:style>
  <w:style w:customStyle="1" w:styleId="xl104" w:type="paragraph">
    <w:name w:val="xl104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b/>
      <w:bCs/>
      <w:sz w:val="20"/>
      <w:szCs w:val="20"/>
      <w:lang w:eastAsia="en-US" w:val="en-US"/>
    </w:rPr>
  </w:style>
  <w:style w:customStyle="1" w:styleId="xl105" w:type="paragraph">
    <w:name w:val="xl105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b/>
      <w:bCs/>
      <w:sz w:val="20"/>
      <w:szCs w:val="20"/>
      <w:lang w:eastAsia="en-US" w:val="en-US"/>
    </w:rPr>
  </w:style>
  <w:style w:customStyle="1" w:styleId="PlainTable31" w:type="paragraph">
    <w:name w:val="Plain Table 31"/>
    <w:basedOn w:val="Normal"/>
    <w:uiPriority w:val="72"/>
    <w:qFormat/>
    <w:rsid w:val="006634A3"/>
    <w:pPr>
      <w:ind w:left="708"/>
    </w:pPr>
    <w:rPr>
      <w:rFonts w:eastAsia="Times New Roman"/>
      <w:lang w:eastAsia="hr-HR" w:val="hr-HR"/>
    </w:rPr>
  </w:style>
  <w:style w:customStyle="1" w:styleId="xl90" w:type="paragraph">
    <w:name w:val="xl90"/>
    <w:basedOn w:val="Normal"/>
    <w:rsid w:val="000622BE"/>
    <w:pPr>
      <w:spacing w:after="100" w:afterAutospacing="1" w:before="100" w:beforeAutospacing="1"/>
    </w:pPr>
    <w:rPr>
      <w:sz w:val="20"/>
      <w:szCs w:val="20"/>
      <w:lang w:eastAsia="en-US" w:val="en-US"/>
    </w:rPr>
  </w:style>
  <w:style w:customStyle="1" w:styleId="xl91" w:type="paragraph">
    <w:name w:val="xl91"/>
    <w:basedOn w:val="Normal"/>
    <w:rsid w:val="000622B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sz w:val="20"/>
      <w:szCs w:val="20"/>
      <w:lang w:eastAsia="en-US" w:val="en-US"/>
    </w:rPr>
  </w:style>
  <w:style w:styleId="Odlomakpopisa" w:type="paragraph">
    <w:name w:val="List Paragraph"/>
    <w:basedOn w:val="Normal"/>
    <w:uiPriority w:val="34"/>
    <w:qFormat/>
    <w:rsid w:val="00ED57E8"/>
    <w:pPr>
      <w:ind w:left="720"/>
      <w:contextualSpacing/>
    </w:pPr>
    <w:rPr>
      <w:rFonts w:eastAsia="Times New Roman"/>
      <w:lang w:eastAsia="hr-HR" w:val="hr-HR"/>
    </w:rPr>
  </w:style>
  <w:style w:customStyle="1" w:styleId="style3" w:type="character">
    <w:name w:val="style3"/>
    <w:basedOn w:val="Zadanifontodlomka"/>
    <w:rsid w:val="00A91F0A"/>
  </w:style>
  <w:style w:customStyle="1" w:styleId="st" w:type="character">
    <w:name w:val="st"/>
    <w:basedOn w:val="Zadanifontodlomka"/>
    <w:rsid w:val="00A91F0A"/>
  </w:style>
  <w:style w:customStyle="1" w:styleId="xl81" w:type="paragraph">
    <w:name w:val="xl81"/>
    <w:basedOn w:val="Normal"/>
    <w:rsid w:val="00E05C4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eastAsia="Times New Roman"/>
      <w:lang w:eastAsia="hr-HR" w:val="hr-HR"/>
    </w:rPr>
  </w:style>
  <w:style w:customStyle="1" w:styleId="xl82" w:type="paragraph">
    <w:name w:val="xl82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xl83" w:type="paragraph">
    <w:name w:val="xl83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Times New Roman"/>
      <w:sz w:val="18"/>
      <w:szCs w:val="18"/>
      <w:lang w:eastAsia="hr-HR" w:val="hr-HR"/>
    </w:rPr>
  </w:style>
  <w:style w:customStyle="1" w:styleId="xl84" w:type="paragraph">
    <w:name w:val="xl84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Times New Roman"/>
      <w:sz w:val="18"/>
      <w:szCs w:val="18"/>
      <w:lang w:eastAsia="hr-HR" w:val="hr-HR"/>
    </w:rPr>
  </w:style>
  <w:style w:customStyle="1" w:styleId="xl85" w:type="paragraph">
    <w:name w:val="xl85"/>
    <w:basedOn w:val="Normal"/>
    <w:rsid w:val="00E05C4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eastAsia="Times New Roman"/>
      <w:lang w:eastAsia="hr-HR" w:val="hr-HR"/>
    </w:rPr>
  </w:style>
  <w:style w:customStyle="1" w:styleId="xl86" w:type="paragraph">
    <w:name w:val="xl86"/>
    <w:basedOn w:val="Normal"/>
    <w:rsid w:val="00E05C4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eastAsia="Times New Roman"/>
      <w:lang w:eastAsia="hr-HR" w:val="hr-HR"/>
    </w:rPr>
  </w:style>
  <w:style w:customStyle="1" w:styleId="xl87" w:type="paragraph">
    <w:name w:val="xl87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xl88" w:type="paragraph">
    <w:name w:val="xl88"/>
    <w:basedOn w:val="Normal"/>
    <w:rsid w:val="00E05C44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xl89" w:type="paragraph">
    <w:name w:val="xl89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rFonts w:eastAsia="Times New Roman"/>
      <w:sz w:val="18"/>
      <w:szCs w:val="18"/>
      <w:lang w:eastAsia="hr-HR" w:val="hr-HR"/>
    </w:rPr>
  </w:style>
  <w:style w:styleId="TOCNaslov" w:type="paragraph">
    <w:name w:val="TOC Heading"/>
    <w:basedOn w:val="Naslov1"/>
    <w:next w:val="Normal"/>
    <w:uiPriority w:val="39"/>
    <w:unhideWhenUsed/>
    <w:qFormat/>
    <w:rsid w:val="00C56AB6"/>
    <w:pPr>
      <w:keepLines/>
      <w:tabs>
        <w:tab w:pos="1225" w:val="clear"/>
      </w:tabs>
      <w:spacing w:after="0" w:line="259" w:lineRule="auto"/>
      <w:outlineLvl w:val="9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32"/>
    </w:rPr>
  </w:style>
  <w:style w:styleId="Tekstrezerviranogmjesta" w:type="character">
    <w:name w:val="Placeholder Text"/>
    <w:basedOn w:val="Zadanifontodlomka"/>
    <w:uiPriority w:val="62"/>
    <w:semiHidden/>
    <w:rsid w:val="00D503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0364"/>
    <w:rPr>
      <w:rFonts w:ascii="Times New Roman" w:cs="Times New Roman" w:hAnsi="Times New Roman"/>
      <w:color w:themeColor="text2" w:themeTint="99" w:val="548DD4"/>
      <w:sz w:val="24"/>
      <w:szCs w:val="4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0364"/>
    <w:rPr>
      <w:color w:themeColor="text2" w:themeTint="99" w:val="548DD4"/>
      <w:sz w:val="40"/>
      <w:szCs w:val="4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0364"/>
    <w:rPr>
      <w:rFonts w:ascii="Times New Roman" w:cs="Times New Roman" w:hAnsi="Times New Roman"/>
      <w:color w:themeColor="text2" w:themeTint="99" w:val="548DD4"/>
      <w:sz w:val="40"/>
      <w:szCs w:val="4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0364"/>
    <w:rPr>
      <w:rFonts w:ascii="Times New Roman" w:cs="Times New Roman" w:hAnsi="Times New Roman"/>
      <w:color w:themeColor="text2" w:themeTint="99" w:val="548DD4"/>
      <w:sz w:val="40"/>
      <w:szCs w:val="4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38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7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8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36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14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08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6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0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3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980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53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78304522">
          <w:marLeft w:val="-5250"/>
          <w:marRight w:val="0"/>
          <w:marTop w:val="100"/>
          <w:marBottom w:val="10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36570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2899211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24911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32074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54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854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99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32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766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822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07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75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18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86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075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382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08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2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08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66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86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792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74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66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877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7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44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87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913399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252379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11479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4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175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87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41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50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3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54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659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10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784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1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8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8409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7381914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0869304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075503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8544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91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05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61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1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7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148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70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01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477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99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55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92606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545832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73224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117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08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01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35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26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05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672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3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753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19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93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80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096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62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121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84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686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370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395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9707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687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188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705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8831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484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872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1066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230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578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03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434496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300523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49513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247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3825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898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5409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552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062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215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927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689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7004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7349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762998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87383753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70887708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72548373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11359730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37259487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92525467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10846454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95254842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19132505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76023831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12258417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85008580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30849972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13724970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88190399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6747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937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399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592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475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445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8420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8611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187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295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452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762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539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705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358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5202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8300727">
          <w:marLeft w:val="0"/>
          <w:marRight w:val="0"/>
          <w:marTop w:val="45"/>
          <w:marBottom w:val="4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306129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912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953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2414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573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845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521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2533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437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3828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713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17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3000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3575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5912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7264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649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21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2537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3627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4281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4433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554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5813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778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794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171418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702635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86078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996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850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509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4160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124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60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527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90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2874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8160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0323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1007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643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099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137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749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0227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301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380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652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615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316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8039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5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752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456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57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264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385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844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5009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6509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8010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751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4640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09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74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191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119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700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216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480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763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29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761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5337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279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434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099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97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089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8138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0416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569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719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990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5996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6190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6648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6724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160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861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753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880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798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384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730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6702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2596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870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1038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608705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8388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541090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102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0389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394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4390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357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480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287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0756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601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369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524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3369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069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265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528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959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7299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934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619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541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327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172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2448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6503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3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3244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5673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27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007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197338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0251334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3690951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3398446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52663256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84448822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34932457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37682421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42857926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91538808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735275692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32279118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50666142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37919533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52989889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57265478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61584637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74937821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23898172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62069672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29441922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65365501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05275479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7437843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79816037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90614793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607395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13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91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0471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638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4337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254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5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7949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8685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386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3272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7588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7860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8903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1209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412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214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411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992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5180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7030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378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4702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5672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7709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8364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8484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407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69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928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7288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21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54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037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346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738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441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945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330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118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771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077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90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470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332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527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985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7099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772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150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088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052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983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06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328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95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033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340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533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7797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0881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734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4163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610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18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6195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6270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272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365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184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256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993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770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9544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287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527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417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383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165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947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173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900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136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583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9766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9880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118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857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660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939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0943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222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8955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046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282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89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79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05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895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040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234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381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964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1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4444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87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0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140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643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543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190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202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9665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246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2477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59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64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3463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975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174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8150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417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1886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782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363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890223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96197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4006266">
                  <w:marLeft w:val="0"/>
                  <w:marRight w:val="0"/>
                  <w:marTop w:val="0"/>
                  <w:marBottom w:val="105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555284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7783544">
                      <w:marLeft w:val="0"/>
                      <w:marRight w:val="0"/>
                      <w:marTop w:val="0"/>
                      <w:marBottom w:val="3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0559530">
                          <w:marLeft w:val="0"/>
                          <w:marRight w:val="0"/>
                          <w:marTop w:val="12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18843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5697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088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090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016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521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293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92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9328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006048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905261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6040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694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01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650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72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3824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519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79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906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269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732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906688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15875900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9437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545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932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624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369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635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663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291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268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917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0259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306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074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4504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237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826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087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371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290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5597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5766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6067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54106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977105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8654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532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65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3122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8367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910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2024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064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380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42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029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118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392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3095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404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09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7974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2490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518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4962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7198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084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66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167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4407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572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72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963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0767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205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6858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8700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9671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632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352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4109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380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663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931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856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319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9866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2068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463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764291">
          <w:marLeft w:val="0"/>
          <w:marRight w:val="0"/>
          <w:marTop w:val="45"/>
          <w:marBottom w:val="4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089694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463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2046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3741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947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294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058595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62146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5690708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097404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652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307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693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88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947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215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9908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813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15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98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92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424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78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934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898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521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9908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680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35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810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130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551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59317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566564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16616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8984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9516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0943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066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37925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179858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896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5443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5630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368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0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525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775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31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055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90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453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8447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261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881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4344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6967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467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26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582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778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161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35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130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2789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224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4073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5846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119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008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3783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969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13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202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397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70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5386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621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689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540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663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46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925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0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8104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581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21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9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967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884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201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927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555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19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68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9825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177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558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797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451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222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531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847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275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53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6931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7805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8968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4043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09890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46131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435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9720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2412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11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6807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688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15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118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666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27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55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40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066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1802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5502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6759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0301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073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8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093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742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1710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140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138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5302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531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575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0269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1778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3504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3552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21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74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9794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9904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60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8040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470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739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871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8870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325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5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695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465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7501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097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237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665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742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216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9955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337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185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965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1749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28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5829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408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9036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010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401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592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112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37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9031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005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4276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294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345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000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156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15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50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592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668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145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699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8421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431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746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216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596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189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260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634406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63285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415046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027464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356297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9406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370017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53725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45001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3487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8911111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653447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188948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0071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3544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115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89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473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5137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761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2933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85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665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60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4412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5191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576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110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431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812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662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00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539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901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929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8366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883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9754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0410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569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102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226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307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40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647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059548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175857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07231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882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931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8734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583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7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485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2569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2570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6542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800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4678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064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522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421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19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4386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4965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247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315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435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744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0354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1400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3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294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798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715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813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887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1427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738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560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338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5910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8191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200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942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244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706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8943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7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2533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190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972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119598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85406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447359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6806583">
                      <w:marLeft w:val="0"/>
                      <w:marRight w:val="15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57968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7589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7524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9044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356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938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832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78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072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876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8529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9108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381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548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279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754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753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654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273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280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019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220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378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723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036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498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8690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502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87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3475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3889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826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9792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871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806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808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823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740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59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675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181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403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1224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2992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229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7576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0126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8356207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059537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780559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19682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4487346">
                          <w:marLeft w:val="-8550"/>
                          <w:marRight w:val="0"/>
                          <w:marTop w:val="0"/>
                          <w:marBottom w:val="0"/>
                          <w:divBdr>
                            <w:top w:space="4" w:sz="6" w:color="CCCCCC" w:val="single"/>
                            <w:left w:space="2" w:sz="6" w:color="CCCCCC" w:val="single"/>
                            <w:bottom w:space="4" w:sz="6" w:color="CCCCCC" w:val="single"/>
                            <w:right w:space="2" w:sz="6" w:color="CCCCCC" w:val="single"/>
                          </w:divBdr>
                          <w:divsChild>
                            <w:div w:id="1099373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  <w:div w:id="1655178414">
                          <w:marLeft w:val="30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1755048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  <w:div w:id="1511213692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6762549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6" w:color="CCCCCC" w:val="single"/>
                                    <w:left w:space="8" w:sz="6" w:color="CCCCCC" w:val="single"/>
                                    <w:bottom w:space="8" w:sz="6" w:color="CCCCCC" w:val="single"/>
                                    <w:right w:space="8" w:sz="6" w:color="CCCCCC" w:val="single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236145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2535184">
                  <w:marLeft w:val="0"/>
                  <w:marRight w:val="0"/>
                  <w:marTop w:val="0"/>
                  <w:marBottom w:val="0"/>
                  <w:divBdr>
                    <w:top w:space="0" w:sz="6" w:color="8D8D8D" w:val="single"/>
                    <w:left w:space="0" w:sz="0" w:color="auto" w:val="none"/>
                    <w:bottom w:space="0" w:sz="0" w:color="auto" w:val="none"/>
                    <w:right w:space="0" w:sz="6" w:color="222020" w:val="single"/>
                  </w:divBdr>
                  <w:divsChild>
                    <w:div w:id="1617717990">
                      <w:marLeft w:val="0"/>
                      <w:marRight w:val="0"/>
                      <w:marTop w:val="0"/>
                      <w:marBottom w:val="0"/>
                      <w:divBdr>
                        <w:top w:space="0" w:sz="6" w:color="CCCCCC" w:val="single"/>
                        <w:left w:space="0" w:sz="6" w:color="CCCCCC" w:val="single"/>
                        <w:bottom w:space="0" w:sz="6" w:color="CCCCCC" w:val="single"/>
                        <w:right w:space="0" w:sz="6" w:color="CCCCCC" w:val="single"/>
                      </w:divBdr>
                    </w:div>
                  </w:divsChild>
                </w:div>
                <w:div w:id="11971580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0187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77394019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8846850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11475532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18191501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19715444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19911353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20896954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</w:divsChild>
                </w:div>
              </w:divsChild>
            </w:div>
            <w:div w:id="18520632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304855">
                  <w:marLeft w:val="30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1267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54244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3543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  <w:div w:id="842738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69747303">
                  <w:marLeft w:val="0"/>
                  <w:marRight w:val="0"/>
                  <w:marTop w:val="225"/>
                  <w:marBottom w:val="0"/>
                  <w:divBdr>
                    <w:top w:space="0" w:sz="6" w:color="CCCCCC" w:val="single"/>
                    <w:left w:space="0" w:sz="6" w:color="CCCCCC" w:val="single"/>
                    <w:bottom w:space="0" w:sz="6" w:color="CCCCCC" w:val="single"/>
                    <w:right w:space="0" w:sz="0" w:color="auto" w:val="none"/>
                  </w:divBdr>
                </w:div>
                <w:div w:id="594558373">
                  <w:marLeft w:val="0"/>
                  <w:marRight w:val="0"/>
                  <w:marTop w:val="225"/>
                  <w:marBottom w:val="0"/>
                  <w:divBdr>
                    <w:top w:space="2" w:sz="6" w:color="CCCCCC" w:val="single"/>
                    <w:left w:space="0" w:sz="0" w:color="auto" w:val="none"/>
                    <w:bottom w:space="2" w:sz="6" w:color="CCCCCC" w:val="single"/>
                    <w:right w:space="2" w:sz="6" w:color="CCCCCC" w:val="single"/>
                  </w:divBdr>
                </w:div>
                <w:div w:id="188497891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17988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49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838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955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571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25352561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28374834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29203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290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5492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066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577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665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295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45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841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7495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9197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9394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085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253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642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264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763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265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664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08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590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594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91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0649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129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433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4679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02160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46709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914387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663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966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628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55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75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4561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564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119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887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854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362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892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58693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5399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93640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371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06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415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87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510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349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943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8218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414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3535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194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72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6346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5325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491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41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95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7782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9363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859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173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382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212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183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0423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6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232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885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581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511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173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3600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724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792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68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8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844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111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350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313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938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394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860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125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168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1388032">
          <w:marLeft w:val="0"/>
          <w:marRight w:val="0"/>
          <w:marTop w:val="45"/>
          <w:marBottom w:val="4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29064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0717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607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6927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61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003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274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3939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403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817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860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8722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896349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045518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448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070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3845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965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85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633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147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258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64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912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9720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146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952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5078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5542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194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21654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21850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079552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053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518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6367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7144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7337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9307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998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454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854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912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61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654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9042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0151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3939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786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5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720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9021477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8994415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0756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761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951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1409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608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3718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66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390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816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370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024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3040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729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diagramData" Target="diagrams/data1.xml"/><Relationship Id="rId18" Type="http://schemas.openxmlformats.org/officeDocument/2006/relationships/diagramData" Target="diagrams/data2.xml"/><Relationship Id="rId26" Type="http://schemas.openxmlformats.org/officeDocument/2006/relationships/chart" Target="charts/chart5.xml"/><Relationship Id="rId3" Type="http://schemas.openxmlformats.org/officeDocument/2006/relationships/numbering" Target="numbering.xml"/><Relationship Id="rId21" Type="http://schemas.openxmlformats.org/officeDocument/2006/relationships/diagramColors" Target="diagrams/colors2.xml"/><Relationship Id="rId7" Type="http://schemas.openxmlformats.org/officeDocument/2006/relationships/webSettings" Target="webSettings.xml"/><Relationship Id="rId12" Type="http://schemas.openxmlformats.org/officeDocument/2006/relationships/image" Target="media/image2.jpeg"/><Relationship Id="rId17" Type="http://schemas.microsoft.com/office/2007/relationships/diagramDrawing" Target="diagrams/drawing1.xml"/><Relationship Id="rId25" Type="http://schemas.openxmlformats.org/officeDocument/2006/relationships/chart" Target="charts/chart4.xml"/><Relationship Id="rId2" Type="http://schemas.openxmlformats.org/officeDocument/2006/relationships/customXml" Target="../customXml/item2.xml"/><Relationship Id="rId16" Type="http://schemas.openxmlformats.org/officeDocument/2006/relationships/diagramColors" Target="diagrams/colors1.xml"/><Relationship Id="rId20" Type="http://schemas.openxmlformats.org/officeDocument/2006/relationships/diagramQuickStyle" Target="diagrams/quickStyle2.xm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24" Type="http://schemas.openxmlformats.org/officeDocument/2006/relationships/chart" Target="charts/chart3.xml"/><Relationship Id="rId32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diagramQuickStyle" Target="diagrams/quickStyle1.xml"/><Relationship Id="rId23" Type="http://schemas.openxmlformats.org/officeDocument/2006/relationships/chart" Target="charts/chart2.xml"/><Relationship Id="rId28" Type="http://schemas.openxmlformats.org/officeDocument/2006/relationships/header" Target="header1.xml"/><Relationship Id="rId10" Type="http://schemas.openxmlformats.org/officeDocument/2006/relationships/chart" Target="charts/chart1.xml"/><Relationship Id="rId19" Type="http://schemas.openxmlformats.org/officeDocument/2006/relationships/diagramLayout" Target="diagrams/layout2.xml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diagramLayout" Target="diagrams/layout1.xml"/><Relationship Id="rId22" Type="http://schemas.microsoft.com/office/2007/relationships/diagramDrawing" Target="diagrams/drawing2.xml"/><Relationship Id="rId27" Type="http://schemas.openxmlformats.org/officeDocument/2006/relationships/image" Target="media/image3.emf"/><Relationship Id="rId30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charts/_rels/chart1.xml.rels><?xml version="1.0" encoding="UTF-8" standalone="yes"?><Relationships xmlns="http://schemas.openxmlformats.org/package/2006/relationships"><Relationship Id="rId3" Type="http://schemas.microsoft.com/office/2011/relationships/chartStyle" Target="style1.xml"/><Relationship Id="rId2" Type="http://schemas.microsoft.com/office/2011/relationships/chartColorStyle" Target="colors1.xml"/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<Relationships xmlns="http://schemas.openxmlformats.org/package/2006/relationships"><Relationship Id="rId1" Type="http://schemas.openxmlformats.org/officeDocument/2006/relationships/oleObject" Target="file:///\\Users\sasarendulic\Dropbox\Restrukturiranje\3.%20U%20IZRADI\2.%20Nova%20PSN\1.%20C&#780;EKA%20SE%20DOK\Juratex%20underwear\Tablice1.xls" TargetMode="External"/></Relationships>
</file>

<file path=word/charts/_rels/chart3.xml.rels><?xml version="1.0" encoding="UTF-8" standalone="yes"?><Relationships xmlns="http://schemas.openxmlformats.org/package/2006/relationships"><Relationship Id="rId1" Type="http://schemas.openxmlformats.org/officeDocument/2006/relationships/oleObject" Target="file:///\\Users\sasarendulic\Dropbox\Restrukturiranje\3.%20U%20IZRADI\2.%20Nova%20PSN\1.%20C&#780;EKA%20SE%20DOK\Juratex%20underwear\Tablice1.xls" TargetMode="External"/></Relationships>
</file>

<file path=word/charts/_rels/chart4.xml.rels><?xml version="1.0" encoding="UTF-8" standalone="yes"?><Relationships xmlns="http://schemas.openxmlformats.org/package/2006/relationships"><Relationship Id="rId1" Type="http://schemas.openxmlformats.org/officeDocument/2006/relationships/oleObject" Target="file:///\\Users\sasarendulic\Dropbox\Restrukturiranje\3.%20U%20IZRADI\2.%20Nova%20PSN\1.%20C&#780;EKA%20SE%20DOK\Juratex%20underwear\Tablice1.xls" TargetMode="External"/></Relationships>
</file>

<file path=word/charts/_rels/chart5.xml.rels><?xml version="1.0" encoding="UTF-8" standalone="yes"?><Relationships xmlns="http://schemas.openxmlformats.org/package/2006/relationships"><Relationship Id="rId1" Type="http://schemas.openxmlformats.org/officeDocument/2006/relationships/oleObject" Target="file:///\\Users\sasarendulic\Dropbox\Restrukturiranje\3.%20U%20IZRADI\2.%20Nova%20PSN\1.%20C&#780;EKA%20SE%20DOK\Juratex%20underwear\Tablice1.xls" TargetMode="External"/></Relationships>
</file>

<file path=word/charts/chart1.xml><?xml version="1.0" encoding="utf-8"?>
<c:chartSpac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c:date1904 val="false"/>
  <c:lang val="hr-HR"/>
  <c:roundedCorners val="false"/>
  <c:style val="2"/>
  <c:chart>
    <c:title>
      <c:overlay val="false"/>
      <c:spPr>
        <a:noFill/>
        <a:ln>
          <a:noFill/>
        </a:ln>
        <a:effectLst/>
      </c:spPr>
      <c:txPr>
        <a:bodyPr anchorCtr="true" anchor="ctr" wrap="square" vert="horz" vertOverflow="ellipsis" spcFirstLastPara="true" rot="0"/>
        <a:lstStyle/>
        <a:p>
          <a:pPr>
            <a:defRPr baseline="0" cap="all" kern="1200" strike="noStrike" u="none" i="false" b="true" sz="2128" lang="en-US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r-Latn-RS"/>
        </a:p>
      </c:txPr>
    </c:title>
    <c:autoTitleDeleted val="false"/>
    <c:view3D>
      <c:rotX val="30"/>
      <c:rotY val="0"/>
      <c:depthPercent val="100"/>
      <c:rAngAx val="false"/>
      <c:perspective val="3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true"/>
        <c:ser>
          <c:idx val="0"/>
          <c:order val="0"/>
          <c:tx>
            <c:strRef>
              <c:f>Sheet1!$B$1</c:f>
              <c:strCache>
                <c:ptCount val="1"/>
                <c:pt idx="0">
                  <c:v>VLASNIČKA STRUKTURA</c:v>
                </c:pt>
              </c:strCache>
            </c:strRef>
          </c:tx>
          <c:dPt>
            <c:idx val="0"/>
            <c:bubble3D val="false"/>
            <c:spPr>
              <a:solidFill>
                <a:schemeClr val="accent1"/>
              </a:solidFill>
              <a:ln>
                <a:noFill/>
              </a:ln>
              <a:effectLst>
                <a:outerShdw rotWithShape="false" algn="ctr" sy="102000" sx="102000" blurRad="8890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dir="t" rig="threePt"/>
              </a:scene3d>
              <a:sp3d>
                <a:bevelT h="127000" w="127000"/>
                <a:bevelB h="127000" w="127000"/>
              </a:sp3d>
            </c:spPr>
            <c:extLst>
              <c:ext uri="{C3380CC4-5D6E-409C-BE32-E72D297353CC}">
                <c16:uniqueId xmlns:c16="http://schemas.microsoft.com/office/drawing/2014/chart" xmlns:c16r2="http://schemas.microsoft.com/office/drawing/2015/06/chart" val="{00000001-0B82-4103-8FE1-033E3A66FEDF}"/>
              </c:ext>
            </c:extLst>
          </c:dPt>
          <c:dLbls>
            <c:dLbl>
              <c:idx val="0"/>
              <c:layout>
                <c:manualLayout>
                  <c:x val="-0.015164954255089923"/>
                  <c:y val="-0.3869732184951412"/>
                </c:manualLayout>
              </c:layout>
              <c:tx>
                <c:rich>
                  <a:bodyPr anchorCtr="true" anchor="ctr" bIns="19050" rIns="38100" tIns="19050" lIns="38100" wrap="square" vert="horz" vertOverflow="ellipsis" spcFirstLastPara="true" rot="0">
                    <a:noAutofit/>
                  </a:bodyPr>
                  <a:lstStyle/>
                  <a:p>
                    <a:pPr>
                      <a:defRPr baseline="0" spc="0" kern="1200" strike="noStrike" u="none" i="false" b="true" sz="1330" lang="en-US">
                        <a:solidFill>
                          <a:sysClr lastClr="000000" val="windowText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baseline="0" strike="noStrike" u="none" i="false" b="true" sz="1330" lang="en-US">
                        <a:effectLst/>
                      </a:rPr>
                      <a:t>Mirko Vojnović </a:t>
                    </a:r>
                  </a:p>
                  <a:p>
                    <a:pPr>
                      <a:defRPr baseline="0" spc="0" kern="1200" strike="noStrike" u="none" i="false" b="true" sz="1330" lang="en-US">
                        <a:solidFill>
                          <a:sysClr lastClr="000000" val="windowText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baseline="0" strike="noStrike" u="none" i="false" b="true" sz="1330" lang="en-US">
                        <a:effectLst/>
                      </a:rPr>
                      <a:t>100%</a:t>
                    </a:r>
                    <a:endParaRPr baseline="0" lang="en-US"/>
                  </a:p>
                </c:rich>
              </c:tx>
              <c:spPr>
                <a:noFill/>
                <a:ln>
                  <a:noFill/>
                </a:ln>
                <a:effectLst/>
              </c:spPr>
              <c:dLblPos val="bestFit"/>
              <c:showLegendKey val="false"/>
              <c:showVal val="false"/>
              <c:showCatName val="true"/>
              <c:showSerName val="false"/>
              <c:showPercent val="true"/>
              <c:showBubbleSize val="false"/>
              <c:extLst>
                <c:ext uri="{CE6537A1-D6FC-4f65-9D91-7224C49458BB}">
                  <c15:layout xmlns:c15="http://schemas.microsoft.com/office/drawing/2012/chart" xmlns:c16r2="http://schemas.microsoft.com/office/drawing/2015/06/chart">
                    <c:manualLayout>
                      <c:w val="0.32469807480095098"/>
                      <c:h val="0.290299620724353"/>
                    </c:manualLayout>
                  </c15:layout>
                </c:ext>
                <c:ext uri="{C3380CC4-5D6E-409C-BE32-E72D297353CC}">
                  <c16:uniqueId xmlns:c16="http://schemas.microsoft.com/office/drawing/2014/chart" xmlns:c16r2="http://schemas.microsoft.com/office/drawing/2015/06/chart" val="{00000001-0B82-4103-8FE1-033E3A66FED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anchorCtr="true" anchor="ctr" bIns="19050" rIns="38100" tIns="19050" lIns="38100" wrap="square" vert="horz" vertOverflow="ellipsis" spcFirstLastPara="true" rot="0">
                <a:spAutoFit/>
              </a:bodyPr>
              <a:lstStyle/>
              <a:p>
                <a:pPr>
                  <a:defRPr baseline="0" spc="0" kern="1200" strike="noStrike" u="none" i="false" b="true" sz="1330" lang="en-US">
                    <a:solidFill>
                      <a:sysClr lastClr="000000" val="windowText"/>
                    </a:solidFill>
                    <a:latin typeface="+mn-lt"/>
                    <a:ea typeface="+mn-ea"/>
                    <a:cs typeface="+mn-cs"/>
                  </a:defRPr>
                </a:pPr>
                <a:endParaRPr lang="sr-Latn-RS"/>
              </a:p>
            </c:txPr>
            <c:dLblPos val="outEnd"/>
            <c:showLegendKey val="false"/>
            <c:showVal val="false"/>
            <c:showCatName val="true"/>
            <c:showSerName val="false"/>
            <c:showPercent val="true"/>
            <c:showBubbleSize val="false"/>
            <c:showLeaderLines val="true"/>
            <c:leaderLines>
              <c:spPr>
                <a:ln algn="ctr" cmpd="sng" cap="flat" w="9525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uri="{CE6537A1-D6FC-4f65-9D91-7224C49458BB}"/>
            </c:extLst>
          </c:dLbls>
          <c:cat>
            <c:strRef>
              <c:f>Sheet1!$A$2</c:f>
              <c:strCache>
                <c:ptCount val="1"/>
                <c:pt idx="0">
                  <c:v>Boran Glavaš</c:v>
                </c:pt>
              </c:strCache>
            </c:strRef>
          </c:cat>
          <c:val>
            <c:numRef>
              <c:f>Sheet1!$B$2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2-0B82-4103-8FE1-033E3A66FEDF}"/>
            </c:ext>
          </c:extLst>
        </c:ser>
        <c:dLbls>
          <c:showLegendKey val="false"/>
          <c:showVal val="false"/>
          <c:showCatName val="true"/>
          <c:showSerName val="false"/>
          <c:showPercent val="false"/>
          <c:showBubbleSize val="false"/>
          <c:showLeaderLines val="true"/>
        </c:dLbls>
      </c:pie3DChart>
      <c:spPr>
        <a:noFill/>
        <a:ln>
          <a:noFill/>
        </a:ln>
        <a:effectLst/>
      </c:spPr>
    </c:plotArea>
    <c:plotVisOnly val="true"/>
    <c:dispBlanksAs val="zero"/>
    <c:showDLblsOverMax val="false"/>
  </c:chart>
  <c:spPr>
    <a:solidFill>
      <a:schemeClr val="bg1"/>
    </a:solidFill>
    <a:ln algn="ctr" cmpd="sng" cap="flat" w="9525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sr-Latn-RS"/>
    </a:p>
  </c:txPr>
  <c:externalData r:id="rId1">
    <c:autoUpdate val="false"/>
  </c:externalData>
</c:chartSpace>
</file>

<file path=word/charts/chart2.xml><?xml version="1.0" encoding="utf-8"?>
<c:chartSpac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c:date1904 val="false"/>
  <c:lang val="hr-HR"/>
  <c:roundedCorners val="false"/>
  <c:style val="18"/>
  <c:chart>
    <c:autoTitleDeleted val="true"/>
    <c:plotArea>
      <c:layout>
        <c:manualLayout>
          <c:layoutTarget val="inner"/>
          <c:xMode val="edge"/>
          <c:yMode val="edge"/>
          <c:x val="0.067835680291001"/>
          <c:y val="0.177777816966608"/>
          <c:w val="0.896372047244094"/>
          <c:h val="0.4339909594634"/>
        </c:manualLayout>
      </c:layout>
      <c:barChart>
        <c:barDir val="col"/>
        <c:grouping val="clustered"/>
        <c:varyColors val="false"/>
        <c:ser>
          <c:idx val="0"/>
          <c:order val="0"/>
          <c:tx>
            <c:strRef>
              <c:f>Sažetak!$A$2</c:f>
              <c:strCache>
                <c:ptCount val="1"/>
                <c:pt idx="0">
                  <c:v>Broj zaposlenih (prosječan broj na temelju sati rada)</c:v>
                </c:pt>
              </c:strCache>
            </c:strRef>
          </c:tx>
          <c:spPr>
            <a:gradFill rotWithShape="false">
              <a:gsLst>
                <a:gs pos="0">
                  <a:srgbClr val="9BC1FF"/>
                </a:gs>
                <a:gs pos="100000">
                  <a:srgbClr val="3F80CD"/>
                </a:gs>
              </a:gsLst>
              <a:lin ang="5400000"/>
            </a:gradFill>
            <a:ln w="25400">
              <a:noFill/>
            </a:ln>
            <a:effectLst>
              <a:outerShdw algn="br" dir="2700000" dist="35921">
                <a:srgbClr val="000000"/>
              </a:outerShdw>
            </a:effectLst>
          </c:spPr>
          <c:invertIfNegative val="false"/>
          <c:dLbls>
            <c:spPr>
              <a:noFill/>
              <a:ln w="25400">
                <a:noFill/>
              </a:ln>
            </c:spPr>
            <c:txPr>
              <a:bodyPr anchor="ctr" bIns="19050" rIns="38100" tIns="19050" lIns="38100" wrap="square">
                <a:spAutoFit/>
              </a:bodyPr>
              <a:lstStyle/>
              <a:p>
                <a:pPr>
                  <a:defRPr baseline="0" strike="noStrike" u="none" i="false" b="false" sz="100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sr-Latn-RS"/>
              </a:p>
            </c:txPr>
            <c:showLegendKey val="false"/>
            <c:showVal val="true"/>
            <c:showCatName val="false"/>
            <c:showSerName val="false"/>
            <c:showPercent val="false"/>
            <c:showBubbleSize val="false"/>
            <c:showLeaderLines val="false"/>
            <c:extLst>
              <c:ext uri="{CE6537A1-D6FC-4f65-9D91-7224C49458BB}">
                <c15:showLeaderLines xmlns:c15="http://schemas.microsoft.com/office/drawing/2012/chart" xmlns:c16r2="http://schemas.microsoft.com/office/drawing/2015/06/chart" val="0"/>
              </c:ext>
            </c:extLst>
          </c:dLbls>
          <c:trendline>
            <c:spPr>
              <a:ln w="3175">
                <a:solidFill>
                  <a:srgbClr val="000000"/>
                </a:solidFill>
                <a:prstDash val="solid"/>
              </a:ln>
            </c:spPr>
            <c:trendlineType val="linear"/>
            <c:dispRSqr val="false"/>
            <c:dispEq val="false"/>
          </c:trendline>
          <c:cat>
            <c:strRef>
              <c:f>Sažetak!$B$1:$G$1</c:f>
              <c:strCache>
                <c:ptCount val="6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  <c:pt idx="5">
                  <c:v>31.8.16.</c:v>
                </c:pt>
              </c:strCache>
            </c:strRef>
          </c:cat>
          <c:val>
            <c:numRef>
              <c:f>Sažetak!$B$2:$G$2</c:f>
              <c:numCache>
                <c:formatCode>General</c:formatCode>
                <c:ptCount val="6"/>
                <c:pt idx="0">
                  <c:v>43</c:v>
                </c:pt>
                <c:pt idx="1">
                  <c:v>40</c:v>
                </c:pt>
                <c:pt idx="2">
                  <c:v>34</c:v>
                </c:pt>
                <c:pt idx="3">
                  <c:v>25</c:v>
                </c:pt>
                <c:pt idx="4">
                  <c:v>9</c:v>
                </c:pt>
                <c:pt idx="5">
                  <c:v>2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0-29FE-49B9-B5A6-B39965C10E46}"/>
            </c:ext>
          </c:extLst>
        </c:ser>
        <c:dLbls>
          <c:showLegendKey val="false"/>
          <c:showVal val="false"/>
          <c:showCatName val="false"/>
          <c:showSerName val="false"/>
          <c:showPercent val="false"/>
          <c:showBubbleSize val="false"/>
        </c:dLbls>
        <c:gapWidth val="150"/>
        <c:axId val="119145984"/>
        <c:axId val="119147520"/>
      </c:barChart>
      <c:catAx>
        <c:axId val="119145984"/>
        <c:scaling>
          <c:orientation val="minMax"/>
        </c:scaling>
        <c:delete val="false"/>
        <c:axPos val="b"/>
        <c:numFmt sourceLinked="true" formatCode="General"/>
        <c:majorTickMark val="out"/>
        <c:minorTickMark val="none"/>
        <c:tickLblPos val="nextTo"/>
        <c:spPr>
          <a:ln w="3175">
            <a:solidFill>
              <a:srgbClr val="808080"/>
            </a:solidFill>
            <a:prstDash val="solid"/>
          </a:ln>
        </c:spPr>
        <c:txPr>
          <a:bodyPr vert="horz" rot="0"/>
          <a:lstStyle/>
          <a:p>
            <a:pPr>
              <a:defRPr baseline="0" strike="noStrike" u="none" i="false" b="false" sz="100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sr-Latn-RS"/>
          </a:p>
        </c:txPr>
        <c:crossAx val="119147520"/>
        <c:crosses val="autoZero"/>
        <c:auto val="true"/>
        <c:lblAlgn val="ctr"/>
        <c:lblOffset val="100"/>
        <c:noMultiLvlLbl val="false"/>
      </c:catAx>
      <c:valAx>
        <c:axId val="119147520"/>
        <c:scaling>
          <c:orientation val="minMax"/>
        </c:scaling>
        <c:delete val="false"/>
        <c:axPos val="l"/>
        <c:majorGridlines>
          <c:spPr>
            <a:ln w="3175">
              <a:solidFill>
                <a:srgbClr val="808080"/>
              </a:solidFill>
              <a:prstDash val="solid"/>
            </a:ln>
          </c:spPr>
        </c:majorGridlines>
        <c:numFmt sourceLinked="true" formatCode="General"/>
        <c:majorTickMark val="out"/>
        <c:minorTickMark val="none"/>
        <c:tickLblPos val="nextTo"/>
        <c:spPr>
          <a:ln w="3175">
            <a:solidFill>
              <a:srgbClr val="808080"/>
            </a:solidFill>
            <a:prstDash val="solid"/>
          </a:ln>
        </c:spPr>
        <c:txPr>
          <a:bodyPr vert="horz" rot="0"/>
          <a:lstStyle/>
          <a:p>
            <a:pPr>
              <a:defRPr baseline="0" strike="noStrike" u="none" i="false" b="false" sz="100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sr-Latn-RS"/>
          </a:p>
        </c:txPr>
        <c:crossAx val="119145984"/>
        <c:crosses val="autoZero"/>
        <c:crossBetween val="between"/>
      </c:valAx>
      <c:spPr>
        <a:solidFill>
          <a:srgbClr val="FFFFFF"/>
        </a:solidFill>
        <a:ln w="25400">
          <a:noFill/>
        </a:ln>
      </c:spPr>
    </c:plotArea>
    <c:legend>
      <c:legendPos val="r"/>
      <c:layout>
        <c:manualLayout>
          <c:xMode val="edge"/>
          <c:yMode val="edge"/>
          <c:x val="0.0304709225396412"/>
          <c:y val="0.881517060367454"/>
          <c:w val="0.955679920175267"/>
          <c:h val="0.109004724409449"/>
        </c:manualLayout>
      </c:layout>
      <c:overlay val="false"/>
      <c:spPr>
        <a:noFill/>
        <a:ln w="25400">
          <a:noFill/>
        </a:ln>
      </c:spPr>
      <c:txPr>
        <a:bodyPr/>
        <a:lstStyle/>
        <a:p>
          <a:pPr>
            <a:defRPr baseline="0" strike="noStrike" u="none" i="false" b="false" sz="755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sr-Latn-RS"/>
        </a:p>
      </c:txPr>
    </c:legend>
    <c:plotVisOnly val="true"/>
    <c:dispBlanksAs val="gap"/>
    <c:showDLblsOverMax val="false"/>
  </c:chart>
  <c:spPr>
    <a:solidFill>
      <a:srgbClr val="FFFFFF"/>
    </a:solidFill>
    <a:ln w="9525">
      <a:noFill/>
    </a:ln>
  </c:spPr>
  <c:txPr>
    <a:bodyPr/>
    <a:lstStyle/>
    <a:p>
      <a:pPr>
        <a:defRPr baseline="0" strike="noStrike" u="none" i="false" b="false" sz="1000">
          <a:solidFill>
            <a:srgbClr val="000000"/>
          </a:solidFill>
          <a:latin typeface="Calibri"/>
          <a:ea typeface="Calibri"/>
          <a:cs typeface="Calibri"/>
        </a:defRPr>
      </a:pPr>
      <a:endParaRPr lang="sr-Latn-RS"/>
    </a:p>
  </c:txPr>
  <c:externalData r:id="rId1">
    <c:autoUpdate val="false"/>
  </c:externalData>
</c:chartSpace>
</file>

<file path=word/charts/chart3.xml><?xml version="1.0" encoding="utf-8"?>
<c:chartSpac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c:date1904 val="false"/>
  <c:lang val="hr-HR"/>
  <c:roundedCorners val="false"/>
  <c:style val="18"/>
  <c:chart>
    <c:title>
      <c:overlay val="false"/>
      <c:spPr>
        <a:noFill/>
        <a:ln w="25400">
          <a:noFill/>
        </a:ln>
      </c:spPr>
      <c:txPr>
        <a:bodyPr/>
        <a:lstStyle/>
        <a:p>
          <a:pPr>
            <a:defRPr baseline="0" strike="noStrike" u="none" i="false" b="false" sz="105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sr-Latn-RS"/>
        </a:p>
      </c:txPr>
    </c:title>
    <c:autoTitleDeleted val="false"/>
    <c:plotArea>
      <c:layout>
        <c:manualLayout>
          <c:layoutTarget val="inner"/>
          <c:xMode val="edge"/>
          <c:yMode val="edge"/>
          <c:x val="0.0733681102362205"/>
          <c:y val="0.177777777777778"/>
          <c:w val="0.918380139982502"/>
          <c:h val="0.584506415864684"/>
        </c:manualLayout>
      </c:layout>
      <c:barChart>
        <c:barDir val="col"/>
        <c:grouping val="clustered"/>
        <c:varyColors val="false"/>
        <c:ser>
          <c:idx val="0"/>
          <c:order val="0"/>
          <c:tx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tx>
          <c:spPr>
            <a:gradFill rotWithShape="false">
              <a:gsLst>
                <a:gs pos="0">
                  <a:srgbClr val="9BC1FF"/>
                </a:gs>
                <a:gs pos="100000">
                  <a:srgbClr val="3F80CD"/>
                </a:gs>
              </a:gsLst>
              <a:lin ang="5400000"/>
            </a:gradFill>
            <a:ln w="25400">
              <a:noFill/>
            </a:ln>
            <a:effectLst>
              <a:outerShdw algn="br" dir="2700000" dist="35921">
                <a:srgbClr val="000000"/>
              </a:outerShdw>
            </a:effectLst>
          </c:spPr>
          <c:invertIfNegative val="false"/>
          <c:dLbls>
            <c:spPr>
              <a:noFill/>
              <a:ln w="25400">
                <a:noFill/>
              </a:ln>
            </c:spPr>
            <c:txPr>
              <a:bodyPr anchor="ctr" bIns="19050" rIns="38100" tIns="19050" lIns="38100" wrap="square">
                <a:spAutoFit/>
              </a:bodyPr>
              <a:lstStyle/>
              <a:p>
                <a:pPr>
                  <a:defRPr baseline="0" strike="noStrike" u="none" i="false" b="false" sz="100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sr-Latn-RS"/>
              </a:p>
            </c:txPr>
            <c:showLegendKey val="false"/>
            <c:showVal val="true"/>
            <c:showCatName val="false"/>
            <c:showSerName val="false"/>
            <c:showPercent val="false"/>
            <c:showBubbleSize val="false"/>
            <c:showLeaderLines val="false"/>
            <c:extLst>
              <c:ext uri="{CE6537A1-D6FC-4f65-9D91-7224C49458BB}">
                <c15:showLeaderLines xmlns:c15="http://schemas.microsoft.com/office/drawing/2012/chart" xmlns:c16r2="http://schemas.microsoft.com/office/drawing/2015/06/chart" val="0"/>
              </c:ext>
            </c:extLst>
          </c:dLbls>
          <c:trendline>
            <c:spPr>
              <a:ln w="3175">
                <a:solidFill>
                  <a:srgbClr val="000000"/>
                </a:solidFill>
                <a:prstDash val="solid"/>
              </a:ln>
            </c:spPr>
            <c:trendlineType val="linear"/>
            <c:dispRSqr val="false"/>
            <c:dispEq val="false"/>
          </c:trendline>
          <c:cat>
            <c:strRef>
              <c:f>Sažetak!$B$17:$G$17</c:f>
              <c:strCache>
                <c:ptCount val="6"/>
                <c:pt idx="0">
                  <c:v>2016.</c:v>
                </c:pt>
                <c:pt idx="1">
                  <c:v>2017.</c:v>
                </c:pt>
                <c:pt idx="2">
                  <c:v>2018.</c:v>
                </c:pt>
                <c:pt idx="3">
                  <c:v>2019.</c:v>
                </c:pt>
                <c:pt idx="4">
                  <c:v>2020.</c:v>
                </c:pt>
                <c:pt idx="5">
                  <c:v>2021.</c:v>
                </c:pt>
              </c:strCache>
            </c:strRef>
          </c:cat>
          <c:val>
            <c:numRef>
              <c:f>Sažetak!$B$18:$G$18</c:f>
              <c:numCache>
                <c:formatCode>#,##0</c:formatCode>
                <c:ptCount val="6"/>
                <c:pt idx="0">
                  <c:v>3</c:v>
                </c:pt>
                <c:pt idx="1">
                  <c:v>6</c:v>
                </c:pt>
                <c:pt idx="2">
                  <c:v>6</c:v>
                </c:pt>
                <c:pt idx="3">
                  <c:v>8</c:v>
                </c:pt>
                <c:pt idx="4">
                  <c:v>8</c:v>
                </c:pt>
                <c:pt formatCode="General" idx="5">
                  <c:v>8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0-D867-448E-8D5D-5DD9B410E84F}"/>
            </c:ext>
          </c:extLst>
        </c:ser>
        <c:dLbls>
          <c:showLegendKey val="false"/>
          <c:showVal val="false"/>
          <c:showCatName val="false"/>
          <c:showSerName val="false"/>
          <c:showPercent val="false"/>
          <c:showBubbleSize val="false"/>
        </c:dLbls>
        <c:gapWidth val="150"/>
        <c:axId val="119181696"/>
        <c:axId val="119183232"/>
      </c:barChart>
      <c:catAx>
        <c:axId val="119181696"/>
        <c:scaling>
          <c:orientation val="minMax"/>
        </c:scaling>
        <c:delete val="false"/>
        <c:axPos val="b"/>
        <c:numFmt sourceLinked="true" formatCode="General"/>
        <c:majorTickMark val="out"/>
        <c:minorTickMark val="none"/>
        <c:tickLblPos val="nextTo"/>
        <c:spPr>
          <a:ln w="3175">
            <a:solidFill>
              <a:srgbClr val="808080"/>
            </a:solidFill>
            <a:prstDash val="solid"/>
          </a:ln>
        </c:spPr>
        <c:txPr>
          <a:bodyPr vert="horz" rot="0"/>
          <a:lstStyle/>
          <a:p>
            <a:pPr>
              <a:defRPr baseline="0" strike="noStrike" u="none" i="false" b="false" sz="100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sr-Latn-RS"/>
          </a:p>
        </c:txPr>
        <c:crossAx val="119183232"/>
        <c:crosses val="autoZero"/>
        <c:auto val="true"/>
        <c:lblAlgn val="ctr"/>
        <c:lblOffset val="100"/>
        <c:noMultiLvlLbl val="false"/>
      </c:catAx>
      <c:valAx>
        <c:axId val="119183232"/>
        <c:scaling>
          <c:orientation val="minMax"/>
        </c:scaling>
        <c:delete val="false"/>
        <c:axPos val="l"/>
        <c:majorGridlines>
          <c:spPr>
            <a:ln w="3175">
              <a:solidFill>
                <a:srgbClr val="808080"/>
              </a:solidFill>
              <a:prstDash val="solid"/>
            </a:ln>
          </c:spPr>
        </c:majorGridlines>
        <c:numFmt sourceLinked="true" formatCode="#,##0"/>
        <c:majorTickMark val="out"/>
        <c:minorTickMark val="none"/>
        <c:tickLblPos val="nextTo"/>
        <c:spPr>
          <a:ln w="3175">
            <a:solidFill>
              <a:srgbClr val="808080"/>
            </a:solidFill>
            <a:prstDash val="solid"/>
          </a:ln>
        </c:spPr>
        <c:txPr>
          <a:bodyPr vert="horz" rot="0"/>
          <a:lstStyle/>
          <a:p>
            <a:pPr>
              <a:defRPr baseline="0" strike="noStrike" u="none" i="false" b="false" sz="100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sr-Latn-RS"/>
          </a:p>
        </c:txPr>
        <c:crossAx val="119181696"/>
        <c:crosses val="autoZero"/>
        <c:crossBetween val="between"/>
      </c:valAx>
      <c:spPr>
        <a:solidFill>
          <a:srgbClr val="FFFFFF"/>
        </a:solidFill>
        <a:ln w="25400">
          <a:noFill/>
        </a:ln>
      </c:spPr>
    </c:plotArea>
    <c:legend>
      <c:legendPos val="r"/>
      <c:layout>
        <c:manualLayout>
          <c:xMode val="edge"/>
          <c:yMode val="edge"/>
          <c:x val="0.10284466086476"/>
          <c:y val="0.845793185804381"/>
          <c:w val="0.770240364691256"/>
          <c:h val="0.116822405493152"/>
        </c:manualLayout>
      </c:layout>
      <c:overlay val="false"/>
      <c:spPr>
        <a:noFill/>
        <a:ln w="25400">
          <a:noFill/>
        </a:ln>
      </c:spPr>
      <c:txPr>
        <a:bodyPr/>
        <a:lstStyle/>
        <a:p>
          <a:pPr>
            <a:defRPr baseline="0" strike="noStrike" u="none" i="false" b="false" sz="825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sr-Latn-RS"/>
        </a:p>
      </c:txPr>
    </c:legend>
    <c:plotVisOnly val="true"/>
    <c:dispBlanksAs val="gap"/>
    <c:showDLblsOverMax val="false"/>
  </c:chart>
  <c:spPr>
    <a:solidFill>
      <a:srgbClr val="FFFFFF"/>
    </a:solidFill>
    <a:ln w="9525">
      <a:noFill/>
    </a:ln>
  </c:spPr>
  <c:txPr>
    <a:bodyPr/>
    <a:lstStyle/>
    <a:p>
      <a:pPr>
        <a:defRPr baseline="0" strike="noStrike" u="none" i="false" b="false" sz="1000">
          <a:solidFill>
            <a:srgbClr val="000000"/>
          </a:solidFill>
          <a:latin typeface="Calibri"/>
          <a:ea typeface="Calibri"/>
          <a:cs typeface="Calibri"/>
        </a:defRPr>
      </a:pPr>
      <a:endParaRPr lang="sr-Latn-RS"/>
    </a:p>
  </c:txPr>
  <c:externalData r:id="rId1">
    <c:autoUpdate val="false"/>
  </c:externalData>
</c:chartSpace>
</file>

<file path=word/charts/chart4.xml><?xml version="1.0" encoding="utf-8"?>
<c:chartSpac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c:date1904 val="false"/>
  <c:lang val="hr-HR"/>
  <c:roundedCorners val="false"/>
  <c:style val="18"/>
  <c:chart>
    <c:title>
      <c:tx>
        <c:rich>
          <a:bodyPr/>
          <a:lstStyle/>
          <a:p>
            <a:pPr>
              <a:defRPr baseline="0" strike="noStrike" u="none" i="false" b="false" sz="120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r>
              <a:rPr lang="en-US"/>
              <a:t>Analiza poslovanja 2011.-2016.</a:t>
            </a:r>
          </a:p>
        </c:rich>
      </c:tx>
      <c:overlay val="false"/>
      <c:spPr>
        <a:noFill/>
        <a:ln w="25400">
          <a:noFill/>
        </a:ln>
      </c:spPr>
    </c:title>
    <c:autoTitleDeleted val="false"/>
    <c:plotArea>
      <c:layout>
        <c:manualLayout>
          <c:layoutTarget val="inner"/>
          <c:xMode val="edge"/>
          <c:yMode val="edge"/>
          <c:x val="0.108707987634096"/>
          <c:y val="0.143531211177654"/>
          <c:w val="0.861640596099984"/>
          <c:h val="0.589237214913353"/>
        </c:manualLayout>
      </c:layout>
      <c:barChart>
        <c:barDir val="col"/>
        <c:grouping val="clustered"/>
        <c:varyColors val="false"/>
        <c:ser>
          <c:idx val="0"/>
          <c:order val="0"/>
          <c:tx>
            <c:strRef>
              <c:f>Sažetak!$A$4</c:f>
              <c:strCache>
                <c:ptCount val="1"/>
                <c:pt idx="0">
                  <c:v>Ukupni prihodi (u kn)</c:v>
                </c:pt>
              </c:strCache>
            </c:strRef>
          </c:tx>
          <c:spPr>
            <a:gradFill rotWithShape="false">
              <a:gsLst>
                <a:gs pos="0">
                  <a:srgbClr val="A2BFF8"/>
                </a:gs>
                <a:gs pos="100000">
                  <a:srgbClr val="3670B6"/>
                </a:gs>
              </a:gsLst>
              <a:lin ang="5400000"/>
            </a:gradFill>
            <a:ln w="25400">
              <a:noFill/>
            </a:ln>
            <a:effectLst>
              <a:outerShdw algn="br" dir="2700000" dist="35921">
                <a:srgbClr val="000000"/>
              </a:outerShdw>
            </a:effectLst>
          </c:spPr>
          <c:invertIfNegative val="false"/>
          <c:cat>
            <c:strRef>
              <c:f>Sažetak!$B$1:$G$1</c:f>
              <c:strCache>
                <c:ptCount val="6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  <c:pt idx="5">
                  <c:v>31.8.16.</c:v>
                </c:pt>
              </c:strCache>
            </c:strRef>
          </c:cat>
          <c:val>
            <c:numRef>
              <c:f>Sažetak!$B$4:$G$4</c:f>
              <c:numCache>
                <c:formatCode>#,##0</c:formatCode>
                <c:ptCount val="6"/>
                <c:pt idx="0">
                  <c:v>10970770</c:v>
                </c:pt>
                <c:pt idx="1">
                  <c:v>9056428</c:v>
                </c:pt>
                <c:pt idx="2">
                  <c:v>7344266</c:v>
                </c:pt>
                <c:pt idx="3">
                  <c:v>6351183</c:v>
                </c:pt>
                <c:pt idx="4">
                  <c:v>4037269</c:v>
                </c:pt>
                <c:pt idx="5">
                  <c:v>1423348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0-27E6-4E36-BC4A-4B69642FF4ED}"/>
            </c:ext>
          </c:extLst>
        </c:ser>
        <c:ser>
          <c:idx val="1"/>
          <c:order val="1"/>
          <c:tx>
            <c:strRef>
              <c:f>Sažetak!$A$5</c:f>
              <c:strCache>
                <c:ptCount val="1"/>
                <c:pt idx="0">
                  <c:v>Ukupni rashodi (u kn)</c:v>
                </c:pt>
              </c:strCache>
            </c:strRef>
          </c:tx>
          <c:spPr>
            <a:gradFill rotWithShape="false">
              <a:gsLst>
                <a:gs pos="0">
                  <a:srgbClr val="FAA1A0"/>
                </a:gs>
                <a:gs pos="100000">
                  <a:srgbClr val="B93734"/>
                </a:gs>
              </a:gsLst>
              <a:lin ang="5400000"/>
            </a:gradFill>
            <a:ln w="25400">
              <a:noFill/>
            </a:ln>
            <a:effectLst>
              <a:outerShdw algn="br" dir="2700000" dist="35921">
                <a:srgbClr val="000000"/>
              </a:outerShdw>
            </a:effectLst>
          </c:spPr>
          <c:invertIfNegative val="false"/>
          <c:cat>
            <c:strRef>
              <c:f>Sažetak!$B$1:$G$1</c:f>
              <c:strCache>
                <c:ptCount val="6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  <c:pt idx="5">
                  <c:v>31.8.16.</c:v>
                </c:pt>
              </c:strCache>
            </c:strRef>
          </c:cat>
          <c:val>
            <c:numRef>
              <c:f>Sažetak!$B$5:$G$5</c:f>
              <c:numCache>
                <c:formatCode>#,##0</c:formatCode>
                <c:ptCount val="6"/>
                <c:pt idx="0">
                  <c:v>10932765</c:v>
                </c:pt>
                <c:pt idx="1">
                  <c:v>8964260</c:v>
                </c:pt>
                <c:pt idx="2">
                  <c:v>7319207</c:v>
                </c:pt>
                <c:pt idx="3">
                  <c:v>6320336</c:v>
                </c:pt>
                <c:pt idx="4">
                  <c:v>5143860</c:v>
                </c:pt>
                <c:pt idx="5">
                  <c:v>1661097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1-27E6-4E36-BC4A-4B69642FF4ED}"/>
            </c:ext>
          </c:extLst>
        </c:ser>
        <c:ser>
          <c:idx val="2"/>
          <c:order val="2"/>
          <c:tx>
            <c:strRef>
              <c:f>Sažetak!$A$6</c:f>
              <c:strCache>
                <c:ptCount val="1"/>
                <c:pt idx="0">
                  <c:v>EBITDA (u kn)</c:v>
                </c:pt>
              </c:strCache>
            </c:strRef>
          </c:tx>
          <c:spPr>
            <a:gradFill rotWithShape="false">
              <a:gsLst>
                <a:gs pos="0">
                  <a:srgbClr val="D4F4A6"/>
                </a:gs>
                <a:gs pos="100000">
                  <a:srgbClr val="8DB241"/>
                </a:gs>
              </a:gsLst>
              <a:lin ang="5400000"/>
            </a:gradFill>
            <a:ln w="25400">
              <a:noFill/>
            </a:ln>
            <a:effectLst>
              <a:outerShdw algn="br" dir="2700000" dist="35921">
                <a:srgbClr val="000000"/>
              </a:outerShdw>
            </a:effectLst>
          </c:spPr>
          <c:invertIfNegative val="false"/>
          <c:cat>
            <c:strRef>
              <c:f>Sažetak!$B$1:$G$1</c:f>
              <c:strCache>
                <c:ptCount val="6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  <c:pt idx="5">
                  <c:v>31.8.16.</c:v>
                </c:pt>
              </c:strCache>
            </c:strRef>
          </c:cat>
          <c:val>
            <c:numRef>
              <c:f>Sažetak!$B$6:$G$6</c:f>
              <c:numCache>
                <c:formatCode>#,##0</c:formatCode>
                <c:ptCount val="6"/>
                <c:pt idx="0">
                  <c:v>700512</c:v>
                </c:pt>
                <c:pt idx="1">
                  <c:v>723643</c:v>
                </c:pt>
                <c:pt idx="2">
                  <c:v>525881</c:v>
                </c:pt>
                <c:pt idx="3">
                  <c:v>459616</c:v>
                </c:pt>
                <c:pt idx="4">
                  <c:v>-723704</c:v>
                </c:pt>
                <c:pt idx="5">
                  <c:v>-98812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2-27E6-4E36-BC4A-4B69642FF4ED}"/>
            </c:ext>
          </c:extLst>
        </c:ser>
        <c:ser>
          <c:idx val="3"/>
          <c:order val="3"/>
          <c:tx>
            <c:strRef>
              <c:f>Sažetak!$A$7</c:f>
              <c:strCache>
                <c:ptCount val="1"/>
                <c:pt idx="0">
                  <c:v>EBIT (u kn)</c:v>
                </c:pt>
              </c:strCache>
            </c:strRef>
          </c:tx>
          <c:spPr>
            <a:gradFill rotWithShape="false">
              <a:gsLst>
                <a:gs pos="0">
                  <a:srgbClr val="C5B3E2"/>
                </a:gs>
                <a:gs pos="100000">
                  <a:srgbClr val="704F97"/>
                </a:gs>
              </a:gsLst>
              <a:lin ang="5400000"/>
            </a:gradFill>
            <a:ln w="25400">
              <a:noFill/>
            </a:ln>
            <a:effectLst>
              <a:outerShdw algn="br" dir="2700000" dist="35921">
                <a:srgbClr val="000000"/>
              </a:outerShdw>
            </a:effectLst>
          </c:spPr>
          <c:invertIfNegative val="false"/>
          <c:cat>
            <c:strRef>
              <c:f>Sažetak!$B$1:$G$1</c:f>
              <c:strCache>
                <c:ptCount val="6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  <c:pt idx="5">
                  <c:v>31.8.16.</c:v>
                </c:pt>
              </c:strCache>
            </c:strRef>
          </c:cat>
          <c:val>
            <c:numRef>
              <c:f>Sažetak!$B$7:$G$7</c:f>
              <c:numCache>
                <c:formatCode>#,##0</c:formatCode>
                <c:ptCount val="6"/>
                <c:pt idx="0">
                  <c:v>496421</c:v>
                </c:pt>
                <c:pt idx="1">
                  <c:v>532475</c:v>
                </c:pt>
                <c:pt idx="2">
                  <c:v>345929</c:v>
                </c:pt>
                <c:pt idx="3">
                  <c:v>299983</c:v>
                </c:pt>
                <c:pt idx="4">
                  <c:v>-877610</c:v>
                </c:pt>
                <c:pt idx="5">
                  <c:v>-185806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3-27E6-4E36-BC4A-4B69642FF4ED}"/>
            </c:ext>
          </c:extLst>
        </c:ser>
        <c:ser>
          <c:idx val="4"/>
          <c:order val="4"/>
          <c:tx>
            <c:strRef>
              <c:f>Sažetak!$A$8</c:f>
              <c:strCache>
                <c:ptCount val="1"/>
                <c:pt idx="0">
                  <c:v>EBT (Bruto dobit) (u kn)</c:v>
                </c:pt>
              </c:strCache>
            </c:strRef>
          </c:tx>
          <c:spPr>
            <a:gradFill rotWithShape="false">
              <a:gsLst>
                <a:gs pos="0">
                  <a:srgbClr val="9DE2FF"/>
                </a:gs>
                <a:gs pos="100000">
                  <a:srgbClr val="31A1C0"/>
                </a:gs>
              </a:gsLst>
              <a:lin ang="5400000"/>
            </a:gradFill>
            <a:ln w="25400">
              <a:noFill/>
            </a:ln>
            <a:effectLst>
              <a:outerShdw algn="br" dir="2700000" dist="35921">
                <a:srgbClr val="000000"/>
              </a:outerShdw>
            </a:effectLst>
          </c:spPr>
          <c:invertIfNegative val="false"/>
          <c:cat>
            <c:strRef>
              <c:f>Sažetak!$B$1:$G$1</c:f>
              <c:strCache>
                <c:ptCount val="6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  <c:pt idx="5">
                  <c:v>31.8.16.</c:v>
                </c:pt>
              </c:strCache>
            </c:strRef>
          </c:cat>
          <c:val>
            <c:numRef>
              <c:f>Sažetak!$B$8:$G$8</c:f>
              <c:numCache>
                <c:formatCode>#,##0</c:formatCode>
                <c:ptCount val="6"/>
                <c:pt idx="0">
                  <c:v>38005</c:v>
                </c:pt>
                <c:pt idx="1">
                  <c:v>92168</c:v>
                </c:pt>
                <c:pt idx="2">
                  <c:v>25059</c:v>
                </c:pt>
                <c:pt idx="3">
                  <c:v>30847</c:v>
                </c:pt>
                <c:pt idx="4">
                  <c:v>-1106591</c:v>
                </c:pt>
                <c:pt idx="5">
                  <c:v>-237749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4-27E6-4E36-BC4A-4B69642FF4ED}"/>
            </c:ext>
          </c:extLst>
        </c:ser>
        <c:ser>
          <c:idx val="5"/>
          <c:order val="5"/>
          <c:tx>
            <c:strRef>
              <c:f>Sažetak!$A$10</c:f>
              <c:strCache>
                <c:ptCount val="1"/>
                <c:pt idx="0">
                  <c:v>Dobit nakon oporezivanja (Neto dobit) (u kn)</c:v>
                </c:pt>
              </c:strCache>
            </c:strRef>
          </c:tx>
          <c:spPr>
            <a:gradFill rotWithShape="false">
              <a:gsLst>
                <a:gs pos="0">
                  <a:srgbClr val="FFB885"/>
                </a:gs>
                <a:gs pos="100000">
                  <a:srgbClr val="F28225"/>
                </a:gs>
              </a:gsLst>
              <a:lin ang="5400000"/>
            </a:gradFill>
            <a:ln w="25400">
              <a:noFill/>
            </a:ln>
            <a:effectLst>
              <a:outerShdw algn="br" dir="2700000" dist="35921">
                <a:srgbClr val="000000"/>
              </a:outerShdw>
            </a:effectLst>
          </c:spPr>
          <c:invertIfNegative val="false"/>
          <c:cat>
            <c:strRef>
              <c:f>Sažetak!$B$1:$G$1</c:f>
              <c:strCache>
                <c:ptCount val="6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  <c:pt idx="5">
                  <c:v>31.8.16.</c:v>
                </c:pt>
              </c:strCache>
            </c:strRef>
          </c:cat>
          <c:val>
            <c:numRef>
              <c:f>Sažetak!$B$10:$G$10</c:f>
              <c:numCache>
                <c:formatCode>#,##0</c:formatCode>
                <c:ptCount val="6"/>
                <c:pt idx="0">
                  <c:v>21451</c:v>
                </c:pt>
                <c:pt idx="1">
                  <c:v>67899</c:v>
                </c:pt>
                <c:pt idx="2">
                  <c:v>15298</c:v>
                </c:pt>
                <c:pt idx="3">
                  <c:v>18747</c:v>
                </c:pt>
                <c:pt idx="4">
                  <c:v>-1106591</c:v>
                </c:pt>
                <c:pt idx="5">
                  <c:v>-237749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5-27E6-4E36-BC4A-4B69642FF4ED}"/>
            </c:ext>
          </c:extLst>
        </c:ser>
        <c:dLbls>
          <c:showLegendKey val="false"/>
          <c:showVal val="false"/>
          <c:showCatName val="false"/>
          <c:showSerName val="false"/>
          <c:showPercent val="false"/>
          <c:showBubbleSize val="false"/>
        </c:dLbls>
        <c:gapWidth val="150"/>
        <c:axId val="129619072"/>
        <c:axId val="129620608"/>
      </c:barChart>
      <c:catAx>
        <c:axId val="129619072"/>
        <c:scaling>
          <c:orientation val="minMax"/>
        </c:scaling>
        <c:delete val="false"/>
        <c:axPos val="b"/>
        <c:numFmt sourceLinked="true" formatCode="General"/>
        <c:majorTickMark val="out"/>
        <c:minorTickMark val="none"/>
        <c:tickLblPos val="nextTo"/>
        <c:spPr>
          <a:ln w="3175">
            <a:solidFill>
              <a:srgbClr val="808080"/>
            </a:solidFill>
            <a:prstDash val="solid"/>
          </a:ln>
        </c:spPr>
        <c:txPr>
          <a:bodyPr vert="horz" rot="0"/>
          <a:lstStyle/>
          <a:p>
            <a:pPr>
              <a:defRPr baseline="0" strike="noStrike" u="none" i="false" b="false" sz="100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sr-Latn-RS"/>
          </a:p>
        </c:txPr>
        <c:crossAx val="129620608"/>
        <c:crosses val="autoZero"/>
        <c:auto val="true"/>
        <c:lblAlgn val="ctr"/>
        <c:lblOffset val="100"/>
        <c:noMultiLvlLbl val="false"/>
      </c:catAx>
      <c:valAx>
        <c:axId val="129620608"/>
        <c:scaling>
          <c:orientation val="minMax"/>
        </c:scaling>
        <c:delete val="false"/>
        <c:axPos val="l"/>
        <c:majorGridlines>
          <c:spPr>
            <a:ln w="3175">
              <a:solidFill>
                <a:srgbClr val="808080"/>
              </a:solidFill>
              <a:prstDash val="solid"/>
            </a:ln>
          </c:spPr>
        </c:majorGridlines>
        <c:numFmt sourceLinked="true" formatCode="#,##0"/>
        <c:majorTickMark val="out"/>
        <c:minorTickMark val="none"/>
        <c:tickLblPos val="nextTo"/>
        <c:spPr>
          <a:ln w="3175">
            <a:solidFill>
              <a:srgbClr val="808080"/>
            </a:solidFill>
            <a:prstDash val="solid"/>
          </a:ln>
        </c:spPr>
        <c:txPr>
          <a:bodyPr vert="horz" rot="0"/>
          <a:lstStyle/>
          <a:p>
            <a:pPr>
              <a:defRPr baseline="0" strike="noStrike" u="none" i="false" b="false" sz="100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sr-Latn-RS"/>
          </a:p>
        </c:txPr>
        <c:crossAx val="129619072"/>
        <c:crosses val="autoZero"/>
        <c:crossBetween val="between"/>
      </c:valAx>
      <c:spPr>
        <a:solidFill>
          <a:srgbClr val="FFFFFF"/>
        </a:solidFill>
        <a:ln w="25400">
          <a:noFill/>
        </a:ln>
      </c:spPr>
    </c:plotArea>
    <c:legend>
      <c:legendPos val="r"/>
      <c:layout>
        <c:manualLayout>
          <c:xMode val="edge"/>
          <c:yMode val="edge"/>
          <c:x val="0.0327272109121075"/>
          <c:y val="0.790209113205112"/>
          <c:w val="0.84727346905471"/>
          <c:h val="0.17832141474119"/>
        </c:manualLayout>
      </c:layout>
      <c:overlay val="false"/>
      <c:spPr>
        <a:noFill/>
        <a:ln w="25400">
          <a:noFill/>
        </a:ln>
      </c:spPr>
      <c:txPr>
        <a:bodyPr/>
        <a:lstStyle/>
        <a:p>
          <a:pPr>
            <a:defRPr baseline="0" strike="noStrike" u="none" i="false" b="false" sz="825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sr-Latn-RS"/>
        </a:p>
      </c:txPr>
    </c:legend>
    <c:plotVisOnly val="true"/>
    <c:dispBlanksAs val="gap"/>
    <c:showDLblsOverMax val="false"/>
  </c:chart>
  <c:spPr>
    <a:solidFill>
      <a:srgbClr val="FFFFFF"/>
    </a:solidFill>
    <a:ln w="9525">
      <a:noFill/>
    </a:ln>
  </c:spPr>
  <c:txPr>
    <a:bodyPr/>
    <a:lstStyle/>
    <a:p>
      <a:pPr>
        <a:defRPr baseline="0" strike="noStrike" u="none" i="false" b="false" sz="1000">
          <a:solidFill>
            <a:srgbClr val="000000"/>
          </a:solidFill>
          <a:latin typeface="Calibri"/>
          <a:ea typeface="Calibri"/>
          <a:cs typeface="Calibri"/>
        </a:defRPr>
      </a:pPr>
      <a:endParaRPr lang="sr-Latn-RS"/>
    </a:p>
  </c:txPr>
  <c:externalData r:id="rId1">
    <c:autoUpdate val="false"/>
  </c:externalData>
</c:chartSpace>
</file>

<file path=word/charts/chart5.xml><?xml version="1.0" encoding="utf-8"?>
<c:chartSpac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c:date1904 val="false"/>
  <c:lang val="hr-HR"/>
  <c:roundedCorners val="false"/>
  <c:style val="18"/>
  <c:chart>
    <c:title>
      <c:tx>
        <c:rich>
          <a:bodyPr/>
          <a:lstStyle/>
          <a:p>
            <a:pPr>
              <a:defRPr baseline="0" strike="noStrike" u="none" i="false" b="false" sz="120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r>
              <a:rPr lang="en-US"/>
              <a:t>Analiza potraživanja i obveza</a:t>
            </a:r>
          </a:p>
        </c:rich>
      </c:tx>
      <c:overlay val="false"/>
      <c:spPr>
        <a:noFill/>
        <a:ln w="25400">
          <a:noFill/>
        </a:ln>
      </c:spPr>
    </c:title>
    <c:autoTitleDeleted val="false"/>
    <c:plotArea>
      <c:layout>
        <c:manualLayout>
          <c:layoutTarget val="inner"/>
          <c:xMode val="edge"/>
          <c:yMode val="edge"/>
          <c:x val="0.157786526684164"/>
          <c:y val="0.159556821505621"/>
          <c:w val="0.829724190726159"/>
          <c:h val="0.562639990106221"/>
        </c:manualLayout>
      </c:layout>
      <c:barChart>
        <c:barDir val="col"/>
        <c:grouping val="clustered"/>
        <c:varyColors val="false"/>
        <c:ser>
          <c:idx val="0"/>
          <c:order val="0"/>
          <c:tx>
            <c:strRef>
              <c:f>Sažetak!$A$15</c:f>
              <c:strCache>
                <c:ptCount val="1"/>
                <c:pt idx="0">
                  <c:v>Potraživanja od kupaca (u kn)</c:v>
                </c:pt>
              </c:strCache>
            </c:strRef>
          </c:tx>
          <c:spPr>
            <a:gradFill rotWithShape="false">
              <a:gsLst>
                <a:gs pos="0">
                  <a:srgbClr val="9BC1FF"/>
                </a:gs>
                <a:gs pos="100000">
                  <a:srgbClr val="3F80CD"/>
                </a:gs>
              </a:gsLst>
              <a:lin ang="5400000"/>
            </a:gradFill>
            <a:ln w="25400">
              <a:noFill/>
            </a:ln>
            <a:effectLst>
              <a:outerShdw algn="br" dir="2700000" dist="35921">
                <a:srgbClr val="000000"/>
              </a:outerShdw>
            </a:effectLst>
          </c:spPr>
          <c:invertIfNegative val="false"/>
          <c:trendline>
            <c:spPr>
              <a:ln w="3175">
                <a:solidFill>
                  <a:srgbClr val="3366FF"/>
                </a:solidFill>
                <a:prstDash val="solid"/>
              </a:ln>
            </c:spPr>
            <c:trendlineType val="linear"/>
            <c:dispRSqr val="false"/>
            <c:dispEq val="false"/>
          </c:trendline>
          <c:cat>
            <c:strRef>
              <c:f>Sažetak!$B$1:$G$1</c:f>
              <c:strCache>
                <c:ptCount val="6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  <c:pt idx="5">
                  <c:v>31.8.16.</c:v>
                </c:pt>
              </c:strCache>
            </c:strRef>
          </c:cat>
          <c:val>
            <c:numRef>
              <c:f>Sažetak!$B$15:$G$15</c:f>
              <c:numCache>
                <c:formatCode>#,##0</c:formatCode>
                <c:ptCount val="6"/>
                <c:pt idx="0">
                  <c:v>1441690</c:v>
                </c:pt>
                <c:pt idx="1">
                  <c:v>2266707</c:v>
                </c:pt>
                <c:pt idx="2">
                  <c:v>1316597</c:v>
                </c:pt>
                <c:pt idx="3">
                  <c:v>579465</c:v>
                </c:pt>
                <c:pt idx="4">
                  <c:v>666583</c:v>
                </c:pt>
                <c:pt idx="5">
                  <c:v>227619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0-33DD-487A-ACC8-6DD32FCA73C1}"/>
            </c:ext>
          </c:extLst>
        </c:ser>
        <c:ser>
          <c:idx val="1"/>
          <c:order val="1"/>
          <c:tx>
            <c:strRef>
              <c:f>Sažetak!$A$16</c:f>
              <c:strCache>
                <c:ptCount val="1"/>
                <c:pt idx="0">
                  <c:v>Obveze prema dobavljačima (u kn)</c:v>
                </c:pt>
              </c:strCache>
            </c:strRef>
          </c:tx>
          <c:spPr>
            <a:gradFill rotWithShape="false">
              <a:gsLst>
                <a:gs pos="0">
                  <a:srgbClr val="FF9A99"/>
                </a:gs>
                <a:gs pos="100000">
                  <a:srgbClr val="D1403C"/>
                </a:gs>
              </a:gsLst>
              <a:lin ang="5400000"/>
            </a:gradFill>
            <a:ln w="25400">
              <a:noFill/>
            </a:ln>
            <a:effectLst>
              <a:outerShdw algn="br" dir="2700000" dist="35921">
                <a:srgbClr val="000000"/>
              </a:outerShdw>
            </a:effectLst>
          </c:spPr>
          <c:invertIfNegative val="false"/>
          <c:trendline>
            <c:spPr>
              <a:ln w="3175">
                <a:solidFill>
                  <a:srgbClr val="DD0806"/>
                </a:solidFill>
                <a:prstDash val="solid"/>
              </a:ln>
            </c:spPr>
            <c:trendlineType val="linear"/>
            <c:dispRSqr val="false"/>
            <c:dispEq val="false"/>
          </c:trendline>
          <c:cat>
            <c:strRef>
              <c:f>Sažetak!$B$1:$G$1</c:f>
              <c:strCache>
                <c:ptCount val="6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  <c:pt idx="5">
                  <c:v>31.8.16.</c:v>
                </c:pt>
              </c:strCache>
            </c:strRef>
          </c:cat>
          <c:val>
            <c:numRef>
              <c:f>Sažetak!$B$16:$G$16</c:f>
              <c:numCache>
                <c:formatCode>#,##0</c:formatCode>
                <c:ptCount val="6"/>
                <c:pt idx="0">
                  <c:v>3237090</c:v>
                </c:pt>
                <c:pt idx="1">
                  <c:v>3802355</c:v>
                </c:pt>
                <c:pt idx="2">
                  <c:v>3275871</c:v>
                </c:pt>
                <c:pt idx="3">
                  <c:v>2032436</c:v>
                </c:pt>
                <c:pt idx="4">
                  <c:v>2222406</c:v>
                </c:pt>
                <c:pt idx="5">
                  <c:v>1445340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1-33DD-487A-ACC8-6DD32FCA73C1}"/>
            </c:ext>
          </c:extLst>
        </c:ser>
        <c:dLbls>
          <c:showLegendKey val="false"/>
          <c:showVal val="false"/>
          <c:showCatName val="false"/>
          <c:showSerName val="false"/>
          <c:showPercent val="false"/>
          <c:showBubbleSize val="false"/>
        </c:dLbls>
        <c:gapWidth val="150"/>
        <c:axId val="129657088"/>
        <c:axId val="129662976"/>
      </c:barChart>
      <c:catAx>
        <c:axId val="129657088"/>
        <c:scaling>
          <c:orientation val="minMax"/>
        </c:scaling>
        <c:delete val="false"/>
        <c:axPos val="b"/>
        <c:numFmt sourceLinked="true" formatCode="General"/>
        <c:majorTickMark val="out"/>
        <c:minorTickMark val="none"/>
        <c:tickLblPos val="nextTo"/>
        <c:spPr>
          <a:ln w="3175">
            <a:solidFill>
              <a:srgbClr val="808080"/>
            </a:solidFill>
            <a:prstDash val="solid"/>
          </a:ln>
        </c:spPr>
        <c:txPr>
          <a:bodyPr vert="horz" rot="0"/>
          <a:lstStyle/>
          <a:p>
            <a:pPr>
              <a:defRPr baseline="0" strike="noStrike" u="none" i="false" b="false" sz="100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sr-Latn-RS"/>
          </a:p>
        </c:txPr>
        <c:crossAx val="129662976"/>
        <c:crosses val="autoZero"/>
        <c:auto val="true"/>
        <c:lblAlgn val="ctr"/>
        <c:lblOffset val="100"/>
        <c:noMultiLvlLbl val="false"/>
      </c:catAx>
      <c:valAx>
        <c:axId val="129662976"/>
        <c:scaling>
          <c:orientation val="minMax"/>
        </c:scaling>
        <c:delete val="false"/>
        <c:axPos val="l"/>
        <c:majorGridlines>
          <c:spPr>
            <a:ln w="3175">
              <a:solidFill>
                <a:srgbClr val="808080"/>
              </a:solidFill>
              <a:prstDash val="solid"/>
            </a:ln>
          </c:spPr>
        </c:majorGridlines>
        <c:numFmt sourceLinked="true" formatCode="#,##0"/>
        <c:majorTickMark val="out"/>
        <c:minorTickMark val="none"/>
        <c:tickLblPos val="nextTo"/>
        <c:spPr>
          <a:ln w="3175">
            <a:solidFill>
              <a:srgbClr val="808080"/>
            </a:solidFill>
            <a:prstDash val="solid"/>
          </a:ln>
        </c:spPr>
        <c:txPr>
          <a:bodyPr vert="horz" rot="0"/>
          <a:lstStyle/>
          <a:p>
            <a:pPr>
              <a:defRPr baseline="0" strike="noStrike" u="none" i="false" b="false" sz="100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sr-Latn-RS"/>
          </a:p>
        </c:txPr>
        <c:crossAx val="129657088"/>
        <c:crosses val="autoZero"/>
        <c:crossBetween val="between"/>
      </c:valAx>
      <c:spPr>
        <a:solidFill>
          <a:srgbClr val="FFFFFF"/>
        </a:solidFill>
        <a:ln w="25400">
          <a:noFill/>
        </a:ln>
      </c:spPr>
    </c:plotArea>
    <c:legend>
      <c:legendPos val="r"/>
      <c:layout>
        <c:manualLayout>
          <c:xMode val="edge"/>
          <c:yMode val="edge"/>
          <c:x val="0.0111110627746117"/>
          <c:y val="0.885108071650406"/>
          <c:w val="0.986111715317353"/>
          <c:h val="0.102127866486809"/>
        </c:manualLayout>
      </c:layout>
      <c:overlay val="false"/>
      <c:spPr>
        <a:noFill/>
        <a:ln w="25400">
          <a:noFill/>
        </a:ln>
      </c:spPr>
      <c:txPr>
        <a:bodyPr/>
        <a:lstStyle/>
        <a:p>
          <a:pPr>
            <a:defRPr baseline="0" strike="noStrike" u="none" i="false" b="false" sz="92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sr-Latn-RS"/>
        </a:p>
      </c:txPr>
    </c:legend>
    <c:plotVisOnly val="true"/>
    <c:dispBlanksAs val="gap"/>
    <c:showDLblsOverMax val="false"/>
  </c:chart>
  <c:spPr>
    <a:solidFill>
      <a:srgbClr val="FFFFFF"/>
    </a:solidFill>
    <a:ln w="9525">
      <a:noFill/>
    </a:ln>
  </c:spPr>
  <c:txPr>
    <a:bodyPr/>
    <a:lstStyle/>
    <a:p>
      <a:pPr>
        <a:defRPr baseline="0" strike="noStrike" u="none" i="false" b="false" sz="1000">
          <a:solidFill>
            <a:srgbClr val="000000"/>
          </a:solidFill>
          <a:latin typeface="Calibri"/>
          <a:ea typeface="Calibri"/>
          <a:cs typeface="Calibri"/>
        </a:defRPr>
      </a:pPr>
      <a:endParaRPr lang="sr-Latn-RS"/>
    </a:p>
  </c:txPr>
  <c:externalData r:id="rId1">
    <c:autoUpdate val="false"/>
  </c:externalData>
</c:chartSpace>
</file>

<file path=word/charts/colors1.xml><?xml version="1.0" encoding="utf-8"?>
<cs:colorStyle xmlns:cs="http://schemas.microsoft.com/office/drawing/2012/chartStyle" xmlns:a="http://schemas.openxmlformats.org/drawingml/2006/main" id="10" meth="cycle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9">
  <cs:axisTitle>
    <cs:lnRef idx="0"/>
    <cs:fillRef idx="0"/>
    <cs:effectRef idx="0"/>
    <cs:fontRef idx="minor">
      <a:schemeClr val="tx1">
        <a:lumMod val="65000"/>
        <a:lumOff val="35000"/>
      </a:schemeClr>
    </cs:fontRef>
    <cs:defRPr cap="all" kern="1200" sz="1197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kern="1200" sz="1197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algn="ctr" cap="flat" cmpd="sng" w="9525">
        <a:solidFill>
          <a:schemeClr val="tx1">
            <a:lumMod val="15000"/>
            <a:lumOff val="85000"/>
          </a:schemeClr>
        </a:solidFill>
        <a:round/>
      </a:ln>
    </cs:spPr>
    <cs:defRPr kern="1200" sz="1330"/>
  </cs:chartArea>
  <cs:dataLabel>
    <cs:lnRef idx="0"/>
    <cs:fillRef idx="0"/>
    <cs:effectRef idx="0"/>
    <cs:fontRef idx="minor">
      <cs:styleClr val="auto"/>
    </cs:fontRef>
    <cs:defRPr b="1" baseline="0" i="0" kern="1200" spc="0" strike="noStrike" sz="1330" u="none"/>
  </cs:dataLabel>
  <cs:dataLabelCallout>
    <cs:lnRef idx="0">
      <cs:styleClr val="auto"/>
    </cs:lnRef>
    <cs:fillRef idx="0"/>
    <cs:effectRef idx="0"/>
    <cs:fontRef idx="minor">
      <cs:styleClr val="auto"/>
    </cs:fontRef>
    <cs:spPr>
      <a:solidFill>
        <a:schemeClr val="lt1"/>
      </a:solidFill>
      <a:ln>
        <a:solidFill>
          <a:schemeClr val="phClr"/>
        </a:solidFill>
      </a:ln>
    </cs:spPr>
    <cs:defRPr b="1" kern="1200" sz="1330"/>
    <cs:bodyPr anchor="ctr" anchorCtr="1" bIns="18288" horzOverflow="clip" lIns="36576" rIns="36576" rot="0" spcFirstLastPara="1" tIns="18288" vert="horz" vertOverflow="clip" wrap="square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algn="ctr" blurRad="63500" rotWithShape="0" sx="102000" sy="10200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algn="ctr" blurRad="88900" rotWithShape="0" sx="102000" sy="102000">
          <a:prstClr val="black">
            <a:alpha val="10000"/>
          </a:prstClr>
        </a:outerShdw>
      </a:effectLst>
      <a:scene3d>
        <a:camera prst="orthographicFront"/>
        <a:lightRig dir="t" rig="threePt"/>
      </a:scene3d>
      <a:sp3d>
        <a:bevelT h="127000" w="127000"/>
        <a:bevelB h="127000" w="127000"/>
      </a:sp3d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cap="rnd" w="28575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ize="6" symbol="circle"/>
  <cs:dataPointWireframe>
    <cs:lnRef idx="0">
      <cs:styleClr val="auto"/>
    </cs:lnRef>
    <cs:fillRef idx="0"/>
    <cs:effectRef idx="0"/>
    <cs:fontRef idx="minor">
      <a:schemeClr val="dk1"/>
    </cs:fontRef>
    <cs:spPr>
      <a:ln cap="rnd" w="9525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algn="ctr" cap="flat" cmpd="sng" w="9525">
        <a:solidFill>
          <a:schemeClr val="tx1">
            <a:lumMod val="15000"/>
            <a:lumOff val="85000"/>
          </a:schemeClr>
        </a:solidFill>
        <a:round/>
      </a:ln>
    </cs:spPr>
    <cs:defRPr kern="1200" sz="1197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algn="ctr" cap="flat" cmpd="sng" w="9525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algn="ctr" cap="flat" cmpd="sng" w="9525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algn="ctr" cap="flat" cmpd="sng" w="9525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algn="ctr" cap="flat" cmpd="sng" w="9525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algn="ctr" cap="flat" cmpd="sng" w="9525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algn="ctr" cap="flat" cmpd="sng" w="9525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algn="ctr" cap="flat" cmpd="sng" w="9525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kern="1200" sz="1197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kern="1200" sz="1197"/>
  </cs:seriesAxis>
  <cs:seriesLine>
    <cs:lnRef idx="0"/>
    <cs:fillRef idx="0"/>
    <cs:effectRef idx="0"/>
    <cs:fontRef idx="minor">
      <a:schemeClr val="tx1"/>
    </cs:fontRef>
    <cs:spPr>
      <a:ln algn="ctr" cap="flat" cmpd="sng"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b="1" baseline="0" cap="all" kern="1200" sz="2128"/>
  </cs:title>
  <cs:trendline>
    <cs:lnRef idx="0">
      <cs:styleClr val="auto"/>
    </cs:lnRef>
    <cs:fillRef idx="0"/>
    <cs:effectRef idx="0"/>
    <cs:fontRef idx="minor">
      <a:schemeClr val="tx1"/>
    </cs:fontRef>
    <cs:spPr>
      <a:ln cap="rnd" w="19050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kern="1200" sz="1197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algn="ctr" cap="flat" cmpd="sng" w="9525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kern="1200" sz="1197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iagrams/colors1.xml><?xml version="1.0" encoding="utf-8"?>
<dgm:colorsDef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uniqueId="urn:microsoft.com/office/officeart/2005/8/colors/accent1_4">
  <dgm:title val=""/>
  <dgm:desc val=""/>
  <dgm:catLst>
    <dgm:cat pri="11400" type="accent1"/>
  </dgm:catLst>
  <dgm:styleLbl name="node0">
    <dgm:fillClrLst meth="cycle">
      <a:schemeClr val="accent1">
        <a:shade val="6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cycle">
      <a:schemeClr val="accent1">
        <a:shade val="50000"/>
      </a:schemeClr>
      <a:schemeClr val="accent1">
        <a:tint val="55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cycle">
      <a:schemeClr val="accent1">
        <a:shade val="50000"/>
      </a:schemeClr>
      <a:schemeClr val="accent1">
        <a:tint val="55000"/>
      </a:schemeClr>
    </dgm:fillClrLst>
    <dgm:linClrLst meth="cycle">
      <a:schemeClr val="accent1">
        <a:shade val="50000"/>
      </a:schemeClr>
      <a:schemeClr val="accent1">
        <a:tint val="55000"/>
      </a:schemeClr>
    </dgm:linClrLst>
    <dgm:effectClrLst/>
    <dgm:txLinClrLst/>
    <dgm:txFillClrLst/>
    <dgm:txEffectClrLst/>
  </dgm:styleLbl>
  <dgm:styleLbl name="lnNode1">
    <dgm:fillClrLst meth="cycle">
      <a:schemeClr val="accent1">
        <a:shade val="50000"/>
      </a:schemeClr>
      <a:schemeClr val="accent1">
        <a:tint val="55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cycle">
      <a:schemeClr val="accent1">
        <a:shade val="80000"/>
        <a:alpha val="50000"/>
      </a:schemeClr>
      <a:schemeClr val="accent1">
        <a:tint val="5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1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1">
        <a:tint val="50000"/>
      </a:schemeClr>
      <a:schemeClr val="accent1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cycle">
      <a:schemeClr val="accent1">
        <a:shade val="90000"/>
      </a:schemeClr>
      <a:schemeClr val="accent1">
        <a:tint val="50000"/>
      </a:schemeClr>
    </dgm:fillClrLst>
    <dgm:linClrLst meth="cycle"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fgSibTrans2D1">
    <dgm:fillClrLst meth="cycle">
      <a:schemeClr val="accent1">
        <a:shade val="90000"/>
      </a:schemeClr>
      <a:schemeClr val="accent1">
        <a:tint val="50000"/>
      </a:schemeClr>
    </dgm:fillClrLst>
    <dgm:linClrLst meth="cycle"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bgSibTrans2D1">
    <dgm:fillClrLst meth="cycle">
      <a:schemeClr val="accent1">
        <a:shade val="90000"/>
      </a:schemeClr>
      <a:schemeClr val="accent1">
        <a:tint val="50000"/>
      </a:schemeClr>
    </dgm:fillClrLst>
    <dgm:linClrLst meth="cycle"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sibTrans1D1">
    <dgm:fillClrLst meth="cycle">
      <a:schemeClr val="accent1">
        <a:shade val="90000"/>
      </a:schemeClr>
      <a:schemeClr val="accent1">
        <a:tint val="50000"/>
      </a:schemeClr>
    </dgm:fillClrLst>
    <dgm:linClrLst meth="cycle">
      <a:schemeClr val="accent1">
        <a:shade val="90000"/>
      </a:schemeClr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1">
        <a:tint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cycle">
      <a:schemeClr val="accent1">
        <a:shade val="50000"/>
      </a:schemeClr>
      <a:schemeClr val="accent1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cycle">
      <a:schemeClr val="accent1">
        <a:shade val="50000"/>
      </a:schemeClr>
      <a:schemeClr val="accent1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cycle">
      <a:schemeClr val="accent1">
        <a:shade val="50000"/>
      </a:schemeClr>
      <a:schemeClr val="accent1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55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cycle">
      <a:schemeClr val="accent1">
        <a:shade val="50000"/>
      </a:schemeClr>
      <a:schemeClr val="accent1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cycle">
      <a:schemeClr val="accent1">
        <a:shade val="50000"/>
      </a:schemeClr>
      <a:schemeClr val="accent1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55000"/>
      </a:schemeClr>
    </dgm:fillClrLst>
    <dgm:linClrLst meth="repeat">
      <a:schemeClr val="accent1">
        <a:alpha val="90000"/>
        <a:tint val="55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55000"/>
      </a:schemeClr>
    </dgm:fillClrLst>
    <dgm:linClrLst meth="repeat">
      <a:schemeClr val="accent1">
        <a:alpha val="90000"/>
        <a:tint val="55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55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55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55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55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uniqueId="urn:microsoft.com/office/officeart/2005/8/colors/accent1_4">
  <dgm:title val=""/>
  <dgm:desc val=""/>
  <dgm:catLst>
    <dgm:cat pri="11400" type="accent1"/>
  </dgm:catLst>
  <dgm:styleLbl name="node0">
    <dgm:fillClrLst meth="cycle">
      <a:schemeClr val="accent1">
        <a:shade val="6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cycle">
      <a:schemeClr val="accent1">
        <a:shade val="50000"/>
      </a:schemeClr>
      <a:schemeClr val="accent1">
        <a:tint val="55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cycle">
      <a:schemeClr val="accent1">
        <a:shade val="50000"/>
      </a:schemeClr>
      <a:schemeClr val="accent1">
        <a:tint val="55000"/>
      </a:schemeClr>
    </dgm:fillClrLst>
    <dgm:linClrLst meth="cycle">
      <a:schemeClr val="accent1">
        <a:shade val="50000"/>
      </a:schemeClr>
      <a:schemeClr val="accent1">
        <a:tint val="55000"/>
      </a:schemeClr>
    </dgm:linClrLst>
    <dgm:effectClrLst/>
    <dgm:txLinClrLst/>
    <dgm:txFillClrLst/>
    <dgm:txEffectClrLst/>
  </dgm:styleLbl>
  <dgm:styleLbl name="lnNode1">
    <dgm:fillClrLst meth="cycle">
      <a:schemeClr val="accent1">
        <a:shade val="50000"/>
      </a:schemeClr>
      <a:schemeClr val="accent1">
        <a:tint val="55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cycle">
      <a:schemeClr val="accent1">
        <a:shade val="80000"/>
        <a:alpha val="50000"/>
      </a:schemeClr>
      <a:schemeClr val="accent1">
        <a:tint val="5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1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1">
        <a:tint val="50000"/>
      </a:schemeClr>
      <a:schemeClr val="accent1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cycle">
      <a:schemeClr val="accent1">
        <a:shade val="90000"/>
      </a:schemeClr>
      <a:schemeClr val="accent1">
        <a:tint val="50000"/>
      </a:schemeClr>
    </dgm:fillClrLst>
    <dgm:linClrLst meth="cycle"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fgSibTrans2D1">
    <dgm:fillClrLst meth="cycle">
      <a:schemeClr val="accent1">
        <a:shade val="90000"/>
      </a:schemeClr>
      <a:schemeClr val="accent1">
        <a:tint val="50000"/>
      </a:schemeClr>
    </dgm:fillClrLst>
    <dgm:linClrLst meth="cycle"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bgSibTrans2D1">
    <dgm:fillClrLst meth="cycle">
      <a:schemeClr val="accent1">
        <a:shade val="90000"/>
      </a:schemeClr>
      <a:schemeClr val="accent1">
        <a:tint val="50000"/>
      </a:schemeClr>
    </dgm:fillClrLst>
    <dgm:linClrLst meth="cycle"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sibTrans1D1">
    <dgm:fillClrLst meth="cycle">
      <a:schemeClr val="accent1">
        <a:shade val="90000"/>
      </a:schemeClr>
      <a:schemeClr val="accent1">
        <a:tint val="50000"/>
      </a:schemeClr>
    </dgm:fillClrLst>
    <dgm:linClrLst meth="cycle">
      <a:schemeClr val="accent1">
        <a:shade val="90000"/>
      </a:schemeClr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1">
        <a:tint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cycle">
      <a:schemeClr val="accent1">
        <a:shade val="50000"/>
      </a:schemeClr>
      <a:schemeClr val="accent1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cycle">
      <a:schemeClr val="accent1">
        <a:shade val="50000"/>
      </a:schemeClr>
      <a:schemeClr val="accent1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cycle">
      <a:schemeClr val="accent1">
        <a:shade val="50000"/>
      </a:schemeClr>
      <a:schemeClr val="accent1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55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cycle">
      <a:schemeClr val="accent1">
        <a:shade val="50000"/>
      </a:schemeClr>
      <a:schemeClr val="accent1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cycle">
      <a:schemeClr val="accent1">
        <a:shade val="50000"/>
      </a:schemeClr>
      <a:schemeClr val="accent1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55000"/>
      </a:schemeClr>
    </dgm:fillClrLst>
    <dgm:linClrLst meth="repeat">
      <a:schemeClr val="accent1">
        <a:alpha val="90000"/>
        <a:tint val="55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55000"/>
      </a:schemeClr>
    </dgm:fillClrLst>
    <dgm:linClrLst meth="repeat">
      <a:schemeClr val="accent1">
        <a:alpha val="90000"/>
        <a:tint val="55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55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55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55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55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dgm:ptLst>
    <dgm:pt type="doc" modelId="{B4D782CF-4BC1-4845-B008-BE1CB140A52F}">
      <dgm:prSet phldr="true" csCatId="accent1" csTypeId="urn:microsoft.com/office/officeart/2005/8/colors/accent1_4" qsCatId="simple" qsTypeId="urn:microsoft.com/office/officeart/2005/8/quickstyle/simple5" loCatId="hierarchy" loTypeId="urn:microsoft.com/office/officeart/2005/8/layout/hierarchy1"/>
      <dgm:spPr/>
      <dgm:t>
        <a:bodyPr/>
        <a:lstStyle/>
        <a:p>
          <a:endParaRPr lang="hr-HR"/>
        </a:p>
      </dgm:t>
    </dgm:pt>
    <dgm:pt modelId="{F6CCCCE5-AA7F-4A30-80A2-30C985B4E428}">
      <dgm:prSet custT="true"/>
      <dgm:spPr/>
      <dgm:t>
        <a:bodyPr/>
        <a:lstStyle/>
        <a:p>
          <a:r>
            <a:rPr smtClean="false" dirty="false" sz="1400" lang="en-US"/>
            <a:t>V</a:t>
          </a:r>
          <a:r>
            <a:rPr smtClean="false" dirty="false" sz="1400" lang="ta-IN"/>
            <a:t>lasnik / </a:t>
          </a:r>
        </a:p>
        <a:p>
          <a:r>
            <a:rPr smtClean="false" dirty="false" sz="1400" lang="en-US"/>
            <a:t>V</a:t>
          </a:r>
          <a:r>
            <a:rPr smtClean="false" dirty="false" sz="1400" lang="ta-IN"/>
            <a:t>oditelj prodaje i nabave   </a:t>
          </a:r>
          <a:endParaRPr dirty="false" sz="1400" lang="hr-HR"/>
        </a:p>
      </dgm:t>
    </dgm:pt>
    <dgm:pt cxnId="{616A9F12-B58C-42F2-8704-E2DAA368FB05}" type="parTrans" modelId="{10EC89B4-B818-40F0-8ADD-07801D773CC5}">
      <dgm:prSet/>
      <dgm:spPr/>
      <dgm:t>
        <a:bodyPr/>
        <a:lstStyle/>
        <a:p>
          <a:endParaRPr lang="hr-HR"/>
        </a:p>
      </dgm:t>
    </dgm:pt>
    <dgm:pt cxnId="{616A9F12-B58C-42F2-8704-E2DAA368FB05}" type="sibTrans" modelId="{BDD48130-F1A9-4324-9004-09F7BA759164}">
      <dgm:prSet/>
      <dgm:spPr/>
      <dgm:t>
        <a:bodyPr/>
        <a:lstStyle/>
        <a:p>
          <a:endParaRPr lang="hr-HR"/>
        </a:p>
      </dgm:t>
    </dgm:pt>
    <dgm:pt modelId="{A2029C48-44A9-E94F-A25A-01F1DC582FBF}">
      <dgm:prSet custT="true"/>
      <dgm:spPr/>
      <dgm:t>
        <a:bodyPr/>
        <a:lstStyle/>
        <a:p>
          <a:r>
            <a:rPr smtClean="false" dirty="false" sz="1400" lang="en-US"/>
            <a:t>V</a:t>
          </a:r>
          <a:r>
            <a:rPr smtClean="false" dirty="false" sz="1400" lang="ta-IN"/>
            <a:t>oditelj  proizvodnje    </a:t>
          </a:r>
          <a:endParaRPr dirty="false" sz="1400" lang="hr-HR"/>
        </a:p>
      </dgm:t>
    </dgm:pt>
    <dgm:pt cxnId="{6C6BDA67-1365-9C4B-8D0D-659659237126}" type="parTrans" modelId="{EE0F8EC5-A10A-1C42-AC4F-EFE006F2018C}">
      <dgm:prSet/>
      <dgm:spPr/>
      <dgm:t>
        <a:bodyPr/>
        <a:lstStyle/>
        <a:p>
          <a:endParaRPr lang="en-US"/>
        </a:p>
      </dgm:t>
    </dgm:pt>
    <dgm:pt cxnId="{6C6BDA67-1365-9C4B-8D0D-659659237126}" type="sibTrans" modelId="{68F53351-57D8-294F-AFC3-007DEA7A151C}">
      <dgm:prSet/>
      <dgm:spPr/>
      <dgm:t>
        <a:bodyPr/>
        <a:lstStyle/>
        <a:p>
          <a:endParaRPr lang="en-US"/>
        </a:p>
      </dgm:t>
    </dgm:pt>
    <dgm:pt type="pres" modelId="{C22D9385-DB29-5F4F-948A-A0DBE9EF5086}">
      <dgm:prSet presStyleCnt="0" presName="hierChild1" presAssocID="{B4D782CF-4BC1-4845-B008-BE1CB140A52F}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n-US"/>
        </a:p>
      </dgm:t>
    </dgm:pt>
    <dgm:pt type="pres" modelId="{BCB41773-5B7D-4848-ACB8-8768C2CB7C3A}">
      <dgm:prSet presStyleCnt="0" presName="hierRoot1" presAssocID="{F6CCCCE5-AA7F-4A30-80A2-30C985B4E428}"/>
      <dgm:spPr/>
    </dgm:pt>
    <dgm:pt type="pres" modelId="{DE0EB8F0-8883-AC4D-9B40-DC28CDE9A543}">
      <dgm:prSet presStyleCnt="0" presName="composite" presAssocID="{F6CCCCE5-AA7F-4A30-80A2-30C985B4E428}"/>
      <dgm:spPr/>
    </dgm:pt>
    <dgm:pt type="pres" modelId="{22E6A4D9-AE44-AC4E-A495-1A0D515D5C35}">
      <dgm:prSet presStyleCnt="1" presStyleIdx="0" presStyleLbl="node0" presName="background" presAssocID="{F6CCCCE5-AA7F-4A30-80A2-30C985B4E428}"/>
      <dgm:spPr/>
    </dgm:pt>
    <dgm:pt type="pres" modelId="{723178F3-00AA-834C-AF8C-63079DD6A45C}">
      <dgm:prSet custScaleX="115704" presStyleCnt="1" presStyleIdx="0" presStyleLbl="fgAcc0" presName="text" presAssocID="{F6CCCCE5-AA7F-4A30-80A2-30C985B4E428}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type="pres" modelId="{32F6FC09-BDE7-714C-9BD6-71100B460365}">
      <dgm:prSet presStyleCnt="0" presName="hierChild2" presAssocID="{F6CCCCE5-AA7F-4A30-80A2-30C985B4E428}"/>
      <dgm:spPr/>
    </dgm:pt>
    <dgm:pt type="pres" modelId="{9159CACB-A7BD-FD4A-B452-607B3F741CC4}">
      <dgm:prSet presStyleCnt="1" presStyleIdx="0" presStyleLbl="parChTrans1D2" presName="Name10" presAssocID="{EE0F8EC5-A10A-1C42-AC4F-EFE006F2018C}"/>
      <dgm:spPr/>
      <dgm:t>
        <a:bodyPr/>
        <a:lstStyle/>
        <a:p>
          <a:endParaRPr lang="en-US"/>
        </a:p>
      </dgm:t>
    </dgm:pt>
    <dgm:pt type="pres" modelId="{7D469ACD-0878-5849-9CB0-7C340C241988}">
      <dgm:prSet presStyleCnt="0" presName="hierRoot2" presAssocID="{A2029C48-44A9-E94F-A25A-01F1DC582FBF}"/>
      <dgm:spPr/>
    </dgm:pt>
    <dgm:pt type="pres" modelId="{A939303A-A4F4-234F-AA7A-EDC551337281}">
      <dgm:prSet presStyleCnt="0" presName="composite2" presAssocID="{A2029C48-44A9-E94F-A25A-01F1DC582FBF}"/>
      <dgm:spPr/>
    </dgm:pt>
    <dgm:pt type="pres" modelId="{901CB426-0DFD-E94F-B346-3BFF9CD8F6C6}">
      <dgm:prSet presStyleCnt="1" presStyleIdx="0" presStyleLbl="node2" presName="background2" presAssocID="{A2029C48-44A9-E94F-A25A-01F1DC582FBF}"/>
      <dgm:spPr/>
    </dgm:pt>
    <dgm:pt type="pres" modelId="{CAB12839-8152-C142-BC0D-C92F3DBCC812}">
      <dgm:prSet presStyleCnt="1" presStyleIdx="0" presStyleLbl="fgAcc2" presName="text2" presAssocID="{A2029C48-44A9-E94F-A25A-01F1DC582FBF}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type="pres" modelId="{E0684BFC-9983-BE4A-BDEB-09888762A864}">
      <dgm:prSet presStyleCnt="0" presName="hierChild3" presAssocID="{A2029C48-44A9-E94F-A25A-01F1DC582FBF}"/>
      <dgm:spPr/>
    </dgm:pt>
  </dgm:ptLst>
  <dgm:cxnLst>
    <dgm:cxn presId="urn:microsoft.com/office/officeart/2005/8/layout/hierarchy1" destOrd="0" srcOrd="0" destId="{723178F3-00AA-834C-AF8C-63079DD6A45C}" srcId="{F6CCCCE5-AA7F-4A30-80A2-30C985B4E428}" type="presOf" modelId="{29A8A655-9067-D24A-AA7D-23DA8D43A3A9}"/>
    <dgm:cxn sibTransId="{BDD48130-F1A9-4324-9004-09F7BA759164}" parTransId="{10EC89B4-B818-40F0-8ADD-07801D773CC5}" destOrd="0" srcOrd="0" destId="{F6CCCCE5-AA7F-4A30-80A2-30C985B4E428}" srcId="{B4D782CF-4BC1-4845-B008-BE1CB140A52F}" modelId="{616A9F12-B58C-42F2-8704-E2DAA368FB05}"/>
    <dgm:cxn presId="urn:microsoft.com/office/officeart/2005/8/layout/hierarchy1" destOrd="0" srcOrd="0" destId="{C22D9385-DB29-5F4F-948A-A0DBE9EF5086}" srcId="{B4D782CF-4BC1-4845-B008-BE1CB140A52F}" type="presOf" modelId="{AF0D8A81-EBE5-E349-B58B-946D5632609E}"/>
    <dgm:cxn sibTransId="{68F53351-57D8-294F-AFC3-007DEA7A151C}" parTransId="{EE0F8EC5-A10A-1C42-AC4F-EFE006F2018C}" destOrd="0" srcOrd="0" destId="{A2029C48-44A9-E94F-A25A-01F1DC582FBF}" srcId="{F6CCCCE5-AA7F-4A30-80A2-30C985B4E428}" modelId="{6C6BDA67-1365-9C4B-8D0D-659659237126}"/>
    <dgm:cxn presId="urn:microsoft.com/office/officeart/2005/8/layout/hierarchy1" destOrd="0" srcOrd="0" destId="{9159CACB-A7BD-FD4A-B452-607B3F741CC4}" srcId="{EE0F8EC5-A10A-1C42-AC4F-EFE006F2018C}" type="presOf" modelId="{BA95ECE3-8C79-854D-A1D2-0E9A0C7E81A9}"/>
    <dgm:cxn presId="urn:microsoft.com/office/officeart/2005/8/layout/hierarchy1" destOrd="0" srcOrd="0" destId="{CAB12839-8152-C142-BC0D-C92F3DBCC812}" srcId="{A2029C48-44A9-E94F-A25A-01F1DC582FBF}" type="presOf" modelId="{920DCD45-B8B3-5A4C-A2E5-17395B07E940}"/>
    <dgm:cxn presId="urn:microsoft.com/office/officeart/2005/8/layout/hierarchy1" destOrd="0" srcOrd="0" destId="{BCB41773-5B7D-4848-ACB8-8768C2CB7C3A}" srcId="{C22D9385-DB29-5F4F-948A-A0DBE9EF5086}" type="presParOf" modelId="{0E750651-AB81-514C-B522-C9F8731FBDC2}"/>
    <dgm:cxn presId="urn:microsoft.com/office/officeart/2005/8/layout/hierarchy1" destOrd="0" srcOrd="0" destId="{DE0EB8F0-8883-AC4D-9B40-DC28CDE9A543}" srcId="{BCB41773-5B7D-4848-ACB8-8768C2CB7C3A}" type="presParOf" modelId="{713A6F7F-A8A9-7C4C-8EB1-A67968FF97C3}"/>
    <dgm:cxn presId="urn:microsoft.com/office/officeart/2005/8/layout/hierarchy1" destOrd="0" srcOrd="0" destId="{22E6A4D9-AE44-AC4E-A495-1A0D515D5C35}" srcId="{DE0EB8F0-8883-AC4D-9B40-DC28CDE9A543}" type="presParOf" modelId="{539E9A03-EA89-E642-ADAC-D80E0237B967}"/>
    <dgm:cxn presId="urn:microsoft.com/office/officeart/2005/8/layout/hierarchy1" destOrd="0" srcOrd="1" destId="{723178F3-00AA-834C-AF8C-63079DD6A45C}" srcId="{DE0EB8F0-8883-AC4D-9B40-DC28CDE9A543}" type="presParOf" modelId="{75927078-D1E3-304C-8F33-F830EFB31E54}"/>
    <dgm:cxn presId="urn:microsoft.com/office/officeart/2005/8/layout/hierarchy1" destOrd="0" srcOrd="1" destId="{32F6FC09-BDE7-714C-9BD6-71100B460365}" srcId="{BCB41773-5B7D-4848-ACB8-8768C2CB7C3A}" type="presParOf" modelId="{DAF53EEF-6157-AC4B-B4B7-C69B16B858C9}"/>
    <dgm:cxn presId="urn:microsoft.com/office/officeart/2005/8/layout/hierarchy1" destOrd="0" srcOrd="0" destId="{9159CACB-A7BD-FD4A-B452-607B3F741CC4}" srcId="{32F6FC09-BDE7-714C-9BD6-71100B460365}" type="presParOf" modelId="{4F74AD4D-C099-714A-B1DB-6E447DC4E96D}"/>
    <dgm:cxn presId="urn:microsoft.com/office/officeart/2005/8/layout/hierarchy1" destOrd="0" srcOrd="1" destId="{7D469ACD-0878-5849-9CB0-7C340C241988}" srcId="{32F6FC09-BDE7-714C-9BD6-71100B460365}" type="presParOf" modelId="{D562E7E6-B3BB-9C46-8BAD-AF47BDF63B41}"/>
    <dgm:cxn presId="urn:microsoft.com/office/officeart/2005/8/layout/hierarchy1" destOrd="0" srcOrd="0" destId="{A939303A-A4F4-234F-AA7A-EDC551337281}" srcId="{7D469ACD-0878-5849-9CB0-7C340C241988}" type="presParOf" modelId="{503AD2DF-AC37-954D-9EE6-0D0BCC8C030B}"/>
    <dgm:cxn presId="urn:microsoft.com/office/officeart/2005/8/layout/hierarchy1" destOrd="0" srcOrd="0" destId="{901CB426-0DFD-E94F-B346-3BFF9CD8F6C6}" srcId="{A939303A-A4F4-234F-AA7A-EDC551337281}" type="presParOf" modelId="{FFBF57BD-3892-E94B-B135-985A8E3C81AB}"/>
    <dgm:cxn presId="urn:microsoft.com/office/officeart/2005/8/layout/hierarchy1" destOrd="0" srcOrd="1" destId="{CAB12839-8152-C142-BC0D-C92F3DBCC812}" srcId="{A939303A-A4F4-234F-AA7A-EDC551337281}" type="presParOf" modelId="{579F9B3D-182E-1648-865D-9A8259018499}"/>
    <dgm:cxn presId="urn:microsoft.com/office/officeart/2005/8/layout/hierarchy1" destOrd="0" srcOrd="1" destId="{E0684BFC-9983-BE4A-BDEB-09888762A864}" srcId="{7D469ACD-0878-5849-9CB0-7C340C241988}" type="presParOf" modelId="{A8538464-2526-3E4F-88C8-73BD481E8510}"/>
  </dgm:cxnLst>
  <dgm:bg/>
  <dgm:whole/>
  <dgm:extLst>
    <a:ext uri="http://schemas.microsoft.com/office/drawing/2008/diagram">
      <dsp:dataModelExt minVer="http://schemas.openxmlformats.org/drawingml/2006/diagram" relId="rId17"/>
    </a:ext>
  </dgm:extLst>
</dgm:dataModel>
</file>

<file path=word/diagrams/data2.xml><?xml version="1.0" encoding="utf-8"?>
<dgm:dataModel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dgm:ptLst>
    <dgm:pt type="doc" modelId="{B4D782CF-4BC1-4845-B008-BE1CB140A52F}">
      <dgm:prSet phldr="true" csCatId="accent1" csTypeId="urn:microsoft.com/office/officeart/2005/8/colors/accent1_4" qsCatId="simple" qsTypeId="urn:microsoft.com/office/officeart/2005/8/quickstyle/simple5" loCatId="hierarchy" loTypeId="urn:microsoft.com/office/officeart/2005/8/layout/hierarchy1"/>
      <dgm:spPr/>
      <dgm:t>
        <a:bodyPr/>
        <a:lstStyle/>
        <a:p>
          <a:endParaRPr lang="hr-HR"/>
        </a:p>
      </dgm:t>
    </dgm:pt>
    <dgm:pt modelId="{F6CCCCE5-AA7F-4A30-80A2-30C985B4E428}">
      <dgm:prSet custT="true"/>
      <dgm:spPr/>
      <dgm:t>
        <a:bodyPr/>
        <a:lstStyle/>
        <a:p>
          <a:r>
            <a:rPr smtClean="false" dirty="false" baseline="0" sz="1400" lang="ta-IN"/>
            <a:t>Vlasnik </a:t>
          </a:r>
          <a:endParaRPr dirty="false" sz="1400" lang="hr-HR"/>
        </a:p>
      </dgm:t>
    </dgm:pt>
    <dgm:pt cxnId="{616A9F12-B58C-42F2-8704-E2DAA368FB05}" type="parTrans" modelId="{10EC89B4-B818-40F0-8ADD-07801D773CC5}">
      <dgm:prSet/>
      <dgm:spPr/>
      <dgm:t>
        <a:bodyPr/>
        <a:lstStyle/>
        <a:p>
          <a:endParaRPr lang="hr-HR"/>
        </a:p>
      </dgm:t>
    </dgm:pt>
    <dgm:pt cxnId="{616A9F12-B58C-42F2-8704-E2DAA368FB05}" type="sibTrans" modelId="{BDD48130-F1A9-4324-9004-09F7BA759164}">
      <dgm:prSet/>
      <dgm:spPr/>
      <dgm:t>
        <a:bodyPr/>
        <a:lstStyle/>
        <a:p>
          <a:endParaRPr lang="hr-HR"/>
        </a:p>
      </dgm:t>
    </dgm:pt>
    <dgm:pt modelId="{A2029C48-44A9-E94F-A25A-01F1DC582FBF}">
      <dgm:prSet custT="true"/>
      <dgm:spPr/>
      <dgm:t>
        <a:bodyPr/>
        <a:lstStyle/>
        <a:p>
          <a:r>
            <a:rPr smtClean="false" dirty="false" sz="1400" lang="en-US"/>
            <a:t>V</a:t>
          </a:r>
          <a:r>
            <a:rPr smtClean="false" dirty="false" sz="1400" lang="ta-IN"/>
            <a:t>oditelj  proizvodnje    </a:t>
          </a:r>
          <a:endParaRPr dirty="false" sz="1400" lang="hr-HR"/>
        </a:p>
      </dgm:t>
    </dgm:pt>
    <dgm:pt cxnId="{6C6BDA67-1365-9C4B-8D0D-659659237126}" type="parTrans" modelId="{EE0F8EC5-A10A-1C42-AC4F-EFE006F2018C}">
      <dgm:prSet/>
      <dgm:spPr/>
      <dgm:t>
        <a:bodyPr/>
        <a:lstStyle/>
        <a:p>
          <a:endParaRPr lang="en-US"/>
        </a:p>
      </dgm:t>
    </dgm:pt>
    <dgm:pt cxnId="{6C6BDA67-1365-9C4B-8D0D-659659237126}" type="sibTrans" modelId="{68F53351-57D8-294F-AFC3-007DEA7A151C}">
      <dgm:prSet/>
      <dgm:spPr/>
      <dgm:t>
        <a:bodyPr/>
        <a:lstStyle/>
        <a:p>
          <a:endParaRPr lang="en-US"/>
        </a:p>
      </dgm:t>
    </dgm:pt>
    <dgm:pt modelId="{D925F5DF-F485-B249-B1D4-746BAA457FD8}">
      <dgm:prSet custT="true"/>
      <dgm:spPr/>
      <dgm:t>
        <a:bodyPr/>
        <a:lstStyle/>
        <a:p>
          <a:r>
            <a:rPr smtClean="false" dirty="false" sz="1400" lang="en-US"/>
            <a:t>R</a:t>
          </a:r>
          <a:r>
            <a:rPr smtClean="false" dirty="false" sz="1400" lang="ta-IN"/>
            <a:t>adnik u proizvodnji </a:t>
          </a:r>
          <a:endParaRPr dirty="false" sz="1400" lang="en-US"/>
        </a:p>
      </dgm:t>
    </dgm:pt>
    <dgm:pt cxnId="{1342E2B0-1FAC-B843-9FAC-C7E8D176738A}" type="parTrans" modelId="{FF8A369A-D99E-3C4B-B25F-6D8EB91F64EC}">
      <dgm:prSet/>
      <dgm:spPr/>
      <dgm:t>
        <a:bodyPr/>
        <a:lstStyle/>
        <a:p>
          <a:endParaRPr lang="en-US"/>
        </a:p>
      </dgm:t>
    </dgm:pt>
    <dgm:pt cxnId="{1342E2B0-1FAC-B843-9FAC-C7E8D176738A}" type="sibTrans" modelId="{122EDE3A-04A3-6F44-BD21-89DAF378BD02}">
      <dgm:prSet/>
      <dgm:spPr/>
      <dgm:t>
        <a:bodyPr/>
        <a:lstStyle/>
        <a:p>
          <a:endParaRPr lang="en-US"/>
        </a:p>
      </dgm:t>
    </dgm:pt>
    <dgm:pt modelId="{158D9BD1-5F5F-5845-9653-BAA10BAB9395}">
      <dgm:prSet custT="true"/>
      <dgm:spPr/>
      <dgm:t>
        <a:bodyPr/>
        <a:lstStyle/>
        <a:p>
          <a:r>
            <a:rPr smtClean="false" dirty="false" sz="1400" lang="en-US"/>
            <a:t>V</a:t>
          </a:r>
          <a:r>
            <a:rPr smtClean="false" dirty="false" sz="1400" lang="ta-IN"/>
            <a:t>oditelj nabave </a:t>
          </a:r>
          <a:endParaRPr dirty="false" sz="1400" lang="en-US"/>
        </a:p>
      </dgm:t>
    </dgm:pt>
    <dgm:pt cxnId="{31466001-56DB-6B48-B6AA-1DABBDDD0183}" type="parTrans" modelId="{5F267BB6-81E8-AC4F-BA2A-3BA996E0423D}">
      <dgm:prSet/>
      <dgm:spPr/>
      <dgm:t>
        <a:bodyPr/>
        <a:lstStyle/>
        <a:p>
          <a:endParaRPr lang="en-US"/>
        </a:p>
      </dgm:t>
    </dgm:pt>
    <dgm:pt cxnId="{31466001-56DB-6B48-B6AA-1DABBDDD0183}" type="sibTrans" modelId="{29F503A6-20C5-EA4B-8E62-DAB1322080AB}">
      <dgm:prSet/>
      <dgm:spPr/>
      <dgm:t>
        <a:bodyPr/>
        <a:lstStyle/>
        <a:p>
          <a:endParaRPr lang="en-US"/>
        </a:p>
      </dgm:t>
    </dgm:pt>
    <dgm:pt modelId="{B7E27AFD-3EC7-2147-988D-8C213FCEC1CE}">
      <dgm:prSet custT="true"/>
      <dgm:spPr/>
      <dgm:t>
        <a:bodyPr/>
        <a:lstStyle/>
        <a:p>
          <a:r>
            <a:rPr smtClean="false" dirty="false" sz="1400" lang="en-US"/>
            <a:t>V</a:t>
          </a:r>
          <a:r>
            <a:rPr smtClean="false" dirty="false" sz="1400" lang="ta-IN"/>
            <a:t>oditelj prodaje i marketinga </a:t>
          </a:r>
          <a:endParaRPr dirty="false" sz="1400" lang="en-US"/>
        </a:p>
      </dgm:t>
    </dgm:pt>
    <dgm:pt cxnId="{FCA063C8-1997-BD4E-8638-1B5D50DF50F9}" type="parTrans" modelId="{4B658380-D0D8-9C49-B23C-AF976BB87B8B}">
      <dgm:prSet/>
      <dgm:spPr/>
      <dgm:t>
        <a:bodyPr/>
        <a:lstStyle/>
        <a:p>
          <a:endParaRPr lang="en-US"/>
        </a:p>
      </dgm:t>
    </dgm:pt>
    <dgm:pt cxnId="{FCA063C8-1997-BD4E-8638-1B5D50DF50F9}" type="sibTrans" modelId="{C459C608-BDCE-A84B-94D5-5384DA4F8C1E}">
      <dgm:prSet/>
      <dgm:spPr/>
      <dgm:t>
        <a:bodyPr/>
        <a:lstStyle/>
        <a:p>
          <a:endParaRPr lang="en-US"/>
        </a:p>
      </dgm:t>
    </dgm:pt>
    <dgm:pt type="pres" modelId="{C22D9385-DB29-5F4F-948A-A0DBE9EF5086}">
      <dgm:prSet presStyleCnt="0" presName="hierChild1" presAssocID="{B4D782CF-4BC1-4845-B008-BE1CB140A52F}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n-US"/>
        </a:p>
      </dgm:t>
    </dgm:pt>
    <dgm:pt type="pres" modelId="{BCB41773-5B7D-4848-ACB8-8768C2CB7C3A}">
      <dgm:prSet presStyleCnt="0" presName="hierRoot1" presAssocID="{F6CCCCE5-AA7F-4A30-80A2-30C985B4E428}"/>
      <dgm:spPr/>
    </dgm:pt>
    <dgm:pt type="pres" modelId="{DE0EB8F0-8883-AC4D-9B40-DC28CDE9A543}">
      <dgm:prSet presStyleCnt="0" presName="composite" presAssocID="{F6CCCCE5-AA7F-4A30-80A2-30C985B4E428}"/>
      <dgm:spPr/>
    </dgm:pt>
    <dgm:pt type="pres" modelId="{22E6A4D9-AE44-AC4E-A495-1A0D515D5C35}">
      <dgm:prSet presStyleCnt="1" presStyleIdx="0" presStyleLbl="node0" presName="background" presAssocID="{F6CCCCE5-AA7F-4A30-80A2-30C985B4E428}"/>
      <dgm:spPr/>
    </dgm:pt>
    <dgm:pt type="pres" modelId="{723178F3-00AA-834C-AF8C-63079DD6A45C}">
      <dgm:prSet presStyleCnt="1" presStyleIdx="0" presStyleLbl="fgAcc0" presName="text" presAssocID="{F6CCCCE5-AA7F-4A30-80A2-30C985B4E428}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type="pres" modelId="{32F6FC09-BDE7-714C-9BD6-71100B460365}">
      <dgm:prSet presStyleCnt="0" presName="hierChild2" presAssocID="{F6CCCCE5-AA7F-4A30-80A2-30C985B4E428}"/>
      <dgm:spPr/>
    </dgm:pt>
    <dgm:pt type="pres" modelId="{9159CACB-A7BD-FD4A-B452-607B3F741CC4}">
      <dgm:prSet presStyleCnt="3" presStyleIdx="0" presStyleLbl="parChTrans1D2" presName="Name10" presAssocID="{EE0F8EC5-A10A-1C42-AC4F-EFE006F2018C}"/>
      <dgm:spPr/>
      <dgm:t>
        <a:bodyPr/>
        <a:lstStyle/>
        <a:p>
          <a:endParaRPr lang="en-US"/>
        </a:p>
      </dgm:t>
    </dgm:pt>
    <dgm:pt type="pres" modelId="{7D469ACD-0878-5849-9CB0-7C340C241988}">
      <dgm:prSet presStyleCnt="0" presName="hierRoot2" presAssocID="{A2029C48-44A9-E94F-A25A-01F1DC582FBF}"/>
      <dgm:spPr/>
    </dgm:pt>
    <dgm:pt type="pres" modelId="{A939303A-A4F4-234F-AA7A-EDC551337281}">
      <dgm:prSet presStyleCnt="0" presName="composite2" presAssocID="{A2029C48-44A9-E94F-A25A-01F1DC582FBF}"/>
      <dgm:spPr/>
    </dgm:pt>
    <dgm:pt type="pres" modelId="{901CB426-0DFD-E94F-B346-3BFF9CD8F6C6}">
      <dgm:prSet presStyleCnt="3" presStyleIdx="0" presStyleLbl="node2" presName="background2" presAssocID="{A2029C48-44A9-E94F-A25A-01F1DC582FBF}"/>
      <dgm:spPr/>
    </dgm:pt>
    <dgm:pt type="pres" modelId="{CAB12839-8152-C142-BC0D-C92F3DBCC812}">
      <dgm:prSet custScaleX="102246" presStyleCnt="3" presStyleIdx="0" presStyleLbl="fgAcc2" presName="text2" presAssocID="{A2029C48-44A9-E94F-A25A-01F1DC582FBF}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type="pres" modelId="{E0684BFC-9983-BE4A-BDEB-09888762A864}">
      <dgm:prSet presStyleCnt="0" presName="hierChild3" presAssocID="{A2029C48-44A9-E94F-A25A-01F1DC582FBF}"/>
      <dgm:spPr/>
    </dgm:pt>
    <dgm:pt type="pres" modelId="{FC96D61B-0449-C14E-9555-A58C07F15C35}">
      <dgm:prSet presStyleCnt="1" presStyleIdx="0" presStyleLbl="parChTrans1D3" presName="Name17" presAssocID="{FF8A369A-D99E-3C4B-B25F-6D8EB91F64EC}"/>
      <dgm:spPr/>
      <dgm:t>
        <a:bodyPr/>
        <a:lstStyle/>
        <a:p>
          <a:endParaRPr lang="en-US"/>
        </a:p>
      </dgm:t>
    </dgm:pt>
    <dgm:pt type="pres" modelId="{8E7E2CBD-BC8D-1540-B268-FEB0F571B73A}">
      <dgm:prSet presStyleCnt="0" presName="hierRoot3" presAssocID="{D925F5DF-F485-B249-B1D4-746BAA457FD8}"/>
      <dgm:spPr/>
    </dgm:pt>
    <dgm:pt type="pres" modelId="{8014F9FB-E2E0-7647-8434-6CD2642CE453}">
      <dgm:prSet presStyleCnt="0" presName="composite3" presAssocID="{D925F5DF-F485-B249-B1D4-746BAA457FD8}"/>
      <dgm:spPr/>
    </dgm:pt>
    <dgm:pt type="pres" modelId="{CF478AB3-C16C-A344-BAC6-8636C79A2425}">
      <dgm:prSet presStyleCnt="1" presStyleIdx="0" presStyleLbl="node3" presName="background3" presAssocID="{D925F5DF-F485-B249-B1D4-746BAA457FD8}"/>
      <dgm:spPr/>
    </dgm:pt>
    <dgm:pt type="pres" modelId="{141617D1-2D1A-B741-B0DD-8C19345A408D}">
      <dgm:prSet presStyleCnt="1" presStyleIdx="0" presStyleLbl="fgAcc3" presName="text3" presAssocID="{D925F5DF-F485-B249-B1D4-746BAA457FD8}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type="pres" modelId="{829BD521-D49C-884E-8812-8868575E9C8C}">
      <dgm:prSet presStyleCnt="0" presName="hierChild4" presAssocID="{D925F5DF-F485-B249-B1D4-746BAA457FD8}"/>
      <dgm:spPr/>
    </dgm:pt>
    <dgm:pt type="pres" modelId="{EB45B2E8-EEFB-E746-8B55-D581CD22D598}">
      <dgm:prSet presStyleCnt="3" presStyleIdx="1" presStyleLbl="parChTrans1D2" presName="Name10" presAssocID="{5F267BB6-81E8-AC4F-BA2A-3BA996E0423D}"/>
      <dgm:spPr/>
      <dgm:t>
        <a:bodyPr/>
        <a:lstStyle/>
        <a:p>
          <a:endParaRPr lang="en-US"/>
        </a:p>
      </dgm:t>
    </dgm:pt>
    <dgm:pt type="pres" modelId="{FC00C9B8-D8F3-9D42-89FE-6F9B6F4D5CC2}">
      <dgm:prSet presStyleCnt="0" presName="hierRoot2" presAssocID="{158D9BD1-5F5F-5845-9653-BAA10BAB9395}"/>
      <dgm:spPr/>
    </dgm:pt>
    <dgm:pt type="pres" modelId="{C81B14B8-4694-0D4B-A4F8-48BD45C7AECA}">
      <dgm:prSet presStyleCnt="0" presName="composite2" presAssocID="{158D9BD1-5F5F-5845-9653-BAA10BAB9395}"/>
      <dgm:spPr/>
    </dgm:pt>
    <dgm:pt type="pres" modelId="{F2E68AB1-5BCE-1145-B2C5-E01F08F194C3}">
      <dgm:prSet presStyleCnt="3" presStyleIdx="1" presStyleLbl="node2" presName="background2" presAssocID="{158D9BD1-5F5F-5845-9653-BAA10BAB9395}"/>
      <dgm:spPr/>
    </dgm:pt>
    <dgm:pt type="pres" modelId="{1D89A476-3FD5-A046-ACEC-D0062D494446}">
      <dgm:prSet presStyleCnt="3" presStyleIdx="1" presStyleLbl="fgAcc2" presName="text2" presAssocID="{158D9BD1-5F5F-5845-9653-BAA10BAB9395}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type="pres" modelId="{BB0534A4-85CF-B048-9976-9AABA268283F}">
      <dgm:prSet presStyleCnt="0" presName="hierChild3" presAssocID="{158D9BD1-5F5F-5845-9653-BAA10BAB9395}"/>
      <dgm:spPr/>
    </dgm:pt>
    <dgm:pt type="pres" modelId="{0B7BA6EC-9DF2-A348-8CF7-BCDD2AD602FB}">
      <dgm:prSet presStyleCnt="3" presStyleIdx="2" presStyleLbl="parChTrans1D2" presName="Name10" presAssocID="{4B658380-D0D8-9C49-B23C-AF976BB87B8B}"/>
      <dgm:spPr/>
      <dgm:t>
        <a:bodyPr/>
        <a:lstStyle/>
        <a:p>
          <a:endParaRPr lang="en-US"/>
        </a:p>
      </dgm:t>
    </dgm:pt>
    <dgm:pt type="pres" modelId="{44C46C14-BDB8-AA42-B586-0B7A1CE6CF00}">
      <dgm:prSet presStyleCnt="0" presName="hierRoot2" presAssocID="{B7E27AFD-3EC7-2147-988D-8C213FCEC1CE}"/>
      <dgm:spPr/>
    </dgm:pt>
    <dgm:pt type="pres" modelId="{470543F9-AAAA-AC40-8350-C60FC47D5D7B}">
      <dgm:prSet presStyleCnt="0" presName="composite2" presAssocID="{B7E27AFD-3EC7-2147-988D-8C213FCEC1CE}"/>
      <dgm:spPr/>
    </dgm:pt>
    <dgm:pt type="pres" modelId="{76645053-551B-5748-8827-6DD6107F67A2}">
      <dgm:prSet presStyleCnt="3" presStyleIdx="2" presStyleLbl="node2" presName="background2" presAssocID="{B7E27AFD-3EC7-2147-988D-8C213FCEC1CE}"/>
      <dgm:spPr/>
    </dgm:pt>
    <dgm:pt type="pres" modelId="{EB011145-2BE4-684F-9B78-1BF3555A6F8C}">
      <dgm:prSet presStyleCnt="3" presStyleIdx="2" presStyleLbl="fgAcc2" presName="text2" presAssocID="{B7E27AFD-3EC7-2147-988D-8C213FCEC1CE}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type="pres" modelId="{1E5DDF0D-5F8A-7740-BD8E-0037A2716E96}">
      <dgm:prSet presStyleCnt="0" presName="hierChild3" presAssocID="{B7E27AFD-3EC7-2147-988D-8C213FCEC1CE}"/>
      <dgm:spPr/>
    </dgm:pt>
  </dgm:ptLst>
  <dgm:cxnLst>
    <dgm:cxn presId="urn:microsoft.com/office/officeart/2005/8/layout/hierarchy1" destOrd="0" srcOrd="0" destId="{EB011145-2BE4-684F-9B78-1BF3555A6F8C}" srcId="{B7E27AFD-3EC7-2147-988D-8C213FCEC1CE}" type="presOf" modelId="{78741FA6-832E-0C40-A7AF-613B50C5A4EC}"/>
    <dgm:cxn presId="urn:microsoft.com/office/officeart/2005/8/layout/hierarchy1" destOrd="0" srcOrd="0" destId="{723178F3-00AA-834C-AF8C-63079DD6A45C}" srcId="{F6CCCCE5-AA7F-4A30-80A2-30C985B4E428}" type="presOf" modelId="{A88376CC-A613-DE4B-ACA1-4FED9B932183}"/>
    <dgm:cxn presId="urn:microsoft.com/office/officeart/2005/8/layout/hierarchy1" destOrd="0" srcOrd="0" destId="{141617D1-2D1A-B741-B0DD-8C19345A408D}" srcId="{D925F5DF-F485-B249-B1D4-746BAA457FD8}" type="presOf" modelId="{B48AC1F0-0D85-7C48-9EB5-4F30E7819F57}"/>
    <dgm:cxn sibTransId="{29F503A6-20C5-EA4B-8E62-DAB1322080AB}" parTransId="{5F267BB6-81E8-AC4F-BA2A-3BA996E0423D}" destOrd="0" srcOrd="1" destId="{158D9BD1-5F5F-5845-9653-BAA10BAB9395}" srcId="{F6CCCCE5-AA7F-4A30-80A2-30C985B4E428}" modelId="{31466001-56DB-6B48-B6AA-1DABBDDD0183}"/>
    <dgm:cxn presId="urn:microsoft.com/office/officeart/2005/8/layout/hierarchy1" destOrd="0" srcOrd="0" destId="{9159CACB-A7BD-FD4A-B452-607B3F741CC4}" srcId="{EE0F8EC5-A10A-1C42-AC4F-EFE006F2018C}" type="presOf" modelId="{AC035FD5-99CC-0B43-92BF-303C32B8A868}"/>
    <dgm:cxn sibTransId="{68F53351-57D8-294F-AFC3-007DEA7A151C}" parTransId="{EE0F8EC5-A10A-1C42-AC4F-EFE006F2018C}" destOrd="0" srcOrd="0" destId="{A2029C48-44A9-E94F-A25A-01F1DC582FBF}" srcId="{F6CCCCE5-AA7F-4A30-80A2-30C985B4E428}" modelId="{6C6BDA67-1365-9C4B-8D0D-659659237126}"/>
    <dgm:cxn sibTransId="{BDD48130-F1A9-4324-9004-09F7BA759164}" parTransId="{10EC89B4-B818-40F0-8ADD-07801D773CC5}" destOrd="0" srcOrd="0" destId="{F6CCCCE5-AA7F-4A30-80A2-30C985B4E428}" srcId="{B4D782CF-4BC1-4845-B008-BE1CB140A52F}" modelId="{616A9F12-B58C-42F2-8704-E2DAA368FB05}"/>
    <dgm:cxn presId="urn:microsoft.com/office/officeart/2005/8/layout/hierarchy1" destOrd="0" srcOrd="0" destId="{0B7BA6EC-9DF2-A348-8CF7-BCDD2AD602FB}" srcId="{4B658380-D0D8-9C49-B23C-AF976BB87B8B}" type="presOf" modelId="{A5995C5F-AD77-5744-950E-D48B1E0CE44A}"/>
    <dgm:cxn sibTransId="{C459C608-BDCE-A84B-94D5-5384DA4F8C1E}" parTransId="{4B658380-D0D8-9C49-B23C-AF976BB87B8B}" destOrd="0" srcOrd="2" destId="{B7E27AFD-3EC7-2147-988D-8C213FCEC1CE}" srcId="{F6CCCCE5-AA7F-4A30-80A2-30C985B4E428}" modelId="{FCA063C8-1997-BD4E-8638-1B5D50DF50F9}"/>
    <dgm:cxn presId="urn:microsoft.com/office/officeart/2005/8/layout/hierarchy1" destOrd="0" srcOrd="0" destId="{CAB12839-8152-C142-BC0D-C92F3DBCC812}" srcId="{A2029C48-44A9-E94F-A25A-01F1DC582FBF}" type="presOf" modelId="{3986C730-7D17-DE4F-B41B-4A7CD69885DE}"/>
    <dgm:cxn presId="urn:microsoft.com/office/officeart/2005/8/layout/hierarchy1" destOrd="0" srcOrd="0" destId="{C22D9385-DB29-5F4F-948A-A0DBE9EF5086}" srcId="{B4D782CF-4BC1-4845-B008-BE1CB140A52F}" type="presOf" modelId="{332BD974-C314-0C4B-8321-971AACF2096E}"/>
    <dgm:cxn sibTransId="{122EDE3A-04A3-6F44-BD21-89DAF378BD02}" parTransId="{FF8A369A-D99E-3C4B-B25F-6D8EB91F64EC}" destOrd="0" srcOrd="0" destId="{D925F5DF-F485-B249-B1D4-746BAA457FD8}" srcId="{A2029C48-44A9-E94F-A25A-01F1DC582FBF}" modelId="{1342E2B0-1FAC-B843-9FAC-C7E8D176738A}"/>
    <dgm:cxn presId="urn:microsoft.com/office/officeart/2005/8/layout/hierarchy1" destOrd="0" srcOrd="0" destId="{FC96D61B-0449-C14E-9555-A58C07F15C35}" srcId="{FF8A369A-D99E-3C4B-B25F-6D8EB91F64EC}" type="presOf" modelId="{B44C14EB-341B-0343-90D6-AE865A257277}"/>
    <dgm:cxn presId="urn:microsoft.com/office/officeart/2005/8/layout/hierarchy1" destOrd="0" srcOrd="0" destId="{1D89A476-3FD5-A046-ACEC-D0062D494446}" srcId="{158D9BD1-5F5F-5845-9653-BAA10BAB9395}" type="presOf" modelId="{1673ACC4-F4EC-D640-9243-77EB152861C6}"/>
    <dgm:cxn presId="urn:microsoft.com/office/officeart/2005/8/layout/hierarchy1" destOrd="0" srcOrd="0" destId="{EB45B2E8-EEFB-E746-8B55-D581CD22D598}" srcId="{5F267BB6-81E8-AC4F-BA2A-3BA996E0423D}" type="presOf" modelId="{3573881D-1DF7-E240-A223-7A2FC0462871}"/>
    <dgm:cxn presId="urn:microsoft.com/office/officeart/2005/8/layout/hierarchy1" destOrd="0" srcOrd="0" destId="{BCB41773-5B7D-4848-ACB8-8768C2CB7C3A}" srcId="{C22D9385-DB29-5F4F-948A-A0DBE9EF5086}" type="presParOf" modelId="{4843917F-B7FB-C442-98A3-077E257D3897}"/>
    <dgm:cxn presId="urn:microsoft.com/office/officeart/2005/8/layout/hierarchy1" destOrd="0" srcOrd="0" destId="{DE0EB8F0-8883-AC4D-9B40-DC28CDE9A543}" srcId="{BCB41773-5B7D-4848-ACB8-8768C2CB7C3A}" type="presParOf" modelId="{BDD7DBB6-925B-EA45-A805-557741030C8F}"/>
    <dgm:cxn presId="urn:microsoft.com/office/officeart/2005/8/layout/hierarchy1" destOrd="0" srcOrd="0" destId="{22E6A4D9-AE44-AC4E-A495-1A0D515D5C35}" srcId="{DE0EB8F0-8883-AC4D-9B40-DC28CDE9A543}" type="presParOf" modelId="{00428105-FAA7-1046-AE98-4256ECE937A6}"/>
    <dgm:cxn presId="urn:microsoft.com/office/officeart/2005/8/layout/hierarchy1" destOrd="0" srcOrd="1" destId="{723178F3-00AA-834C-AF8C-63079DD6A45C}" srcId="{DE0EB8F0-8883-AC4D-9B40-DC28CDE9A543}" type="presParOf" modelId="{615D0192-09A9-294D-8D26-CF5B03B6E2D6}"/>
    <dgm:cxn presId="urn:microsoft.com/office/officeart/2005/8/layout/hierarchy1" destOrd="0" srcOrd="1" destId="{32F6FC09-BDE7-714C-9BD6-71100B460365}" srcId="{BCB41773-5B7D-4848-ACB8-8768C2CB7C3A}" type="presParOf" modelId="{D980367E-561D-B345-BEE3-21821C233FB9}"/>
    <dgm:cxn presId="urn:microsoft.com/office/officeart/2005/8/layout/hierarchy1" destOrd="0" srcOrd="0" destId="{9159CACB-A7BD-FD4A-B452-607B3F741CC4}" srcId="{32F6FC09-BDE7-714C-9BD6-71100B460365}" type="presParOf" modelId="{2ABD74C5-BC2B-0545-BCDF-8D58DCBFA2A1}"/>
    <dgm:cxn presId="urn:microsoft.com/office/officeart/2005/8/layout/hierarchy1" destOrd="0" srcOrd="1" destId="{7D469ACD-0878-5849-9CB0-7C340C241988}" srcId="{32F6FC09-BDE7-714C-9BD6-71100B460365}" type="presParOf" modelId="{F949F94F-8EE6-A14C-B217-746814F50DFE}"/>
    <dgm:cxn presId="urn:microsoft.com/office/officeart/2005/8/layout/hierarchy1" destOrd="0" srcOrd="0" destId="{A939303A-A4F4-234F-AA7A-EDC551337281}" srcId="{7D469ACD-0878-5849-9CB0-7C340C241988}" type="presParOf" modelId="{F90D609D-189F-8A4C-A27E-5C0A1C575B8A}"/>
    <dgm:cxn presId="urn:microsoft.com/office/officeart/2005/8/layout/hierarchy1" destOrd="0" srcOrd="0" destId="{901CB426-0DFD-E94F-B346-3BFF9CD8F6C6}" srcId="{A939303A-A4F4-234F-AA7A-EDC551337281}" type="presParOf" modelId="{8ED431EA-70CD-9D46-86BE-C340D9C801E6}"/>
    <dgm:cxn presId="urn:microsoft.com/office/officeart/2005/8/layout/hierarchy1" destOrd="0" srcOrd="1" destId="{CAB12839-8152-C142-BC0D-C92F3DBCC812}" srcId="{A939303A-A4F4-234F-AA7A-EDC551337281}" type="presParOf" modelId="{D581D3DD-C845-F142-8EB4-BC4A96F7D18A}"/>
    <dgm:cxn presId="urn:microsoft.com/office/officeart/2005/8/layout/hierarchy1" destOrd="0" srcOrd="1" destId="{E0684BFC-9983-BE4A-BDEB-09888762A864}" srcId="{7D469ACD-0878-5849-9CB0-7C340C241988}" type="presParOf" modelId="{F70BF3DC-4857-1A48-9980-BC2478F1D564}"/>
    <dgm:cxn presId="urn:microsoft.com/office/officeart/2005/8/layout/hierarchy1" destOrd="0" srcOrd="0" destId="{FC96D61B-0449-C14E-9555-A58C07F15C35}" srcId="{E0684BFC-9983-BE4A-BDEB-09888762A864}" type="presParOf" modelId="{7E2ABE52-1780-354F-A14D-C843AF7ABAE1}"/>
    <dgm:cxn presId="urn:microsoft.com/office/officeart/2005/8/layout/hierarchy1" destOrd="0" srcOrd="1" destId="{8E7E2CBD-BC8D-1540-B268-FEB0F571B73A}" srcId="{E0684BFC-9983-BE4A-BDEB-09888762A864}" type="presParOf" modelId="{A2485226-4809-9948-83C9-D8E028F1578B}"/>
    <dgm:cxn presId="urn:microsoft.com/office/officeart/2005/8/layout/hierarchy1" destOrd="0" srcOrd="0" destId="{8014F9FB-E2E0-7647-8434-6CD2642CE453}" srcId="{8E7E2CBD-BC8D-1540-B268-FEB0F571B73A}" type="presParOf" modelId="{F98B3385-B390-3C43-BB71-3F104610C43D}"/>
    <dgm:cxn presId="urn:microsoft.com/office/officeart/2005/8/layout/hierarchy1" destOrd="0" srcOrd="0" destId="{CF478AB3-C16C-A344-BAC6-8636C79A2425}" srcId="{8014F9FB-E2E0-7647-8434-6CD2642CE453}" type="presParOf" modelId="{8951835A-2529-924F-9F07-77E589FEA0C0}"/>
    <dgm:cxn presId="urn:microsoft.com/office/officeart/2005/8/layout/hierarchy1" destOrd="0" srcOrd="1" destId="{141617D1-2D1A-B741-B0DD-8C19345A408D}" srcId="{8014F9FB-E2E0-7647-8434-6CD2642CE453}" type="presParOf" modelId="{CA7EB925-597C-0945-9023-5C96CED6F015}"/>
    <dgm:cxn presId="urn:microsoft.com/office/officeart/2005/8/layout/hierarchy1" destOrd="0" srcOrd="1" destId="{829BD521-D49C-884E-8812-8868575E9C8C}" srcId="{8E7E2CBD-BC8D-1540-B268-FEB0F571B73A}" type="presParOf" modelId="{0F4E2258-E59A-2543-AD53-953568E53AF9}"/>
    <dgm:cxn presId="urn:microsoft.com/office/officeart/2005/8/layout/hierarchy1" destOrd="0" srcOrd="2" destId="{EB45B2E8-EEFB-E746-8B55-D581CD22D598}" srcId="{32F6FC09-BDE7-714C-9BD6-71100B460365}" type="presParOf" modelId="{8FEC6485-2CF5-F148-80BC-DE08280C6042}"/>
    <dgm:cxn presId="urn:microsoft.com/office/officeart/2005/8/layout/hierarchy1" destOrd="0" srcOrd="3" destId="{FC00C9B8-D8F3-9D42-89FE-6F9B6F4D5CC2}" srcId="{32F6FC09-BDE7-714C-9BD6-71100B460365}" type="presParOf" modelId="{605040AF-32C4-D74A-A5E7-9903317EAF93}"/>
    <dgm:cxn presId="urn:microsoft.com/office/officeart/2005/8/layout/hierarchy1" destOrd="0" srcOrd="0" destId="{C81B14B8-4694-0D4B-A4F8-48BD45C7AECA}" srcId="{FC00C9B8-D8F3-9D42-89FE-6F9B6F4D5CC2}" type="presParOf" modelId="{0363F5AD-6120-9A4E-BFFB-1A90D3022C07}"/>
    <dgm:cxn presId="urn:microsoft.com/office/officeart/2005/8/layout/hierarchy1" destOrd="0" srcOrd="0" destId="{F2E68AB1-5BCE-1145-B2C5-E01F08F194C3}" srcId="{C81B14B8-4694-0D4B-A4F8-48BD45C7AECA}" type="presParOf" modelId="{604AA4A2-9A68-4442-B667-D36F7FD3825F}"/>
    <dgm:cxn presId="urn:microsoft.com/office/officeart/2005/8/layout/hierarchy1" destOrd="0" srcOrd="1" destId="{1D89A476-3FD5-A046-ACEC-D0062D494446}" srcId="{C81B14B8-4694-0D4B-A4F8-48BD45C7AECA}" type="presParOf" modelId="{DA7B26F9-91F5-C043-9BD2-515BCCFFAF7A}"/>
    <dgm:cxn presId="urn:microsoft.com/office/officeart/2005/8/layout/hierarchy1" destOrd="0" srcOrd="1" destId="{BB0534A4-85CF-B048-9976-9AABA268283F}" srcId="{FC00C9B8-D8F3-9D42-89FE-6F9B6F4D5CC2}" type="presParOf" modelId="{C9364DEF-2F1B-4F4D-ADAB-8A5A58A37AD1}"/>
    <dgm:cxn presId="urn:microsoft.com/office/officeart/2005/8/layout/hierarchy1" destOrd="0" srcOrd="4" destId="{0B7BA6EC-9DF2-A348-8CF7-BCDD2AD602FB}" srcId="{32F6FC09-BDE7-714C-9BD6-71100B460365}" type="presParOf" modelId="{516C7D2A-7F32-3C43-98C6-65524A3EC571}"/>
    <dgm:cxn presId="urn:microsoft.com/office/officeart/2005/8/layout/hierarchy1" destOrd="0" srcOrd="5" destId="{44C46C14-BDB8-AA42-B586-0B7A1CE6CF00}" srcId="{32F6FC09-BDE7-714C-9BD6-71100B460365}" type="presParOf" modelId="{37496CF1-1F42-994E-84C2-8337A1A1D2B3}"/>
    <dgm:cxn presId="urn:microsoft.com/office/officeart/2005/8/layout/hierarchy1" destOrd="0" srcOrd="0" destId="{470543F9-AAAA-AC40-8350-C60FC47D5D7B}" srcId="{44C46C14-BDB8-AA42-B586-0B7A1CE6CF00}" type="presParOf" modelId="{AE70E302-F015-B34B-8E18-E7B5B49107D0}"/>
    <dgm:cxn presId="urn:microsoft.com/office/officeart/2005/8/layout/hierarchy1" destOrd="0" srcOrd="0" destId="{76645053-551B-5748-8827-6DD6107F67A2}" srcId="{470543F9-AAAA-AC40-8350-C60FC47D5D7B}" type="presParOf" modelId="{E419059B-250F-4E47-B1A9-EB233DC43754}"/>
    <dgm:cxn presId="urn:microsoft.com/office/officeart/2005/8/layout/hierarchy1" destOrd="0" srcOrd="1" destId="{EB011145-2BE4-684F-9B78-1BF3555A6F8C}" srcId="{470543F9-AAAA-AC40-8350-C60FC47D5D7B}" type="presParOf" modelId="{FE2E200A-749A-D349-9897-F5BA68798C81}"/>
    <dgm:cxn presId="urn:microsoft.com/office/officeart/2005/8/layout/hierarchy1" destOrd="0" srcOrd="1" destId="{1E5DDF0D-5F8A-7740-BD8E-0037A2716E96}" srcId="{44C46C14-BDB8-AA42-B586-0B7A1CE6CF00}" type="presParOf" modelId="{3DBED741-3356-4149-83F9-00864B8A42DB}"/>
  </dgm:cxnLst>
  <dgm:bg/>
  <dgm:whole/>
  <dgm:extLst>
    <a:ext uri="http://schemas.microsoft.com/office/drawing/2008/diagram">
      <dsp:dataModelExt minVer="http://schemas.openxmlformats.org/drawingml/2006/diagram" relId="rId22"/>
    </a:ext>
  </dgm:extLst>
</dgm:dataModel>
</file>

<file path=word/diagrams/drawing1.xml><?xml version="1.0" encoding="utf-8"?>
<dsp:draw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dsp:spTree>
    <dsp:nvGrpSpPr>
      <dsp:cNvPr name="" id="0"/>
      <dsp:cNvGrpSpPr/>
    </dsp:nvGrpSpPr>
    <dsp:grpSpPr/>
    <dsp:sp modelId="{9159CACB-A7BD-FD4A-B452-607B3F741CC4}">
      <dsp:nvSpPr>
        <dsp:cNvPr name="" id="0"/>
        <dsp:cNvSpPr/>
      </dsp:nvSpPr>
      <dsp:spPr>
        <a:xfrm>
          <a:off y="829371" x="1657809"/>
          <a:ext cy="379527" cx="91440"/>
        </a:xfrm>
        <a:custGeom>
          <a:avLst/>
          <a:gdLst/>
          <a:ahLst/>
          <a:cxnLst/>
          <a:rect b="0" r="0" t="0" l="0"/>
          <a:pathLst>
            <a:path>
              <a:moveTo>
                <a:pt y="0" x="45720"/>
              </a:moveTo>
              <a:lnTo>
                <a:pt y="379527" x="45720"/>
              </a:lnTo>
            </a:path>
          </a:pathLst>
        </a:custGeom>
        <a:noFill/>
        <a:ln algn="ctr" cmpd="sng" cap="flat" w="25400">
          <a:solidFill>
            <a:schemeClr val="accent1">
              <a:tint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b="0" g="0" r="0"/>
        </a:lnRef>
        <a:fillRef idx="0">
          <a:scrgbClr b="0" g="0" r="0"/>
        </a:fillRef>
        <a:effectRef idx="0">
          <a:scrgbClr b="0" g="0" r="0"/>
        </a:effectRef>
        <a:fontRef idx="minor"/>
      </dsp:style>
    </dsp:sp>
    <dsp:sp modelId="{22E6A4D9-AE44-AC4E-A495-1A0D515D5C35}">
      <dsp:nvSpPr>
        <dsp:cNvPr name="" id="0"/>
        <dsp:cNvSpPr/>
      </dsp:nvSpPr>
      <dsp:spPr>
        <a:xfrm>
          <a:off y="718" x="948582"/>
          <a:ext cy="828652" cx="1509895"/>
        </a:xfrm>
        <a:prstGeom prst="roundRect">
          <a:avLst>
            <a:gd fmla="val 10000" name="adj"/>
          </a:avLst>
        </a:prstGeom>
        <a:gradFill rotWithShape="false">
          <a:gsLst>
            <a:gs pos="0">
              <a:schemeClr val="accent1">
                <a:shade val="60000"/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shade val="60000"/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scaled="false" ang="16200000"/>
        </a:gradFill>
        <a:ln>
          <a:noFill/>
        </a:ln>
        <a:effectLst>
          <a:outerShdw rotWithShape="false" dir="5400000" dist="23000" blurRad="40000">
            <a:srgbClr val="000000">
              <a:alpha val="35000"/>
            </a:srgbClr>
          </a:outerShdw>
        </a:effectLst>
        <a:scene3d>
          <a:camera prst="orthographicFront">
            <a:rot rev="0" lon="0" lat="0"/>
          </a:camera>
          <a:lightRig dir="t" rig="threePt">
            <a:rot rev="1200000" lon="0" lat="0"/>
          </a:lightRig>
        </a:scene3d>
        <a:sp3d>
          <a:bevelT h="25400" w="63500"/>
        </a:sp3d>
      </dsp:spPr>
      <dsp:style>
        <a:lnRef idx="0">
          <a:scrgbClr b="0" g="0" r="0"/>
        </a:lnRef>
        <a:fillRef idx="3">
          <a:scrgbClr b="0" g="0" r="0"/>
        </a:fillRef>
        <a:effectRef idx="3">
          <a:scrgbClr b="0" g="0" r="0"/>
        </a:effectRef>
        <a:fontRef idx="minor">
          <a:schemeClr val="lt1"/>
        </a:fontRef>
      </dsp:style>
    </dsp:sp>
    <dsp:sp modelId="{723178F3-00AA-834C-AF8C-63079DD6A45C}">
      <dsp:nvSpPr>
        <dsp:cNvPr name="" id="0"/>
        <dsp:cNvSpPr/>
      </dsp:nvSpPr>
      <dsp:spPr>
        <a:xfrm>
          <a:off y="138465" x="1093578"/>
          <a:ext cy="828652" cx="1509895"/>
        </a:xfrm>
        <a:prstGeom prst="roundRect">
          <a:avLst>
            <a:gd fmla="val 10000" name="adj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algn="ctr" cmpd="sng" cap="flat" w="9525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rotWithShape="false" dir="5400000" dist="23000" blurRad="40000">
            <a:srgbClr val="000000">
              <a:alpha val="35000"/>
            </a:srgbClr>
          </a:outerShdw>
        </a:effectLst>
      </dsp:spPr>
      <dsp:style>
        <a:lnRef idx="1">
          <a:scrgbClr b="0" g="0" r="0"/>
        </a:lnRef>
        <a:fillRef idx="1">
          <a:scrgbClr b="0" g="0" r="0"/>
        </a:fillRef>
        <a:effectRef idx="2">
          <a:scrgbClr b="0" g="0" r="0"/>
        </a:effectRef>
        <a:fontRef idx="minor"/>
      </dsp:style>
      <dsp:txBody>
        <a:bodyPr anchorCtr="false" anchor="ctr" spcCol="1270" numCol="1" bIns="53340" rIns="53340" tIns="53340" lIns="53340" wrap="square" vert="horz" spcFirstLastPara="false">
          <a:noAutofit/>
        </a:bodyPr>
        <a:lstStyle/>
        <a:p>
          <a:pPr defTabSz="622300" algn="ctr" lv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smtClean="false" dirty="false" kern="1200" sz="1400" lang="en-US"/>
            <a:t>V</a:t>
          </a:r>
          <a:r>
            <a:rPr smtClean="false" dirty="false" kern="1200" sz="1400" lang="ta-IN"/>
            <a:t>lasnik / </a:t>
          </a:r>
        </a:p>
        <a:p>
          <a:pPr defTabSz="622300" algn="ctr" lv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smtClean="false" dirty="false" kern="1200" sz="1400" lang="en-US"/>
            <a:t>V</a:t>
          </a:r>
          <a:r>
            <a:rPr smtClean="false" dirty="false" kern="1200" sz="1400" lang="ta-IN"/>
            <a:t>oditelj prodaje i nabave   </a:t>
          </a:r>
          <a:endParaRPr dirty="false" kern="1200" sz="1400" lang="hr-HR"/>
        </a:p>
      </dsp:txBody>
      <dsp:txXfrm>
        <a:off y="162735" x="1117848"/>
        <a:ext cy="780112" cx="1461355"/>
      </dsp:txXfrm>
    </dsp:sp>
    <dsp:sp modelId="{901CB426-0DFD-E94F-B346-3BFF9CD8F6C6}">
      <dsp:nvSpPr>
        <dsp:cNvPr name="" id="0"/>
        <dsp:cNvSpPr/>
      </dsp:nvSpPr>
      <dsp:spPr>
        <a:xfrm>
          <a:off y="1208898" x="1051047"/>
          <a:ext cy="828652" cx="1304964"/>
        </a:xfrm>
        <a:prstGeom prst="roundRect">
          <a:avLst>
            <a:gd fmla="val 10000" name="adj"/>
          </a:avLst>
        </a:prstGeom>
        <a:gradFill rotWithShape="false">
          <a:gsLst>
            <a:gs pos="0">
              <a:schemeClr val="accent1">
                <a:shade val="80000"/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shade val="80000"/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scaled="false" ang="16200000"/>
        </a:gradFill>
        <a:ln>
          <a:noFill/>
        </a:ln>
        <a:effectLst>
          <a:outerShdw rotWithShape="false" dir="5400000" dist="23000" blurRad="40000">
            <a:srgbClr val="000000">
              <a:alpha val="35000"/>
            </a:srgbClr>
          </a:outerShdw>
        </a:effectLst>
        <a:scene3d>
          <a:camera prst="orthographicFront">
            <a:rot rev="0" lon="0" lat="0"/>
          </a:camera>
          <a:lightRig dir="t" rig="threePt">
            <a:rot rev="1200000" lon="0" lat="0"/>
          </a:lightRig>
        </a:scene3d>
        <a:sp3d>
          <a:bevelT h="25400" w="63500"/>
        </a:sp3d>
      </dsp:spPr>
      <dsp:style>
        <a:lnRef idx="0">
          <a:scrgbClr b="0" g="0" r="0"/>
        </a:lnRef>
        <a:fillRef idx="3">
          <a:scrgbClr b="0" g="0" r="0"/>
        </a:fillRef>
        <a:effectRef idx="3">
          <a:scrgbClr b="0" g="0" r="0"/>
        </a:effectRef>
        <a:fontRef idx="minor">
          <a:schemeClr val="lt1"/>
        </a:fontRef>
      </dsp:style>
    </dsp:sp>
    <dsp:sp modelId="{CAB12839-8152-C142-BC0D-C92F3DBCC812}">
      <dsp:nvSpPr>
        <dsp:cNvPr name="" id="0"/>
        <dsp:cNvSpPr/>
      </dsp:nvSpPr>
      <dsp:spPr>
        <a:xfrm>
          <a:off y="1346644" x="1196043"/>
          <a:ext cy="828652" cx="1304964"/>
        </a:xfrm>
        <a:prstGeom prst="roundRect">
          <a:avLst>
            <a:gd fmla="val 10000" name="adj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algn="ctr" cmpd="sng" cap="flat" w="9525">
          <a:solidFill>
            <a:schemeClr val="accent1">
              <a:tint val="9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rotWithShape="false" dir="5400000" dist="23000" blurRad="40000">
            <a:srgbClr val="000000">
              <a:alpha val="35000"/>
            </a:srgbClr>
          </a:outerShdw>
        </a:effectLst>
      </dsp:spPr>
      <dsp:style>
        <a:lnRef idx="1">
          <a:scrgbClr b="0" g="0" r="0"/>
        </a:lnRef>
        <a:fillRef idx="1">
          <a:scrgbClr b="0" g="0" r="0"/>
        </a:fillRef>
        <a:effectRef idx="2">
          <a:scrgbClr b="0" g="0" r="0"/>
        </a:effectRef>
        <a:fontRef idx="minor"/>
      </dsp:style>
      <dsp:txBody>
        <a:bodyPr anchorCtr="false" anchor="ctr" spcCol="1270" numCol="1" bIns="53340" rIns="53340" tIns="53340" lIns="53340" wrap="square" vert="horz" spcFirstLastPara="false">
          <a:noAutofit/>
        </a:bodyPr>
        <a:lstStyle/>
        <a:p>
          <a:pPr defTabSz="622300" algn="ctr" lv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smtClean="false" dirty="false" kern="1200" sz="1400" lang="en-US"/>
            <a:t>V</a:t>
          </a:r>
          <a:r>
            <a:rPr smtClean="false" dirty="false" kern="1200" sz="1400" lang="ta-IN"/>
            <a:t>oditelj  proizvodnje    </a:t>
          </a:r>
          <a:endParaRPr dirty="false" kern="1200" sz="1400" lang="hr-HR"/>
        </a:p>
      </dsp:txBody>
      <dsp:txXfrm>
        <a:off y="1370914" x="1220313"/>
        <a:ext cy="780112" cx="1256424"/>
      </dsp:txXfrm>
    </dsp:sp>
  </dsp:spTree>
</dsp:drawing>
</file>

<file path=word/diagrams/drawing2.xml><?xml version="1.0" encoding="utf-8"?>
<dsp:draw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dsp:spTree>
    <dsp:nvGrpSpPr>
      <dsp:cNvPr name="" id="0"/>
      <dsp:cNvGrpSpPr/>
    </dsp:nvGrpSpPr>
    <dsp:grpSpPr/>
    <dsp:sp modelId="{0B7BA6EC-9DF2-A348-8CF7-BCDD2AD602FB}">
      <dsp:nvSpPr>
        <dsp:cNvPr name="" id="0"/>
        <dsp:cNvSpPr/>
      </dsp:nvSpPr>
      <dsp:spPr>
        <a:xfrm>
          <a:off y="727465" x="2611019"/>
          <a:ext cy="332949" cx="1412069"/>
        </a:xfrm>
        <a:custGeom>
          <a:avLst/>
          <a:gdLst/>
          <a:ahLst/>
          <a:cxnLst/>
          <a:rect b="0" r="0" t="0" l="0"/>
          <a:pathLst>
            <a:path>
              <a:moveTo>
                <a:pt y="0" x="0"/>
              </a:moveTo>
              <a:lnTo>
                <a:pt y="226895" x="0"/>
              </a:lnTo>
              <a:lnTo>
                <a:pt y="226895" x="1412069"/>
              </a:lnTo>
              <a:lnTo>
                <a:pt y="332949" x="1412069"/>
              </a:lnTo>
            </a:path>
          </a:pathLst>
        </a:custGeom>
        <a:noFill/>
        <a:ln algn="ctr" cmpd="sng" cap="flat" w="25400">
          <a:solidFill>
            <a:schemeClr val="accent1">
              <a:tint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b="0" g="0" r="0"/>
        </a:lnRef>
        <a:fillRef idx="0">
          <a:scrgbClr b="0" g="0" r="0"/>
        </a:fillRef>
        <a:effectRef idx="0">
          <a:scrgbClr b="0" g="0" r="0"/>
        </a:effectRef>
        <a:fontRef idx="minor"/>
      </dsp:style>
    </dsp:sp>
    <dsp:sp modelId="{EB45B2E8-EEFB-E746-8B55-D581CD22D598}">
      <dsp:nvSpPr>
        <dsp:cNvPr name="" id="0"/>
        <dsp:cNvSpPr/>
      </dsp:nvSpPr>
      <dsp:spPr>
        <a:xfrm>
          <a:off y="727465" x="2565299"/>
          <a:ext cy="332949" cx="91440"/>
        </a:xfrm>
        <a:custGeom>
          <a:avLst/>
          <a:gdLst/>
          <a:ahLst/>
          <a:cxnLst/>
          <a:rect b="0" r="0" t="0" l="0"/>
          <a:pathLst>
            <a:path>
              <a:moveTo>
                <a:pt y="0" x="45720"/>
              </a:moveTo>
              <a:lnTo>
                <a:pt y="226895" x="45720"/>
              </a:lnTo>
              <a:lnTo>
                <a:pt y="226895" x="58576"/>
              </a:lnTo>
              <a:lnTo>
                <a:pt y="332949" x="58576"/>
              </a:lnTo>
            </a:path>
          </a:pathLst>
        </a:custGeom>
        <a:noFill/>
        <a:ln algn="ctr" cmpd="sng" cap="flat" w="25400">
          <a:solidFill>
            <a:schemeClr val="accent1">
              <a:tint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b="0" g="0" r="0"/>
        </a:lnRef>
        <a:fillRef idx="0">
          <a:scrgbClr b="0" g="0" r="0"/>
        </a:fillRef>
        <a:effectRef idx="0">
          <a:scrgbClr b="0" g="0" r="0"/>
        </a:effectRef>
        <a:fontRef idx="minor"/>
      </dsp:style>
    </dsp:sp>
    <dsp:sp modelId="{FC96D61B-0449-C14E-9555-A58C07F15C35}">
      <dsp:nvSpPr>
        <dsp:cNvPr name="" id="0"/>
        <dsp:cNvSpPr/>
      </dsp:nvSpPr>
      <dsp:spPr>
        <a:xfrm>
          <a:off y="1787369" x="1166086"/>
          <a:ext cy="332949" cx="91440"/>
        </a:xfrm>
        <a:custGeom>
          <a:avLst/>
          <a:gdLst/>
          <a:ahLst/>
          <a:cxnLst/>
          <a:rect b="0" r="0" t="0" l="0"/>
          <a:pathLst>
            <a:path>
              <a:moveTo>
                <a:pt y="0" x="45720"/>
              </a:moveTo>
              <a:lnTo>
                <a:pt y="332949" x="45720"/>
              </a:lnTo>
            </a:path>
          </a:pathLst>
        </a:custGeom>
        <a:noFill/>
        <a:ln algn="ctr" cmpd="sng" cap="flat" w="25400">
          <a:solidFill>
            <a:schemeClr val="accent1">
              <a:tint val="7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b="0" g="0" r="0"/>
        </a:lnRef>
        <a:fillRef idx="0">
          <a:scrgbClr b="0" g="0" r="0"/>
        </a:fillRef>
        <a:effectRef idx="0">
          <a:scrgbClr b="0" g="0" r="0"/>
        </a:effectRef>
        <a:fontRef idx="minor"/>
      </dsp:style>
    </dsp:sp>
    <dsp:sp modelId="{9159CACB-A7BD-FD4A-B452-607B3F741CC4}">
      <dsp:nvSpPr>
        <dsp:cNvPr name="" id="0"/>
        <dsp:cNvSpPr/>
      </dsp:nvSpPr>
      <dsp:spPr>
        <a:xfrm>
          <a:off y="727465" x="1211806"/>
          <a:ext cy="332949" cx="1399212"/>
        </a:xfrm>
        <a:custGeom>
          <a:avLst/>
          <a:gdLst/>
          <a:ahLst/>
          <a:cxnLst/>
          <a:rect b="0" r="0" t="0" l="0"/>
          <a:pathLst>
            <a:path>
              <a:moveTo>
                <a:pt y="0" x="1399212"/>
              </a:moveTo>
              <a:lnTo>
                <a:pt y="226895" x="1399212"/>
              </a:lnTo>
              <a:lnTo>
                <a:pt y="226895" x="0"/>
              </a:lnTo>
              <a:lnTo>
                <a:pt y="332949" x="0"/>
              </a:lnTo>
            </a:path>
          </a:pathLst>
        </a:custGeom>
        <a:noFill/>
        <a:ln algn="ctr" cmpd="sng" cap="flat" w="25400">
          <a:solidFill>
            <a:schemeClr val="accent1">
              <a:tint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b="0" g="0" r="0"/>
        </a:lnRef>
        <a:fillRef idx="0">
          <a:scrgbClr b="0" g="0" r="0"/>
        </a:fillRef>
        <a:effectRef idx="0">
          <a:scrgbClr b="0" g="0" r="0"/>
        </a:effectRef>
        <a:fontRef idx="minor"/>
      </dsp:style>
    </dsp:sp>
    <dsp:sp modelId="{22E6A4D9-AE44-AC4E-A495-1A0D515D5C35}">
      <dsp:nvSpPr>
        <dsp:cNvPr name="" id="0"/>
        <dsp:cNvSpPr/>
      </dsp:nvSpPr>
      <dsp:spPr>
        <a:xfrm>
          <a:off y="510" x="2038614"/>
          <a:ext cy="726954" cx="1144810"/>
        </a:xfrm>
        <a:prstGeom prst="roundRect">
          <a:avLst>
            <a:gd fmla="val 10000" name="adj"/>
          </a:avLst>
        </a:prstGeom>
        <a:gradFill rotWithShape="false">
          <a:gsLst>
            <a:gs pos="0">
              <a:schemeClr val="accent1">
                <a:shade val="60000"/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shade val="60000"/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scaled="false" ang="16200000"/>
        </a:gradFill>
        <a:ln>
          <a:noFill/>
        </a:ln>
        <a:effectLst>
          <a:outerShdw rotWithShape="false" dir="5400000" dist="23000" blurRad="40000">
            <a:srgbClr val="000000">
              <a:alpha val="35000"/>
            </a:srgbClr>
          </a:outerShdw>
        </a:effectLst>
        <a:scene3d>
          <a:camera prst="orthographicFront">
            <a:rot rev="0" lon="0" lat="0"/>
          </a:camera>
          <a:lightRig dir="t" rig="threePt">
            <a:rot rev="1200000" lon="0" lat="0"/>
          </a:lightRig>
        </a:scene3d>
        <a:sp3d>
          <a:bevelT h="25400" w="63500"/>
        </a:sp3d>
      </dsp:spPr>
      <dsp:style>
        <a:lnRef idx="0">
          <a:scrgbClr b="0" g="0" r="0"/>
        </a:lnRef>
        <a:fillRef idx="3">
          <a:scrgbClr b="0" g="0" r="0"/>
        </a:fillRef>
        <a:effectRef idx="3">
          <a:scrgbClr b="0" g="0" r="0"/>
        </a:effectRef>
        <a:fontRef idx="minor">
          <a:schemeClr val="lt1"/>
        </a:fontRef>
      </dsp:style>
    </dsp:sp>
    <dsp:sp modelId="{723178F3-00AA-834C-AF8C-63079DD6A45C}">
      <dsp:nvSpPr>
        <dsp:cNvPr name="" id="0"/>
        <dsp:cNvSpPr/>
      </dsp:nvSpPr>
      <dsp:spPr>
        <a:xfrm>
          <a:off y="121352" x="2165815"/>
          <a:ext cy="726954" cx="1144810"/>
        </a:xfrm>
        <a:prstGeom prst="roundRect">
          <a:avLst>
            <a:gd fmla="val 10000" name="adj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algn="ctr" cmpd="sng" cap="flat" w="9525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rotWithShape="false" dir="5400000" dist="23000" blurRad="40000">
            <a:srgbClr val="000000">
              <a:alpha val="35000"/>
            </a:srgbClr>
          </a:outerShdw>
        </a:effectLst>
      </dsp:spPr>
      <dsp:style>
        <a:lnRef idx="1">
          <a:scrgbClr b="0" g="0" r="0"/>
        </a:lnRef>
        <a:fillRef idx="1">
          <a:scrgbClr b="0" g="0" r="0"/>
        </a:fillRef>
        <a:effectRef idx="2">
          <a:scrgbClr b="0" g="0" r="0"/>
        </a:effectRef>
        <a:fontRef idx="minor"/>
      </dsp:style>
      <dsp:txBody>
        <a:bodyPr anchorCtr="false" anchor="ctr" spcCol="1270" numCol="1" bIns="53340" rIns="53340" tIns="53340" lIns="53340" wrap="square" vert="horz" spcFirstLastPara="false">
          <a:noAutofit/>
        </a:bodyPr>
        <a:lstStyle/>
        <a:p>
          <a:pPr defTabSz="622300" algn="ctr" lv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smtClean="false" dirty="false" baseline="0" kern="1200" sz="1400" lang="ta-IN"/>
            <a:t>Vlasnik </a:t>
          </a:r>
          <a:endParaRPr dirty="false" kern="1200" sz="1400" lang="hr-HR"/>
        </a:p>
      </dsp:txBody>
      <dsp:txXfrm>
        <a:off y="142644" x="2187107"/>
        <a:ext cy="684370" cx="1102226"/>
      </dsp:txXfrm>
    </dsp:sp>
    <dsp:sp modelId="{901CB426-0DFD-E94F-B346-3BFF9CD8F6C6}">
      <dsp:nvSpPr>
        <dsp:cNvPr name="" id="0"/>
        <dsp:cNvSpPr/>
      </dsp:nvSpPr>
      <dsp:spPr>
        <a:xfrm>
          <a:off y="1060414" x="626545"/>
          <a:ext cy="726954" cx="1170522"/>
        </a:xfrm>
        <a:prstGeom prst="roundRect">
          <a:avLst>
            <a:gd fmla="val 10000" name="adj"/>
          </a:avLst>
        </a:prstGeom>
        <a:gradFill rotWithShape="false">
          <a:gsLst>
            <a:gs pos="0">
              <a:schemeClr val="accent1">
                <a:shade val="80000"/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shade val="80000"/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scaled="false" ang="16200000"/>
        </a:gradFill>
        <a:ln>
          <a:noFill/>
        </a:ln>
        <a:effectLst>
          <a:outerShdw rotWithShape="false" dir="5400000" dist="23000" blurRad="40000">
            <a:srgbClr val="000000">
              <a:alpha val="35000"/>
            </a:srgbClr>
          </a:outerShdw>
        </a:effectLst>
        <a:scene3d>
          <a:camera prst="orthographicFront">
            <a:rot rev="0" lon="0" lat="0"/>
          </a:camera>
          <a:lightRig dir="t" rig="threePt">
            <a:rot rev="1200000" lon="0" lat="0"/>
          </a:lightRig>
        </a:scene3d>
        <a:sp3d>
          <a:bevelT h="25400" w="63500"/>
        </a:sp3d>
      </dsp:spPr>
      <dsp:style>
        <a:lnRef idx="0">
          <a:scrgbClr b="0" g="0" r="0"/>
        </a:lnRef>
        <a:fillRef idx="3">
          <a:scrgbClr b="0" g="0" r="0"/>
        </a:fillRef>
        <a:effectRef idx="3">
          <a:scrgbClr b="0" g="0" r="0"/>
        </a:effectRef>
        <a:fontRef idx="minor">
          <a:schemeClr val="lt1"/>
        </a:fontRef>
      </dsp:style>
    </dsp:sp>
    <dsp:sp modelId="{CAB12839-8152-C142-BC0D-C92F3DBCC812}">
      <dsp:nvSpPr>
        <dsp:cNvPr name="" id="0"/>
        <dsp:cNvSpPr/>
      </dsp:nvSpPr>
      <dsp:spPr>
        <a:xfrm>
          <a:off y="1181255" x="753746"/>
          <a:ext cy="726954" cx="1170522"/>
        </a:xfrm>
        <a:prstGeom prst="roundRect">
          <a:avLst>
            <a:gd fmla="val 10000" name="adj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algn="ctr" cmpd="sng" cap="flat" w="9525">
          <a:solidFill>
            <a:schemeClr val="accent1">
              <a:tint val="9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rotWithShape="false" dir="5400000" dist="23000" blurRad="40000">
            <a:srgbClr val="000000">
              <a:alpha val="35000"/>
            </a:srgbClr>
          </a:outerShdw>
        </a:effectLst>
      </dsp:spPr>
      <dsp:style>
        <a:lnRef idx="1">
          <a:scrgbClr b="0" g="0" r="0"/>
        </a:lnRef>
        <a:fillRef idx="1">
          <a:scrgbClr b="0" g="0" r="0"/>
        </a:fillRef>
        <a:effectRef idx="2">
          <a:scrgbClr b="0" g="0" r="0"/>
        </a:effectRef>
        <a:fontRef idx="minor"/>
      </dsp:style>
      <dsp:txBody>
        <a:bodyPr anchorCtr="false" anchor="ctr" spcCol="1270" numCol="1" bIns="53340" rIns="53340" tIns="53340" lIns="53340" wrap="square" vert="horz" spcFirstLastPara="false">
          <a:noAutofit/>
        </a:bodyPr>
        <a:lstStyle/>
        <a:p>
          <a:pPr defTabSz="622300" algn="ctr" lv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smtClean="false" dirty="false" kern="1200" sz="1400" lang="en-US"/>
            <a:t>V</a:t>
          </a:r>
          <a:r>
            <a:rPr smtClean="false" dirty="false" kern="1200" sz="1400" lang="ta-IN"/>
            <a:t>oditelj  proizvodnje    </a:t>
          </a:r>
          <a:endParaRPr dirty="false" kern="1200" sz="1400" lang="hr-HR"/>
        </a:p>
      </dsp:txBody>
      <dsp:txXfrm>
        <a:off y="1202547" x="775038"/>
        <a:ext cy="684370" cx="1127938"/>
      </dsp:txXfrm>
    </dsp:sp>
    <dsp:sp modelId="{CF478AB3-C16C-A344-BAC6-8636C79A2425}">
      <dsp:nvSpPr>
        <dsp:cNvPr name="" id="0"/>
        <dsp:cNvSpPr/>
      </dsp:nvSpPr>
      <dsp:spPr>
        <a:xfrm>
          <a:off y="2120318" x="639401"/>
          <a:ext cy="726954" cx="1144810"/>
        </a:xfrm>
        <a:prstGeom prst="roundRect">
          <a:avLst>
            <a:gd fmla="val 10000" name="adj"/>
          </a:avLst>
        </a:prstGeom>
        <a:gradFill rotWithShape="false">
          <a:gsLst>
            <a:gs pos="0">
              <a:schemeClr val="accent1">
                <a:tint val="99000"/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tint val="99000"/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scaled="false" ang="16200000"/>
        </a:gradFill>
        <a:ln>
          <a:noFill/>
        </a:ln>
        <a:effectLst>
          <a:outerShdw rotWithShape="false" dir="5400000" dist="23000" blurRad="40000">
            <a:srgbClr val="000000">
              <a:alpha val="35000"/>
            </a:srgbClr>
          </a:outerShdw>
        </a:effectLst>
        <a:scene3d>
          <a:camera prst="orthographicFront">
            <a:rot rev="0" lon="0" lat="0"/>
          </a:camera>
          <a:lightRig dir="t" rig="threePt">
            <a:rot rev="1200000" lon="0" lat="0"/>
          </a:lightRig>
        </a:scene3d>
        <a:sp3d>
          <a:bevelT h="25400" w="63500"/>
        </a:sp3d>
      </dsp:spPr>
      <dsp:style>
        <a:lnRef idx="0">
          <a:scrgbClr b="0" g="0" r="0"/>
        </a:lnRef>
        <a:fillRef idx="3">
          <a:scrgbClr b="0" g="0" r="0"/>
        </a:fillRef>
        <a:effectRef idx="3">
          <a:scrgbClr b="0" g="0" r="0"/>
        </a:effectRef>
        <a:fontRef idx="minor">
          <a:schemeClr val="lt1"/>
        </a:fontRef>
      </dsp:style>
    </dsp:sp>
    <dsp:sp modelId="{141617D1-2D1A-B741-B0DD-8C19345A408D}">
      <dsp:nvSpPr>
        <dsp:cNvPr name="" id="0"/>
        <dsp:cNvSpPr/>
      </dsp:nvSpPr>
      <dsp:spPr>
        <a:xfrm>
          <a:off y="2241159" x="766602"/>
          <a:ext cy="726954" cx="1144810"/>
        </a:xfrm>
        <a:prstGeom prst="roundRect">
          <a:avLst>
            <a:gd fmla="val 10000" name="adj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algn="ctr" cmpd="sng" cap="flat" w="9525">
          <a:solidFill>
            <a:schemeClr val="accent1">
              <a:tint val="7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rotWithShape="false" dir="5400000" dist="23000" blurRad="40000">
            <a:srgbClr val="000000">
              <a:alpha val="35000"/>
            </a:srgbClr>
          </a:outerShdw>
        </a:effectLst>
      </dsp:spPr>
      <dsp:style>
        <a:lnRef idx="1">
          <a:scrgbClr b="0" g="0" r="0"/>
        </a:lnRef>
        <a:fillRef idx="1">
          <a:scrgbClr b="0" g="0" r="0"/>
        </a:fillRef>
        <a:effectRef idx="2">
          <a:scrgbClr b="0" g="0" r="0"/>
        </a:effectRef>
        <a:fontRef idx="minor"/>
      </dsp:style>
      <dsp:txBody>
        <a:bodyPr anchorCtr="false" anchor="ctr" spcCol="1270" numCol="1" bIns="53340" rIns="53340" tIns="53340" lIns="53340" wrap="square" vert="horz" spcFirstLastPara="false">
          <a:noAutofit/>
        </a:bodyPr>
        <a:lstStyle/>
        <a:p>
          <a:pPr defTabSz="622300" algn="ctr" lv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smtClean="false" dirty="false" kern="1200" sz="1400" lang="en-US"/>
            <a:t>R</a:t>
          </a:r>
          <a:r>
            <a:rPr smtClean="false" dirty="false" kern="1200" sz="1400" lang="ta-IN"/>
            <a:t>adnik u proizvodnji </a:t>
          </a:r>
          <a:endParaRPr dirty="false" kern="1200" sz="1400" lang="en-US"/>
        </a:p>
      </dsp:txBody>
      <dsp:txXfrm>
        <a:off y="2262451" x="787894"/>
        <a:ext cy="684370" cx="1102226"/>
      </dsp:txXfrm>
    </dsp:sp>
    <dsp:sp modelId="{F2E68AB1-5BCE-1145-B2C5-E01F08F194C3}">
      <dsp:nvSpPr>
        <dsp:cNvPr name="" id="0"/>
        <dsp:cNvSpPr/>
      </dsp:nvSpPr>
      <dsp:spPr>
        <a:xfrm>
          <a:off y="1060414" x="2051470"/>
          <a:ext cy="726954" cx="1144810"/>
        </a:xfrm>
        <a:prstGeom prst="roundRect">
          <a:avLst>
            <a:gd fmla="val 10000" name="adj"/>
          </a:avLst>
        </a:prstGeom>
        <a:gradFill rotWithShape="false">
          <a:gsLst>
            <a:gs pos="0">
              <a:schemeClr val="accent1">
                <a:shade val="80000"/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shade val="80000"/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scaled="false" ang="16200000"/>
        </a:gradFill>
        <a:ln>
          <a:noFill/>
        </a:ln>
        <a:effectLst>
          <a:outerShdw rotWithShape="false" dir="5400000" dist="23000" blurRad="40000">
            <a:srgbClr val="000000">
              <a:alpha val="35000"/>
            </a:srgbClr>
          </a:outerShdw>
        </a:effectLst>
        <a:scene3d>
          <a:camera prst="orthographicFront">
            <a:rot rev="0" lon="0" lat="0"/>
          </a:camera>
          <a:lightRig dir="t" rig="threePt">
            <a:rot rev="1200000" lon="0" lat="0"/>
          </a:lightRig>
        </a:scene3d>
        <a:sp3d>
          <a:bevelT h="25400" w="63500"/>
        </a:sp3d>
      </dsp:spPr>
      <dsp:style>
        <a:lnRef idx="0">
          <a:scrgbClr b="0" g="0" r="0"/>
        </a:lnRef>
        <a:fillRef idx="3">
          <a:scrgbClr b="0" g="0" r="0"/>
        </a:fillRef>
        <a:effectRef idx="3">
          <a:scrgbClr b="0" g="0" r="0"/>
        </a:effectRef>
        <a:fontRef idx="minor">
          <a:schemeClr val="lt1"/>
        </a:fontRef>
      </dsp:style>
    </dsp:sp>
    <dsp:sp modelId="{1D89A476-3FD5-A046-ACEC-D0062D494446}">
      <dsp:nvSpPr>
        <dsp:cNvPr name="" id="0"/>
        <dsp:cNvSpPr/>
      </dsp:nvSpPr>
      <dsp:spPr>
        <a:xfrm>
          <a:off y="1181255" x="2178671"/>
          <a:ext cy="726954" cx="1144810"/>
        </a:xfrm>
        <a:prstGeom prst="roundRect">
          <a:avLst>
            <a:gd fmla="val 10000" name="adj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algn="ctr" cmpd="sng" cap="flat" w="9525">
          <a:solidFill>
            <a:schemeClr val="accent1">
              <a:tint val="9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rotWithShape="false" dir="5400000" dist="23000" blurRad="40000">
            <a:srgbClr val="000000">
              <a:alpha val="35000"/>
            </a:srgbClr>
          </a:outerShdw>
        </a:effectLst>
      </dsp:spPr>
      <dsp:style>
        <a:lnRef idx="1">
          <a:scrgbClr b="0" g="0" r="0"/>
        </a:lnRef>
        <a:fillRef idx="1">
          <a:scrgbClr b="0" g="0" r="0"/>
        </a:fillRef>
        <a:effectRef idx="2">
          <a:scrgbClr b="0" g="0" r="0"/>
        </a:effectRef>
        <a:fontRef idx="minor"/>
      </dsp:style>
      <dsp:txBody>
        <a:bodyPr anchorCtr="false" anchor="ctr" spcCol="1270" numCol="1" bIns="53340" rIns="53340" tIns="53340" lIns="53340" wrap="square" vert="horz" spcFirstLastPara="false">
          <a:noAutofit/>
        </a:bodyPr>
        <a:lstStyle/>
        <a:p>
          <a:pPr defTabSz="622300" algn="ctr" lv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smtClean="false" dirty="false" kern="1200" sz="1400" lang="en-US"/>
            <a:t>V</a:t>
          </a:r>
          <a:r>
            <a:rPr smtClean="false" dirty="false" kern="1200" sz="1400" lang="ta-IN"/>
            <a:t>oditelj nabave </a:t>
          </a:r>
          <a:endParaRPr dirty="false" kern="1200" sz="1400" lang="en-US"/>
        </a:p>
      </dsp:txBody>
      <dsp:txXfrm>
        <a:off y="1202547" x="2199963"/>
        <a:ext cy="684370" cx="1102226"/>
      </dsp:txXfrm>
    </dsp:sp>
    <dsp:sp modelId="{76645053-551B-5748-8827-6DD6107F67A2}">
      <dsp:nvSpPr>
        <dsp:cNvPr name="" id="0"/>
        <dsp:cNvSpPr/>
      </dsp:nvSpPr>
      <dsp:spPr>
        <a:xfrm>
          <a:off y="1060414" x="3450683"/>
          <a:ext cy="726954" cx="1144810"/>
        </a:xfrm>
        <a:prstGeom prst="roundRect">
          <a:avLst>
            <a:gd fmla="val 10000" name="adj"/>
          </a:avLst>
        </a:prstGeom>
        <a:gradFill rotWithShape="false">
          <a:gsLst>
            <a:gs pos="0">
              <a:schemeClr val="accent1">
                <a:shade val="80000"/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shade val="80000"/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scaled="false" ang="16200000"/>
        </a:gradFill>
        <a:ln>
          <a:noFill/>
        </a:ln>
        <a:effectLst>
          <a:outerShdw rotWithShape="false" dir="5400000" dist="23000" blurRad="40000">
            <a:srgbClr val="000000">
              <a:alpha val="35000"/>
            </a:srgbClr>
          </a:outerShdw>
        </a:effectLst>
        <a:scene3d>
          <a:camera prst="orthographicFront">
            <a:rot rev="0" lon="0" lat="0"/>
          </a:camera>
          <a:lightRig dir="t" rig="threePt">
            <a:rot rev="1200000" lon="0" lat="0"/>
          </a:lightRig>
        </a:scene3d>
        <a:sp3d>
          <a:bevelT h="25400" w="63500"/>
        </a:sp3d>
      </dsp:spPr>
      <dsp:style>
        <a:lnRef idx="0">
          <a:scrgbClr b="0" g="0" r="0"/>
        </a:lnRef>
        <a:fillRef idx="3">
          <a:scrgbClr b="0" g="0" r="0"/>
        </a:fillRef>
        <a:effectRef idx="3">
          <a:scrgbClr b="0" g="0" r="0"/>
        </a:effectRef>
        <a:fontRef idx="minor">
          <a:schemeClr val="lt1"/>
        </a:fontRef>
      </dsp:style>
    </dsp:sp>
    <dsp:sp modelId="{EB011145-2BE4-684F-9B78-1BF3555A6F8C}">
      <dsp:nvSpPr>
        <dsp:cNvPr name="" id="0"/>
        <dsp:cNvSpPr/>
      </dsp:nvSpPr>
      <dsp:spPr>
        <a:xfrm>
          <a:off y="1181255" x="3577884"/>
          <a:ext cy="726954" cx="1144810"/>
        </a:xfrm>
        <a:prstGeom prst="roundRect">
          <a:avLst>
            <a:gd fmla="val 10000" name="adj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algn="ctr" cmpd="sng" cap="flat" w="9525">
          <a:solidFill>
            <a:schemeClr val="accent1">
              <a:tint val="9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rotWithShape="false" dir="5400000" dist="23000" blurRad="40000">
            <a:srgbClr val="000000">
              <a:alpha val="35000"/>
            </a:srgbClr>
          </a:outerShdw>
        </a:effectLst>
      </dsp:spPr>
      <dsp:style>
        <a:lnRef idx="1">
          <a:scrgbClr b="0" g="0" r="0"/>
        </a:lnRef>
        <a:fillRef idx="1">
          <a:scrgbClr b="0" g="0" r="0"/>
        </a:fillRef>
        <a:effectRef idx="2">
          <a:scrgbClr b="0" g="0" r="0"/>
        </a:effectRef>
        <a:fontRef idx="minor"/>
      </dsp:style>
      <dsp:txBody>
        <a:bodyPr anchorCtr="false" anchor="ctr" spcCol="1270" numCol="1" bIns="53340" rIns="53340" tIns="53340" lIns="53340" wrap="square" vert="horz" spcFirstLastPara="false">
          <a:noAutofit/>
        </a:bodyPr>
        <a:lstStyle/>
        <a:p>
          <a:pPr defTabSz="622300" algn="ctr" lv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smtClean="false" dirty="false" kern="1200" sz="1400" lang="en-US"/>
            <a:t>V</a:t>
          </a:r>
          <a:r>
            <a:rPr smtClean="false" dirty="false" kern="1200" sz="1400" lang="ta-IN"/>
            <a:t>oditelj prodaje i marketinga </a:t>
          </a:r>
          <a:endParaRPr dirty="false" kern="1200" sz="1400" lang="en-US"/>
        </a:p>
      </dsp:txBody>
      <dsp:txXfrm>
        <a:off y="1202547" x="3599176"/>
        <a:ext cy="684370" cx="1102226"/>
      </dsp:txXfrm>
    </dsp:sp>
  </dsp:spTree>
</dsp:drawing>
</file>

<file path=word/diagrams/layout1.xml><?xml version="1.0" encoding="utf-8"?>
<dgm:layoutDef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uniqueId="urn:microsoft.com/office/officeart/2005/8/layout/hierarchy1">
  <dgm:title val=""/>
  <dgm:desc val=""/>
  <dgm:catLst>
    <dgm:cat pri="2000" type="hierarchy"/>
  </dgm:catLst>
  <dgm:sampData>
    <dgm:dataModel>
      <dgm:ptLst>
        <dgm:pt type="doc" modelId="0"/>
        <dgm:pt modelId="1">
          <dgm:prSet phldr="true"/>
        </dgm:pt>
        <dgm:pt modelId="2">
          <dgm:prSet phldr="true"/>
        </dgm:pt>
        <dgm:pt modelId="21">
          <dgm:prSet phldr="true"/>
        </dgm:pt>
        <dgm:pt modelId="22">
          <dgm:prSet phldr="true"/>
        </dgm:pt>
        <dgm:pt modelId="3">
          <dgm:prSet phldr="true"/>
        </dgm:pt>
        <dgm:pt modelId="31">
          <dgm:prSet phldr="true"/>
        </dgm:pt>
      </dgm:ptLst>
      <dgm:cxnLst>
        <dgm:cxn destOrd="0" srcOrd="0" destId="1" srcId="0" modelId="4"/>
        <dgm:cxn destOrd="0" srcOrd="0" destId="2" srcId="1" modelId="5"/>
        <dgm:cxn destOrd="0" srcOrd="1" destId="3" srcId="1" modelId="6"/>
        <dgm:cxn destOrd="0" srcOrd="0" destId="21" srcId="2" modelId="23"/>
        <dgm:cxn destOrd="0" srcOrd="1" destId="22" srcId="2" modelId="24"/>
        <dgm:cxn destOrd="0" srcOrd="0" destId="31" srcId="3" modelId="33"/>
      </dgm:cxnLst>
      <dgm:bg/>
      <dgm:whole/>
    </dgm:dataModel>
  </dgm:sampData>
  <dgm:styleData>
    <dgm:dataModel>
      <dgm:ptLst>
        <dgm:pt type="doc" modelId="0"/>
        <dgm:pt modelId="1"/>
        <dgm:pt modelId="11"/>
        <dgm:pt modelId="12"/>
      </dgm:ptLst>
      <dgm:cxnLst>
        <dgm:cxn destOrd="0" srcOrd="0" destId="1" srcId="0" modelId="2"/>
        <dgm:cxn destOrd="0" srcOrd="0" destId="11" srcId="1" modelId="13"/>
        <dgm:cxn destOrd="0" srcOrd="1" destId="12" srcId="1" modelId="14"/>
      </dgm:cxnLst>
      <dgm:bg/>
      <dgm:whole/>
    </dgm:dataModel>
  </dgm:styleData>
  <dgm:clrData>
    <dgm:dataModel>
      <dgm:ptLst>
        <dgm:pt type="doc" modelId="0"/>
        <dgm:pt modelId="1"/>
        <dgm:pt modelId="2"/>
        <dgm:pt modelId="21"/>
        <dgm:pt modelId="211"/>
        <dgm:pt modelId="3"/>
        <dgm:pt modelId="31"/>
        <dgm:pt modelId="311"/>
      </dgm:ptLst>
      <dgm:cxnLst>
        <dgm:cxn destOrd="0" srcOrd="0" destId="1" srcId="0" modelId="4"/>
        <dgm:cxn destOrd="0" srcOrd="0" destId="2" srcId="1" modelId="5"/>
        <dgm:cxn destOrd="0" srcOrd="1" destId="3" srcId="1" modelId="6"/>
        <dgm:cxn destOrd="0" srcOrd="0" destId="21" srcId="2" modelId="23"/>
        <dgm:cxn destOrd="0" srcOrd="0" destId="211" srcId="21" modelId="24"/>
        <dgm:cxn destOrd="0" srcOrd="0" destId="31" srcId="3" modelId="33"/>
        <dgm:cxn destOrd="0" srcOrd="0" destId="311" srcId="31" modelId="34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val="norm" op="equ" arg="dir" func="var" name="Name1">
        <dgm:alg type="hierChild">
          <dgm:param val="fromL" type="linDir"/>
        </dgm:alg>
      </dgm:if>
      <dgm:else name="Name2">
        <dgm:alg type="hierChild">
          <dgm:param val="fromR" type="linDir"/>
        </dgm:alg>
      </dgm:else>
    </dgm:choose>
    <dgm:shape r:blip="">
      <dgm:adjLst/>
    </dgm:shape>
    <dgm:presOf/>
    <dgm:constrLst>
      <dgm:constr ptType="node" for="des" type="primFontSz" val="65.0" op="equ"/>
      <dgm:constr refType="w" forName="composite" for="des" type="w"/>
      <dgm:constr refForName="composite" refFor="des" refType="w" forName="composite" for="des" type="h" fact="0.667"/>
      <dgm:constr refForName="composite" refFor="des" refType="w" forName="composite2" for="des" type="w"/>
      <dgm:constr refForName="composite" refFor="des" refType="h" forName="composite2" for="des" type="h"/>
      <dgm:constr refForName="composite" refFor="des" refType="w" forName="composite3" for="des" type="w"/>
      <dgm:constr refForName="composite" refFor="des" refType="h" forName="composite3" for="des" type="h"/>
      <dgm:constr refForName="composite" refFor="des" refType="w" forName="composite4" for="des" type="w"/>
      <dgm:constr refForName="composite" refFor="des" refType="h" forName="composite4" for="des" type="h"/>
      <dgm:constr refForName="composite" refFor="des" refType="w" forName="composite5" for="des" type="w"/>
      <dgm:constr refForName="composite" refFor="des" refType="h" forName="composite5" for="des" type="h"/>
      <dgm:constr refForName="composite" refFor="des" refType="w" type="sibSp" fact="0.1"/>
      <dgm:constr refType="sibSp" forName="hierChild2" for="des" type="sibSp"/>
      <dgm:constr refType="sibSp" forName="hierChild3" for="des" type="sibSp"/>
      <dgm:constr refType="sibSp" forName="hierChild4" for="des" type="sibSp"/>
      <dgm:constr refType="sibSp" forName="hierChild5" for="des" type="sibSp"/>
      <dgm:constr refType="sibSp" forName="hierChild6" for="des" type="sibSp"/>
      <dgm:constr refForName="composite" refFor="des" refType="h" forName="hierRoot1" for="des" type="sp" fact="0.25"/>
      <dgm:constr refForName="hierRoot1" refFor="des" refType="sp" forName="hierRoot2" for="des" type="sp"/>
      <dgm:constr refForName="hierRoot1" refFor="des" refType="sp" forName="hierRoot3" for="des" type="sp"/>
      <dgm:constr refForName="hierRoot1" refFor="des" refType="sp" forName="hierRoot4" for="des" type="sp"/>
      <dgm:constr refForName="hierRoot1" refFor="des" refType="sp" forName="hierRoot5" for="des" type="sp"/>
    </dgm:constrLst>
    <dgm:ruleLst/>
    <dgm:forEach axis="ch" name="Name3">
      <dgm:forEach ptType="node" axis="self" name="Name4">
        <dgm:layoutNode name="hierRoot1">
          <dgm:alg type="hierRoot"/>
          <dgm:shape r:blip="">
            <dgm:adjLst/>
          </dgm:shape>
          <dgm:presOf/>
          <dgm:constrLst>
            <dgm:constr refType="sp" ptType="parTrans" for="des" type="bendDist" fact="0.5"/>
          </dgm:constrLst>
          <dgm:ruleLst/>
          <dgm:layoutNode name="composite">
            <dgm:alg type="composite"/>
            <dgm:shape r:blip="">
              <dgm:adjLst/>
            </dgm:shape>
            <dgm:presOf/>
            <dgm:constrLst>
              <dgm:constr refType="w" forName="background" for="ch" type="w" fact="0.9"/>
              <dgm:constr refForName="background" refFor="ch" refType="w" forName="background" for="ch" type="h" fact="0.635"/>
              <dgm:constr forName="background" for="ch" type="t"/>
              <dgm:constr forName="background" for="ch" type="l"/>
              <dgm:constr refType="w" forName="text" for="ch" type="w" fact="0.9"/>
              <dgm:constr refForName="text" refFor="ch" refType="w" forName="text" for="ch" type="h" fact="0.635"/>
              <dgm:constr refType="w" forName="text" for="ch" type="t" fact="0.095"/>
              <dgm:constr refType="w" forName="text" for="ch" type="l" fact="0.1"/>
            </dgm:constrLst>
            <dgm:ruleLst/>
            <dgm:layoutNode moveWith="text" styleLbl="node0" name="background">
              <dgm:alg type="sp"/>
              <dgm:shape r:blip="" type="roundRect">
                <dgm:adjLst>
                  <dgm:adj val="0.1" idx="1"/>
                </dgm:adjLst>
              </dgm:shape>
              <dgm:presOf/>
              <dgm:constrLst/>
              <dgm:ruleLst/>
            </dgm:layoutNode>
            <dgm:layoutNode styleLbl="fgAcc0" name="text">
              <dgm:varLst>
                <dgm:chPref val="3"/>
              </dgm:varLst>
              <dgm:alg type="tx"/>
              <dgm:shape r:blip="" type="roundRect">
                <dgm:adjLst>
                  <dgm:adj val="0.1" idx="1"/>
                </dgm:adjLst>
              </dgm:shape>
              <dgm:presOf axis="self"/>
              <dgm:constrLst>
                <dgm:constr refType="primFontSz" type="tMarg" fact="0.3"/>
                <dgm:constr refType="primFontSz" type="bMarg" fact="0.3"/>
                <dgm:constr refType="primFontSz" type="lMarg" fact="0.3"/>
                <dgm:constr refType="primFontSz" type="rMarg" fact="0.3"/>
              </dgm:constrLst>
              <dgm:ruleLst>
                <dgm:rule type="primFontSz" max="NaN" fact="NaN" val="5.0"/>
              </dgm:ruleLst>
            </dgm:layoutNode>
          </dgm:layoutNode>
          <dgm:layoutNode name="hierChild2">
            <dgm:choose name="Name5">
              <dgm:if val="norm" op="equ" arg="dir" func="var" name="Name6">
                <dgm:alg type="hierChild">
                  <dgm:param val="fromL" type="linDir"/>
                </dgm:alg>
              </dgm:if>
              <dgm:else name="Name7">
                <dgm:alg type="hierChild">
                  <dgm:param val="fromR" type="linDir"/>
                </dgm:alg>
              </dgm:else>
            </dgm:choose>
            <dgm:shape r:blip="">
              <dgm:adjLst/>
            </dgm:shape>
            <dgm:presOf/>
            <dgm:constrLst/>
            <dgm:ruleLst/>
            <dgm:forEach axis="ch" name="Name8">
              <dgm:forEach cnt="1" ptType="parTrans" axis="self" name="Name9">
                <dgm:layoutNode name="Name10">
                  <dgm:alg type="conn">
                    <dgm:param val="1D" type="dim"/>
                    <dgm:param val="noArr" type="endSty"/>
                    <dgm:param val="bend" type="connRout"/>
                    <dgm:param val="end" type="bendPt"/>
                    <dgm:param val="bCtr" type="begPts"/>
                    <dgm:param val="tCtr" type="endPts"/>
                    <dgm:param val="background" type="srcNode"/>
                    <dgm:param val="background2" type="dstNode"/>
                  </dgm:alg>
                  <dgm:shape zOrderOff="-999" r:blip="" type="conn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ptType="node" axis="self" name="Name11">
                <dgm:layoutNode name="hierRoot2">
                  <dgm:alg type="hierRoot"/>
                  <dgm:shape r:blip="">
                    <dgm:adjLst/>
                  </dgm:shape>
                  <dgm:presOf/>
                  <dgm:constrLst>
                    <dgm:constr refType="sp" ptType="parTrans" for="des" type="bendDist" fact="0.5"/>
                  </dgm:constrLst>
                  <dgm:ruleLst/>
                  <dgm:layoutNode name="composite2">
                    <dgm:alg type="composite"/>
                    <dgm:shape r:blip="">
                      <dgm:adjLst/>
                    </dgm:shape>
                    <dgm:presOf/>
                    <dgm:constrLst>
                      <dgm:constr refType="w" forName="background2" for="ch" type="w" fact="0.9"/>
                      <dgm:constr refForName="background2" refFor="ch" refType="w" forName="background2" for="ch" type="h" fact="0.635"/>
                      <dgm:constr forName="background2" for="ch" type="t"/>
                      <dgm:constr forName="background2" for="ch" type="l"/>
                      <dgm:constr refType="w" forName="text2" for="ch" type="w" fact="0.9"/>
                      <dgm:constr refForName="text2" refFor="ch" refType="w" forName="text2" for="ch" type="h" fact="0.635"/>
                      <dgm:constr refType="w" forName="text2" for="ch" type="t" fact="0.095"/>
                      <dgm:constr refType="w" forName="text2" for="ch" type="l" fact="0.1"/>
                    </dgm:constrLst>
                    <dgm:ruleLst/>
                    <dgm:layoutNode moveWith="text2" name="background2">
                      <dgm:alg type="sp"/>
                      <dgm:shape r:blip="" type="roundRect">
                        <dgm:adjLst>
                          <dgm:adj val="0.1" idx="1"/>
                        </dgm:adjLst>
                      </dgm:shape>
                      <dgm:presOf/>
                      <dgm:constrLst/>
                      <dgm:ruleLst/>
                    </dgm:layoutNode>
                    <dgm:layoutNode styleLbl="fgAcc2" name="text2">
                      <dgm:varLst>
                        <dgm:chPref val="3"/>
                      </dgm:varLst>
                      <dgm:alg type="tx"/>
                      <dgm:shape r:blip="" type="roundRect">
                        <dgm:adjLst>
                          <dgm:adj val="0.1" idx="1"/>
                        </dgm:adjLst>
                      </dgm:shape>
                      <dgm:presOf axis="self"/>
                      <dgm:constrLst>
                        <dgm:constr refType="primFontSz" type="tMarg" fact="0.3"/>
                        <dgm:constr refType="primFontSz" type="bMarg" fact="0.3"/>
                        <dgm:constr refType="primFontSz" type="lMarg" fact="0.3"/>
                        <dgm:constr refType="primFontSz" type="rMarg" fact="0.3"/>
                      </dgm:constrLst>
                      <dgm:ruleLst>
                        <dgm:rule type="primFontSz" max="NaN" fact="NaN" val="5.0"/>
                      </dgm:ruleLst>
                    </dgm:layoutNode>
                  </dgm:layoutNode>
                  <dgm:layoutNode name="hierChild3">
                    <dgm:choose name="Name12">
                      <dgm:if val="norm" op="equ" arg="dir" func="var" name="Name13">
                        <dgm:alg type="hierChild">
                          <dgm:param val="fromL" type="linDir"/>
                        </dgm:alg>
                      </dgm:if>
                      <dgm:else name="Name14">
                        <dgm:alg type="hierChild">
                          <dgm:param val="fromR" type="linDir"/>
                        </dgm:alg>
                      </dgm:else>
                    </dgm:choose>
                    <dgm:shape r:blip="">
                      <dgm:adjLst/>
                    </dgm:shape>
                    <dgm:presOf/>
                    <dgm:constrLst/>
                    <dgm:ruleLst/>
                    <dgm:forEach axis="ch" name="Name15">
                      <dgm:forEach cnt="1" ptType="parTrans" axis="self" name="Name16">
                        <dgm:layoutNode name="Name17">
                          <dgm:alg type="conn">
                            <dgm:param val="1D" type="dim"/>
                            <dgm:param val="noArr" type="endSty"/>
                            <dgm:param val="bend" type="connRout"/>
                            <dgm:param val="end" type="bendPt"/>
                            <dgm:param val="bCtr" type="begPts"/>
                            <dgm:param val="tCtr" type="endPts"/>
                            <dgm:param val="background2" type="srcNode"/>
                            <dgm:param val="background3" type="dstNode"/>
                          </dgm:alg>
                          <dgm:shape zOrderOff="-999" r:blip="" type="conn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ptType="node" axis="self" name="Name18">
                        <dgm:layoutNode name="hierRoot3">
                          <dgm:alg type="hierRoot"/>
                          <dgm:shape r:blip="">
                            <dgm:adjLst/>
                          </dgm:shape>
                          <dgm:presOf/>
                          <dgm:constrLst>
                            <dgm:constr refType="sp" ptType="parTrans" for="des" type="bendDist" fact="0.5"/>
                          </dgm:constrLst>
                          <dgm:ruleLst/>
                          <dgm:layoutNode name="composite3">
                            <dgm:alg type="composite"/>
                            <dgm:shape r:blip="">
                              <dgm:adjLst/>
                            </dgm:shape>
                            <dgm:presOf/>
                            <dgm:constrLst>
                              <dgm:constr refType="w" forName="background3" for="ch" type="w" fact="0.9"/>
                              <dgm:constr refForName="background3" refFor="ch" refType="w" forName="background3" for="ch" type="h" fact="0.635"/>
                              <dgm:constr forName="background3" for="ch" type="t"/>
                              <dgm:constr forName="background3" for="ch" type="l"/>
                              <dgm:constr refType="w" forName="text3" for="ch" type="w" fact="0.9"/>
                              <dgm:constr refForName="text3" refFor="ch" refType="w" forName="text3" for="ch" type="h" fact="0.635"/>
                              <dgm:constr refType="w" forName="text3" for="ch" type="t" fact="0.095"/>
                              <dgm:constr refType="w" forName="text3" for="ch" type="l" fact="0.1"/>
                            </dgm:constrLst>
                            <dgm:ruleLst/>
                            <dgm:layoutNode moveWith="text3" name="background3">
                              <dgm:alg type="sp"/>
                              <dgm:shape r:blip="" type="roundRect">
                                <dgm:adjLst>
                                  <dgm:adj val="0.1" idx="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styleLbl="fgAcc3" name="text3">
                              <dgm:varLst>
                                <dgm:chPref val="3"/>
                              </dgm:varLst>
                              <dgm:alg type="tx"/>
                              <dgm:shape r:blip="" type="roundRect">
                                <dgm:adjLst>
                                  <dgm:adj val="0.1" idx="1"/>
                                </dgm:adjLst>
                              </dgm:shape>
                              <dgm:presOf axis="self"/>
                              <dgm:constrLst>
                                <dgm:constr refType="primFontSz" type="tMarg" fact="0.3"/>
                                <dgm:constr refType="primFontSz" type="bMarg" fact="0.3"/>
                                <dgm:constr refType="primFontSz" type="lMarg" fact="0.3"/>
                                <dgm:constr refType="primFontSz" type="rMarg" fact="0.3"/>
                              </dgm:constrLst>
                              <dgm:ruleLst>
                                <dgm:rule type="primFontSz" max="NaN" fact="NaN" val="5.0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val="norm" op="equ" arg="dir" func="var" name="Name20">
                                <dgm:alg type="hierChild">
                                  <dgm:param val="fromL" type="linDir"/>
                                </dgm:alg>
                              </dgm:if>
                              <dgm:else name="Name21">
                                <dgm:alg type="hierChild">
                                  <dgm:param val="fromR" type="linDir"/>
                                </dgm:alg>
                              </dgm:else>
                            </dgm:choose>
                            <dgm:shape r:blip="">
                              <dgm:adjLst/>
                            </dgm:shape>
                            <dgm:presOf/>
                            <dgm:constrLst/>
                            <dgm:ruleLst/>
                            <dgm:forEach axis="ch" name="repeat">
                              <dgm:forEach cnt="1" ptType="parTrans" axis="self" name="Name22">
                                <dgm:layoutNode name="Name23">
                                  <dgm:choose name="Name24">
                                    <dgm:if axis="self" val="4" op="lte" func="depth" name="Name25">
                                      <dgm:alg type="conn">
                                        <dgm:param val="1D" type="dim"/>
                                        <dgm:param val="noArr" type="endSty"/>
                                        <dgm:param val="bend" type="connRout"/>
                                        <dgm:param val="end" type="bendPt"/>
                                        <dgm:param val="bCtr" type="begPts"/>
                                        <dgm:param val="tCtr" type="endPts"/>
                                        <dgm:param val="background3" type="srcNode"/>
                                        <dgm:param val="background4" type="dstNode"/>
                                      </dgm:alg>
                                    </dgm:if>
                                    <dgm:else name="Name26">
                                      <dgm:alg type="conn">
                                        <dgm:param val="1D" type="dim"/>
                                        <dgm:param val="noArr" type="endSty"/>
                                        <dgm:param val="bend" type="connRout"/>
                                        <dgm:param val="end" type="bendPt"/>
                                        <dgm:param val="bCtr" type="begPts"/>
                                        <dgm:param val="tCtr" type="endPts"/>
                                        <dgm:param val="background4" type="srcNode"/>
                                        <dgm:param val="background4" type="dstNode"/>
                                      </dgm:alg>
                                    </dgm:else>
                                  </dgm:choose>
                                  <dgm:shape zOrderOff="-999" r:blip="" type="conn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ptType="node" axis="self" name="Name27">
                                <dgm:layoutNode name="hierRoot4">
                                  <dgm:alg type="hierRoot"/>
                                  <dgm:shape r:blip="">
                                    <dgm:adjLst/>
                                  </dgm:shape>
                                  <dgm:presOf/>
                                  <dgm:constrLst>
                                    <dgm:constr refType="sp" ptType="parTrans" for="des" type="bendDist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r:blip="">
                                      <dgm:adjLst/>
                                    </dgm:shape>
                                    <dgm:presOf/>
                                    <dgm:constrLst>
                                      <dgm:constr refType="w" forName="background4" for="ch" type="w" fact="0.9"/>
                                      <dgm:constr refForName="background4" refFor="ch" refType="w" forName="background4" for="ch" type="h" fact="0.635"/>
                                      <dgm:constr forName="background4" for="ch" type="t"/>
                                      <dgm:constr forName="background4" for="ch" type="l"/>
                                      <dgm:constr refType="w" forName="text4" for="ch" type="w" fact="0.9"/>
                                      <dgm:constr refForName="text4" refFor="ch" refType="w" forName="text4" for="ch" type="h" fact="0.635"/>
                                      <dgm:constr refType="w" forName="text4" for="ch" type="t" fact="0.095"/>
                                      <dgm:constr refType="w" forName="text4" for="ch" type="l" fact="0.1"/>
                                    </dgm:constrLst>
                                    <dgm:ruleLst/>
                                    <dgm:layoutNode moveWith="text4" name="background4">
                                      <dgm:alg type="sp"/>
                                      <dgm:shape r:blip="" type="roundRect">
                                        <dgm:adjLst>
                                          <dgm:adj val="0.1" idx="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styleLbl="fgAcc4" name="text4">
                                      <dgm:varLst>
                                        <dgm:chPref val="3"/>
                                      </dgm:varLst>
                                      <dgm:alg type="tx"/>
                                      <dgm:shape r:blip="" type="roundRect">
                                        <dgm:adjLst>
                                          <dgm:adj val="0.1" idx="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refType="primFontSz" type="tMarg" fact="0.3"/>
                                        <dgm:constr refType="primFontSz" type="bMarg" fact="0.3"/>
                                        <dgm:constr refType="primFontSz" type="lMarg" fact="0.3"/>
                                        <dgm:constr refType="primFontSz" type="rMarg" fact="0.3"/>
                                      </dgm:constrLst>
                                      <dgm:ruleLst>
                                        <dgm:rule type="primFontSz" max="NaN" fact="NaN" val="5.0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val="norm" op="equ" arg="dir" func="var" name="Name29">
                                        <dgm:alg type="hierChild">
                                          <dgm:param val="fromL" type="linDir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val="fromR" type="linDir"/>
                                        </dgm:alg>
                                      </dgm:else>
                                    </dgm:choose>
                                    <dgm:shape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ref="repeat" name="Name31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2.xml><?xml version="1.0" encoding="utf-8"?>
<dgm:layoutDef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uniqueId="urn:microsoft.com/office/officeart/2005/8/layout/hierarchy1">
  <dgm:title val=""/>
  <dgm:desc val=""/>
  <dgm:catLst>
    <dgm:cat pri="2000" type="hierarchy"/>
  </dgm:catLst>
  <dgm:sampData>
    <dgm:dataModel>
      <dgm:ptLst>
        <dgm:pt type="doc" modelId="0"/>
        <dgm:pt modelId="1">
          <dgm:prSet phldr="true"/>
        </dgm:pt>
        <dgm:pt modelId="2">
          <dgm:prSet phldr="true"/>
        </dgm:pt>
        <dgm:pt modelId="21">
          <dgm:prSet phldr="true"/>
        </dgm:pt>
        <dgm:pt modelId="22">
          <dgm:prSet phldr="true"/>
        </dgm:pt>
        <dgm:pt modelId="3">
          <dgm:prSet phldr="true"/>
        </dgm:pt>
        <dgm:pt modelId="31">
          <dgm:prSet phldr="true"/>
        </dgm:pt>
      </dgm:ptLst>
      <dgm:cxnLst>
        <dgm:cxn destOrd="0" srcOrd="0" destId="1" srcId="0" modelId="4"/>
        <dgm:cxn destOrd="0" srcOrd="0" destId="2" srcId="1" modelId="5"/>
        <dgm:cxn destOrd="0" srcOrd="1" destId="3" srcId="1" modelId="6"/>
        <dgm:cxn destOrd="0" srcOrd="0" destId="21" srcId="2" modelId="23"/>
        <dgm:cxn destOrd="0" srcOrd="1" destId="22" srcId="2" modelId="24"/>
        <dgm:cxn destOrd="0" srcOrd="0" destId="31" srcId="3" modelId="33"/>
      </dgm:cxnLst>
      <dgm:bg/>
      <dgm:whole/>
    </dgm:dataModel>
  </dgm:sampData>
  <dgm:styleData>
    <dgm:dataModel>
      <dgm:ptLst>
        <dgm:pt type="doc" modelId="0"/>
        <dgm:pt modelId="1"/>
        <dgm:pt modelId="11"/>
        <dgm:pt modelId="12"/>
      </dgm:ptLst>
      <dgm:cxnLst>
        <dgm:cxn destOrd="0" srcOrd="0" destId="1" srcId="0" modelId="2"/>
        <dgm:cxn destOrd="0" srcOrd="0" destId="11" srcId="1" modelId="13"/>
        <dgm:cxn destOrd="0" srcOrd="1" destId="12" srcId="1" modelId="14"/>
      </dgm:cxnLst>
      <dgm:bg/>
      <dgm:whole/>
    </dgm:dataModel>
  </dgm:styleData>
  <dgm:clrData>
    <dgm:dataModel>
      <dgm:ptLst>
        <dgm:pt type="doc" modelId="0"/>
        <dgm:pt modelId="1"/>
        <dgm:pt modelId="2"/>
        <dgm:pt modelId="21"/>
        <dgm:pt modelId="211"/>
        <dgm:pt modelId="3"/>
        <dgm:pt modelId="31"/>
        <dgm:pt modelId="311"/>
      </dgm:ptLst>
      <dgm:cxnLst>
        <dgm:cxn destOrd="0" srcOrd="0" destId="1" srcId="0" modelId="4"/>
        <dgm:cxn destOrd="0" srcOrd="0" destId="2" srcId="1" modelId="5"/>
        <dgm:cxn destOrd="0" srcOrd="1" destId="3" srcId="1" modelId="6"/>
        <dgm:cxn destOrd="0" srcOrd="0" destId="21" srcId="2" modelId="23"/>
        <dgm:cxn destOrd="0" srcOrd="0" destId="211" srcId="21" modelId="24"/>
        <dgm:cxn destOrd="0" srcOrd="0" destId="31" srcId="3" modelId="33"/>
        <dgm:cxn destOrd="0" srcOrd="0" destId="311" srcId="31" modelId="34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val="norm" op="equ" arg="dir" func="var" name="Name1">
        <dgm:alg type="hierChild">
          <dgm:param val="fromL" type="linDir"/>
        </dgm:alg>
      </dgm:if>
      <dgm:else name="Name2">
        <dgm:alg type="hierChild">
          <dgm:param val="fromR" type="linDir"/>
        </dgm:alg>
      </dgm:else>
    </dgm:choose>
    <dgm:shape r:blip="">
      <dgm:adjLst/>
    </dgm:shape>
    <dgm:presOf/>
    <dgm:constrLst>
      <dgm:constr ptType="node" for="des" type="primFontSz" val="65.0" op="equ"/>
      <dgm:constr refType="w" forName="composite" for="des" type="w"/>
      <dgm:constr refForName="composite" refFor="des" refType="w" forName="composite" for="des" type="h" fact="0.667"/>
      <dgm:constr refForName="composite" refFor="des" refType="w" forName="composite2" for="des" type="w"/>
      <dgm:constr refForName="composite" refFor="des" refType="h" forName="composite2" for="des" type="h"/>
      <dgm:constr refForName="composite" refFor="des" refType="w" forName="composite3" for="des" type="w"/>
      <dgm:constr refForName="composite" refFor="des" refType="h" forName="composite3" for="des" type="h"/>
      <dgm:constr refForName="composite" refFor="des" refType="w" forName="composite4" for="des" type="w"/>
      <dgm:constr refForName="composite" refFor="des" refType="h" forName="composite4" for="des" type="h"/>
      <dgm:constr refForName="composite" refFor="des" refType="w" forName="composite5" for="des" type="w"/>
      <dgm:constr refForName="composite" refFor="des" refType="h" forName="composite5" for="des" type="h"/>
      <dgm:constr refForName="composite" refFor="des" refType="w" type="sibSp" fact="0.1"/>
      <dgm:constr refType="sibSp" forName="hierChild2" for="des" type="sibSp"/>
      <dgm:constr refType="sibSp" forName="hierChild3" for="des" type="sibSp"/>
      <dgm:constr refType="sibSp" forName="hierChild4" for="des" type="sibSp"/>
      <dgm:constr refType="sibSp" forName="hierChild5" for="des" type="sibSp"/>
      <dgm:constr refType="sibSp" forName="hierChild6" for="des" type="sibSp"/>
      <dgm:constr refForName="composite" refFor="des" refType="h" forName="hierRoot1" for="des" type="sp" fact="0.25"/>
      <dgm:constr refForName="hierRoot1" refFor="des" refType="sp" forName="hierRoot2" for="des" type="sp"/>
      <dgm:constr refForName="hierRoot1" refFor="des" refType="sp" forName="hierRoot3" for="des" type="sp"/>
      <dgm:constr refForName="hierRoot1" refFor="des" refType="sp" forName="hierRoot4" for="des" type="sp"/>
      <dgm:constr refForName="hierRoot1" refFor="des" refType="sp" forName="hierRoot5" for="des" type="sp"/>
    </dgm:constrLst>
    <dgm:ruleLst/>
    <dgm:forEach axis="ch" name="Name3">
      <dgm:forEach ptType="node" axis="self" name="Name4">
        <dgm:layoutNode name="hierRoot1">
          <dgm:alg type="hierRoot"/>
          <dgm:shape r:blip="">
            <dgm:adjLst/>
          </dgm:shape>
          <dgm:presOf/>
          <dgm:constrLst>
            <dgm:constr refType="sp" ptType="parTrans" for="des" type="bendDist" fact="0.5"/>
          </dgm:constrLst>
          <dgm:ruleLst/>
          <dgm:layoutNode name="composite">
            <dgm:alg type="composite"/>
            <dgm:shape r:blip="">
              <dgm:adjLst/>
            </dgm:shape>
            <dgm:presOf/>
            <dgm:constrLst>
              <dgm:constr refType="w" forName="background" for="ch" type="w" fact="0.9"/>
              <dgm:constr refForName="background" refFor="ch" refType="w" forName="background" for="ch" type="h" fact="0.635"/>
              <dgm:constr forName="background" for="ch" type="t"/>
              <dgm:constr forName="background" for="ch" type="l"/>
              <dgm:constr refType="w" forName="text" for="ch" type="w" fact="0.9"/>
              <dgm:constr refForName="text" refFor="ch" refType="w" forName="text" for="ch" type="h" fact="0.635"/>
              <dgm:constr refType="w" forName="text" for="ch" type="t" fact="0.095"/>
              <dgm:constr refType="w" forName="text" for="ch" type="l" fact="0.1"/>
            </dgm:constrLst>
            <dgm:ruleLst/>
            <dgm:layoutNode moveWith="text" styleLbl="node0" name="background">
              <dgm:alg type="sp"/>
              <dgm:shape r:blip="" type="roundRect">
                <dgm:adjLst>
                  <dgm:adj val="0.1" idx="1"/>
                </dgm:adjLst>
              </dgm:shape>
              <dgm:presOf/>
              <dgm:constrLst/>
              <dgm:ruleLst/>
            </dgm:layoutNode>
            <dgm:layoutNode styleLbl="fgAcc0" name="text">
              <dgm:varLst>
                <dgm:chPref val="3"/>
              </dgm:varLst>
              <dgm:alg type="tx"/>
              <dgm:shape r:blip="" type="roundRect">
                <dgm:adjLst>
                  <dgm:adj val="0.1" idx="1"/>
                </dgm:adjLst>
              </dgm:shape>
              <dgm:presOf axis="self"/>
              <dgm:constrLst>
                <dgm:constr refType="primFontSz" type="tMarg" fact="0.3"/>
                <dgm:constr refType="primFontSz" type="bMarg" fact="0.3"/>
                <dgm:constr refType="primFontSz" type="lMarg" fact="0.3"/>
                <dgm:constr refType="primFontSz" type="rMarg" fact="0.3"/>
              </dgm:constrLst>
              <dgm:ruleLst>
                <dgm:rule type="primFontSz" max="NaN" fact="NaN" val="5.0"/>
              </dgm:ruleLst>
            </dgm:layoutNode>
          </dgm:layoutNode>
          <dgm:layoutNode name="hierChild2">
            <dgm:choose name="Name5">
              <dgm:if val="norm" op="equ" arg="dir" func="var" name="Name6">
                <dgm:alg type="hierChild">
                  <dgm:param val="fromL" type="linDir"/>
                </dgm:alg>
              </dgm:if>
              <dgm:else name="Name7">
                <dgm:alg type="hierChild">
                  <dgm:param val="fromR" type="linDir"/>
                </dgm:alg>
              </dgm:else>
            </dgm:choose>
            <dgm:shape r:blip="">
              <dgm:adjLst/>
            </dgm:shape>
            <dgm:presOf/>
            <dgm:constrLst/>
            <dgm:ruleLst/>
            <dgm:forEach axis="ch" name="Name8">
              <dgm:forEach cnt="1" ptType="parTrans" axis="self" name="Name9">
                <dgm:layoutNode name="Name10">
                  <dgm:alg type="conn">
                    <dgm:param val="1D" type="dim"/>
                    <dgm:param val="noArr" type="endSty"/>
                    <dgm:param val="bend" type="connRout"/>
                    <dgm:param val="end" type="bendPt"/>
                    <dgm:param val="bCtr" type="begPts"/>
                    <dgm:param val="tCtr" type="endPts"/>
                    <dgm:param val="background" type="srcNode"/>
                    <dgm:param val="background2" type="dstNode"/>
                  </dgm:alg>
                  <dgm:shape zOrderOff="-999" r:blip="" type="conn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ptType="node" axis="self" name="Name11">
                <dgm:layoutNode name="hierRoot2">
                  <dgm:alg type="hierRoot"/>
                  <dgm:shape r:blip="">
                    <dgm:adjLst/>
                  </dgm:shape>
                  <dgm:presOf/>
                  <dgm:constrLst>
                    <dgm:constr refType="sp" ptType="parTrans" for="des" type="bendDist" fact="0.5"/>
                  </dgm:constrLst>
                  <dgm:ruleLst/>
                  <dgm:layoutNode name="composite2">
                    <dgm:alg type="composite"/>
                    <dgm:shape r:blip="">
                      <dgm:adjLst/>
                    </dgm:shape>
                    <dgm:presOf/>
                    <dgm:constrLst>
                      <dgm:constr refType="w" forName="background2" for="ch" type="w" fact="0.9"/>
                      <dgm:constr refForName="background2" refFor="ch" refType="w" forName="background2" for="ch" type="h" fact="0.635"/>
                      <dgm:constr forName="background2" for="ch" type="t"/>
                      <dgm:constr forName="background2" for="ch" type="l"/>
                      <dgm:constr refType="w" forName="text2" for="ch" type="w" fact="0.9"/>
                      <dgm:constr refForName="text2" refFor="ch" refType="w" forName="text2" for="ch" type="h" fact="0.635"/>
                      <dgm:constr refType="w" forName="text2" for="ch" type="t" fact="0.095"/>
                      <dgm:constr refType="w" forName="text2" for="ch" type="l" fact="0.1"/>
                    </dgm:constrLst>
                    <dgm:ruleLst/>
                    <dgm:layoutNode moveWith="text2" name="background2">
                      <dgm:alg type="sp"/>
                      <dgm:shape r:blip="" type="roundRect">
                        <dgm:adjLst>
                          <dgm:adj val="0.1" idx="1"/>
                        </dgm:adjLst>
                      </dgm:shape>
                      <dgm:presOf/>
                      <dgm:constrLst/>
                      <dgm:ruleLst/>
                    </dgm:layoutNode>
                    <dgm:layoutNode styleLbl="fgAcc2" name="text2">
                      <dgm:varLst>
                        <dgm:chPref val="3"/>
                      </dgm:varLst>
                      <dgm:alg type="tx"/>
                      <dgm:shape r:blip="" type="roundRect">
                        <dgm:adjLst>
                          <dgm:adj val="0.1" idx="1"/>
                        </dgm:adjLst>
                      </dgm:shape>
                      <dgm:presOf axis="self"/>
                      <dgm:constrLst>
                        <dgm:constr refType="primFontSz" type="tMarg" fact="0.3"/>
                        <dgm:constr refType="primFontSz" type="bMarg" fact="0.3"/>
                        <dgm:constr refType="primFontSz" type="lMarg" fact="0.3"/>
                        <dgm:constr refType="primFontSz" type="rMarg" fact="0.3"/>
                      </dgm:constrLst>
                      <dgm:ruleLst>
                        <dgm:rule type="primFontSz" max="NaN" fact="NaN" val="5.0"/>
                      </dgm:ruleLst>
                    </dgm:layoutNode>
                  </dgm:layoutNode>
                  <dgm:layoutNode name="hierChild3">
                    <dgm:choose name="Name12">
                      <dgm:if val="norm" op="equ" arg="dir" func="var" name="Name13">
                        <dgm:alg type="hierChild">
                          <dgm:param val="fromL" type="linDir"/>
                        </dgm:alg>
                      </dgm:if>
                      <dgm:else name="Name14">
                        <dgm:alg type="hierChild">
                          <dgm:param val="fromR" type="linDir"/>
                        </dgm:alg>
                      </dgm:else>
                    </dgm:choose>
                    <dgm:shape r:blip="">
                      <dgm:adjLst/>
                    </dgm:shape>
                    <dgm:presOf/>
                    <dgm:constrLst/>
                    <dgm:ruleLst/>
                    <dgm:forEach axis="ch" name="Name15">
                      <dgm:forEach cnt="1" ptType="parTrans" axis="self" name="Name16">
                        <dgm:layoutNode name="Name17">
                          <dgm:alg type="conn">
                            <dgm:param val="1D" type="dim"/>
                            <dgm:param val="noArr" type="endSty"/>
                            <dgm:param val="bend" type="connRout"/>
                            <dgm:param val="end" type="bendPt"/>
                            <dgm:param val="bCtr" type="begPts"/>
                            <dgm:param val="tCtr" type="endPts"/>
                            <dgm:param val="background2" type="srcNode"/>
                            <dgm:param val="background3" type="dstNode"/>
                          </dgm:alg>
                          <dgm:shape zOrderOff="-999" r:blip="" type="conn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ptType="node" axis="self" name="Name18">
                        <dgm:layoutNode name="hierRoot3">
                          <dgm:alg type="hierRoot"/>
                          <dgm:shape r:blip="">
                            <dgm:adjLst/>
                          </dgm:shape>
                          <dgm:presOf/>
                          <dgm:constrLst>
                            <dgm:constr refType="sp" ptType="parTrans" for="des" type="bendDist" fact="0.5"/>
                          </dgm:constrLst>
                          <dgm:ruleLst/>
                          <dgm:layoutNode name="composite3">
                            <dgm:alg type="composite"/>
                            <dgm:shape r:blip="">
                              <dgm:adjLst/>
                            </dgm:shape>
                            <dgm:presOf/>
                            <dgm:constrLst>
                              <dgm:constr refType="w" forName="background3" for="ch" type="w" fact="0.9"/>
                              <dgm:constr refForName="background3" refFor="ch" refType="w" forName="background3" for="ch" type="h" fact="0.635"/>
                              <dgm:constr forName="background3" for="ch" type="t"/>
                              <dgm:constr forName="background3" for="ch" type="l"/>
                              <dgm:constr refType="w" forName="text3" for="ch" type="w" fact="0.9"/>
                              <dgm:constr refForName="text3" refFor="ch" refType="w" forName="text3" for="ch" type="h" fact="0.635"/>
                              <dgm:constr refType="w" forName="text3" for="ch" type="t" fact="0.095"/>
                              <dgm:constr refType="w" forName="text3" for="ch" type="l" fact="0.1"/>
                            </dgm:constrLst>
                            <dgm:ruleLst/>
                            <dgm:layoutNode moveWith="text3" name="background3">
                              <dgm:alg type="sp"/>
                              <dgm:shape r:blip="" type="roundRect">
                                <dgm:adjLst>
                                  <dgm:adj val="0.1" idx="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styleLbl="fgAcc3" name="text3">
                              <dgm:varLst>
                                <dgm:chPref val="3"/>
                              </dgm:varLst>
                              <dgm:alg type="tx"/>
                              <dgm:shape r:blip="" type="roundRect">
                                <dgm:adjLst>
                                  <dgm:adj val="0.1" idx="1"/>
                                </dgm:adjLst>
                              </dgm:shape>
                              <dgm:presOf axis="self"/>
                              <dgm:constrLst>
                                <dgm:constr refType="primFontSz" type="tMarg" fact="0.3"/>
                                <dgm:constr refType="primFontSz" type="bMarg" fact="0.3"/>
                                <dgm:constr refType="primFontSz" type="lMarg" fact="0.3"/>
                                <dgm:constr refType="primFontSz" type="rMarg" fact="0.3"/>
                              </dgm:constrLst>
                              <dgm:ruleLst>
                                <dgm:rule type="primFontSz" max="NaN" fact="NaN" val="5.0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val="norm" op="equ" arg="dir" func="var" name="Name20">
                                <dgm:alg type="hierChild">
                                  <dgm:param val="fromL" type="linDir"/>
                                </dgm:alg>
                              </dgm:if>
                              <dgm:else name="Name21">
                                <dgm:alg type="hierChild">
                                  <dgm:param val="fromR" type="linDir"/>
                                </dgm:alg>
                              </dgm:else>
                            </dgm:choose>
                            <dgm:shape r:blip="">
                              <dgm:adjLst/>
                            </dgm:shape>
                            <dgm:presOf/>
                            <dgm:constrLst/>
                            <dgm:ruleLst/>
                            <dgm:forEach axis="ch" name="repeat">
                              <dgm:forEach cnt="1" ptType="parTrans" axis="self" name="Name22">
                                <dgm:layoutNode name="Name23">
                                  <dgm:choose name="Name24">
                                    <dgm:if axis="self" val="4" op="lte" func="depth" name="Name25">
                                      <dgm:alg type="conn">
                                        <dgm:param val="1D" type="dim"/>
                                        <dgm:param val="noArr" type="endSty"/>
                                        <dgm:param val="bend" type="connRout"/>
                                        <dgm:param val="end" type="bendPt"/>
                                        <dgm:param val="bCtr" type="begPts"/>
                                        <dgm:param val="tCtr" type="endPts"/>
                                        <dgm:param val="background3" type="srcNode"/>
                                        <dgm:param val="background4" type="dstNode"/>
                                      </dgm:alg>
                                    </dgm:if>
                                    <dgm:else name="Name26">
                                      <dgm:alg type="conn">
                                        <dgm:param val="1D" type="dim"/>
                                        <dgm:param val="noArr" type="endSty"/>
                                        <dgm:param val="bend" type="connRout"/>
                                        <dgm:param val="end" type="bendPt"/>
                                        <dgm:param val="bCtr" type="begPts"/>
                                        <dgm:param val="tCtr" type="endPts"/>
                                        <dgm:param val="background4" type="srcNode"/>
                                        <dgm:param val="background4" type="dstNode"/>
                                      </dgm:alg>
                                    </dgm:else>
                                  </dgm:choose>
                                  <dgm:shape zOrderOff="-999" r:blip="" type="conn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ptType="node" axis="self" name="Name27">
                                <dgm:layoutNode name="hierRoot4">
                                  <dgm:alg type="hierRoot"/>
                                  <dgm:shape r:blip="">
                                    <dgm:adjLst/>
                                  </dgm:shape>
                                  <dgm:presOf/>
                                  <dgm:constrLst>
                                    <dgm:constr refType="sp" ptType="parTrans" for="des" type="bendDist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r:blip="">
                                      <dgm:adjLst/>
                                    </dgm:shape>
                                    <dgm:presOf/>
                                    <dgm:constrLst>
                                      <dgm:constr refType="w" forName="background4" for="ch" type="w" fact="0.9"/>
                                      <dgm:constr refForName="background4" refFor="ch" refType="w" forName="background4" for="ch" type="h" fact="0.635"/>
                                      <dgm:constr forName="background4" for="ch" type="t"/>
                                      <dgm:constr forName="background4" for="ch" type="l"/>
                                      <dgm:constr refType="w" forName="text4" for="ch" type="w" fact="0.9"/>
                                      <dgm:constr refForName="text4" refFor="ch" refType="w" forName="text4" for="ch" type="h" fact="0.635"/>
                                      <dgm:constr refType="w" forName="text4" for="ch" type="t" fact="0.095"/>
                                      <dgm:constr refType="w" forName="text4" for="ch" type="l" fact="0.1"/>
                                    </dgm:constrLst>
                                    <dgm:ruleLst/>
                                    <dgm:layoutNode moveWith="text4" name="background4">
                                      <dgm:alg type="sp"/>
                                      <dgm:shape r:blip="" type="roundRect">
                                        <dgm:adjLst>
                                          <dgm:adj val="0.1" idx="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styleLbl="fgAcc4" name="text4">
                                      <dgm:varLst>
                                        <dgm:chPref val="3"/>
                                      </dgm:varLst>
                                      <dgm:alg type="tx"/>
                                      <dgm:shape r:blip="" type="roundRect">
                                        <dgm:adjLst>
                                          <dgm:adj val="0.1" idx="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refType="primFontSz" type="tMarg" fact="0.3"/>
                                        <dgm:constr refType="primFontSz" type="bMarg" fact="0.3"/>
                                        <dgm:constr refType="primFontSz" type="lMarg" fact="0.3"/>
                                        <dgm:constr refType="primFontSz" type="rMarg" fact="0.3"/>
                                      </dgm:constrLst>
                                      <dgm:ruleLst>
                                        <dgm:rule type="primFontSz" max="NaN" fact="NaN" val="5.0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val="norm" op="equ" arg="dir" func="var" name="Name29">
                                        <dgm:alg type="hierChild">
                                          <dgm:param val="fromL" type="linDir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val="fromR" type="linDir"/>
                                        </dgm:alg>
                                      </dgm:else>
                                    </dgm:choose>
                                    <dgm:shape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ref="repeat" name="Name31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uniqueId="urn:microsoft.com/office/officeart/2005/8/quickstyle/simple5">
  <dgm:title val=""/>
  <dgm:desc val=""/>
  <dgm:catLst>
    <dgm:cat pri="10500" type="simple"/>
  </dgm:catLst>
  <dgm:scene3d>
    <a:camera prst="orthographicFront"/>
    <a:lightRig dir="t" rig="threePt"/>
  </dgm:scene3d>
  <dgm:styleLbl name="node0">
    <dgm:scene3d>
      <a:camera prst="orthographicFront"/>
      <a:lightRig dir="t" rig="threePt"/>
    </dgm:scene3d>
    <dgm:sp3d/>
    <dgm:txPr/>
    <dgm:style>
      <a:lnRef idx="0">
        <a:scrgbClr b="0" g="0" r="0"/>
      </a:lnRef>
      <a:fillRef idx="3">
        <a:scrgbClr b="0" g="0" r="0"/>
      </a:fillRef>
      <a:effectRef idx="3">
        <a:scrgbClr b="0" g="0" r="0"/>
      </a:effectRef>
      <a:fontRef idx="minor">
        <a:schemeClr val="lt1"/>
      </a:fontRef>
    </dgm:style>
  </dgm:styleLbl>
  <dgm:styleLbl name="lnNode1">
    <dgm:scene3d>
      <a:camera prst="orthographicFront"/>
      <a:lightRig dir="t" rig="threePt"/>
    </dgm:scene3d>
    <dgm:sp3d/>
    <dgm:txPr/>
    <dgm:style>
      <a:lnRef idx="0">
        <a:scrgbClr b="0" g="0" r="0"/>
      </a:lnRef>
      <a:fillRef idx="3">
        <a:scrgbClr b="0" g="0" r="0"/>
      </a:fillRef>
      <a:effectRef idx="3">
        <a:scrgbClr b="0" g="0" r="0"/>
      </a:effectRef>
      <a:fontRef idx="minor">
        <a:schemeClr val="lt1"/>
      </a:fontRef>
    </dgm:style>
  </dgm:styleLbl>
  <dgm:styleLbl name="vennNode1">
    <dgm:scene3d>
      <a:camera prst="orthographicFront"/>
      <a:lightRig dir="t" rig="threePt"/>
    </dgm:scene3d>
    <dgm:sp3d/>
    <dgm:txPr/>
    <dgm:style>
      <a:lnRef idx="0">
        <a:scrgbClr b="0" g="0" r="0"/>
      </a:lnRef>
      <a:fillRef idx="3">
        <a:scrgbClr b="0" g="0" r="0"/>
      </a:fillRef>
      <a:effectRef idx="3">
        <a:scrgbClr b="0" g="0" r="0"/>
      </a:effectRef>
      <a:fontRef idx="minor">
        <a:schemeClr val="tx1"/>
      </a:fontRef>
    </dgm:style>
  </dgm:styleLbl>
  <dgm:styleLbl name="alignNode1">
    <dgm:scene3d>
      <a:camera prst="orthographicFront"/>
      <a:lightRig dir="t" rig="threePt"/>
    </dgm:scene3d>
    <dgm:sp3d/>
    <dgm:txPr/>
    <dgm:style>
      <a:lnRef idx="1">
        <a:scrgbClr b="0" g="0" r="0"/>
      </a:lnRef>
      <a:fillRef idx="3">
        <a:scrgbClr b="0" g="0" r="0"/>
      </a:fillRef>
      <a:effectRef idx="3">
        <a:scrgbClr b="0" g="0" r="0"/>
      </a:effectRef>
      <a:fontRef idx="minor">
        <a:schemeClr val="lt1"/>
      </a:fontRef>
    </dgm:style>
  </dgm:styleLbl>
  <dgm:styleLbl name="node1">
    <dgm:scene3d>
      <a:camera prst="orthographicFront"/>
      <a:lightRig dir="t" rig="threePt"/>
    </dgm:scene3d>
    <dgm:sp3d/>
    <dgm:txPr/>
    <dgm:style>
      <a:lnRef idx="0">
        <a:scrgbClr b="0" g="0" r="0"/>
      </a:lnRef>
      <a:fillRef idx="3">
        <a:scrgbClr b="0" g="0" r="0"/>
      </a:fillRef>
      <a:effectRef idx="3">
        <a:scrgbClr b="0" g="0" r="0"/>
      </a:effectRef>
      <a:fontRef idx="minor">
        <a:schemeClr val="lt1"/>
      </a:fontRef>
    </dgm:style>
  </dgm:styleLbl>
  <dgm:styleLbl name="node2">
    <dgm:scene3d>
      <a:camera prst="orthographicFront"/>
      <a:lightRig dir="t" rig="threePt"/>
    </dgm:scene3d>
    <dgm:sp3d/>
    <dgm:txPr/>
    <dgm:style>
      <a:lnRef idx="0">
        <a:scrgbClr b="0" g="0" r="0"/>
      </a:lnRef>
      <a:fillRef idx="3">
        <a:scrgbClr b="0" g="0" r="0"/>
      </a:fillRef>
      <a:effectRef idx="3">
        <a:scrgbClr b="0" g="0" r="0"/>
      </a:effectRef>
      <a:fontRef idx="minor">
        <a:schemeClr val="lt1"/>
      </a:fontRef>
    </dgm:style>
  </dgm:styleLbl>
  <dgm:styleLbl name="node3">
    <dgm:scene3d>
      <a:camera prst="orthographicFront"/>
      <a:lightRig dir="t" rig="threePt"/>
    </dgm:scene3d>
    <dgm:sp3d/>
    <dgm:txPr/>
    <dgm:style>
      <a:lnRef idx="0">
        <a:scrgbClr b="0" g="0" r="0"/>
      </a:lnRef>
      <a:fillRef idx="3">
        <a:scrgbClr b="0" g="0" r="0"/>
      </a:fillRef>
      <a:effectRef idx="3">
        <a:scrgbClr b="0" g="0" r="0"/>
      </a:effectRef>
      <a:fontRef idx="minor">
        <a:schemeClr val="lt1"/>
      </a:fontRef>
    </dgm:style>
  </dgm:styleLbl>
  <dgm:styleLbl name="node4">
    <dgm:scene3d>
      <a:camera prst="orthographicFront"/>
      <a:lightRig dir="t" rig="threePt"/>
    </dgm:scene3d>
    <dgm:sp3d/>
    <dgm:txPr/>
    <dgm:style>
      <a:lnRef idx="0">
        <a:scrgbClr b="0" g="0" r="0"/>
      </a:lnRef>
      <a:fillRef idx="3">
        <a:scrgbClr b="0" g="0" r="0"/>
      </a:fillRef>
      <a:effectRef idx="3">
        <a:scrgbClr b="0" g="0" r="0"/>
      </a:effectRef>
      <a:fontRef idx="minor">
        <a:schemeClr val="lt1"/>
      </a:fontRef>
    </dgm:style>
  </dgm:styleLbl>
  <dgm:styleLbl name="fgImgPlace1">
    <dgm:scene3d>
      <a:camera prst="orthographicFront"/>
      <a:lightRig dir="t" rig="threePt"/>
    </dgm:scene3d>
    <dgm:sp3d/>
    <dgm:txPr/>
    <dgm:style>
      <a:lnRef idx="0">
        <a:scrgbClr b="0" g="0" r="0"/>
      </a:lnRef>
      <a:fillRef idx="1">
        <a:scrgbClr b="0" g="0" r="0"/>
      </a:fillRef>
      <a:effectRef idx="3">
        <a:scrgbClr b="0" g="0" r="0"/>
      </a:effectRef>
      <a:fontRef idx="minor"/>
    </dgm:style>
  </dgm:styleLbl>
  <dgm:styleLbl name="alignImgPlace1">
    <dgm:scene3d>
      <a:camera prst="orthographicFront"/>
      <a:lightRig dir="t" rig="threePt"/>
    </dgm:scene3d>
    <dgm:sp3d/>
    <dgm:txPr/>
    <dgm:style>
      <a:lnRef idx="0">
        <a:scrgbClr b="0" g="0" r="0"/>
      </a:lnRef>
      <a:fillRef idx="1">
        <a:scrgbClr b="0" g="0" r="0"/>
      </a:fillRef>
      <a:effectRef idx="3">
        <a:scrgbClr b="0" g="0" r="0"/>
      </a:effectRef>
      <a:fontRef idx="minor"/>
    </dgm:style>
  </dgm:styleLbl>
  <dgm:styleLbl name="bgImgPlace1">
    <dgm:scene3d>
      <a:camera prst="orthographicFront"/>
      <a:lightRig dir="t" rig="threePt"/>
    </dgm:scene3d>
    <dgm:sp3d/>
    <dgm:txPr/>
    <dgm:style>
      <a:lnRef idx="0">
        <a:scrgbClr b="0" g="0" r="0"/>
      </a:lnRef>
      <a:fillRef idx="1">
        <a:scrgbClr b="0" g="0" r="0"/>
      </a:fillRef>
      <a:effectRef idx="3">
        <a:scrgbClr b="0" g="0" r="0"/>
      </a:effectRef>
      <a:fontRef idx="minor"/>
    </dgm:style>
  </dgm:styleLbl>
  <dgm:styleLbl name="sibTrans2D1">
    <dgm:scene3d>
      <a:camera prst="orthographicFront"/>
      <a:lightRig dir="t" rig="threePt"/>
    </dgm:scene3d>
    <dgm:sp3d/>
    <dgm:txPr/>
    <dgm:style>
      <a:lnRef idx="0">
        <a:scrgbClr b="0" g="0" r="0"/>
      </a:lnRef>
      <a:fillRef idx="3">
        <a:scrgbClr b="0" g="0" r="0"/>
      </a:fillRef>
      <a:effectRef idx="3">
        <a:scrgbClr b="0" g="0" r="0"/>
      </a:effectRef>
      <a:fontRef idx="minor">
        <a:schemeClr val="lt1"/>
      </a:fontRef>
    </dgm:style>
  </dgm:styleLbl>
  <dgm:styleLbl name="fgSibTrans2D1">
    <dgm:scene3d>
      <a:camera prst="orthographicFront"/>
      <a:lightRig dir="t" rig="threePt"/>
    </dgm:scene3d>
    <dgm:sp3d/>
    <dgm:txPr/>
    <dgm:style>
      <a:lnRef idx="0">
        <a:scrgbClr b="0" g="0" r="0"/>
      </a:lnRef>
      <a:fillRef idx="3">
        <a:scrgbClr b="0" g="0" r="0"/>
      </a:fillRef>
      <a:effectRef idx="3">
        <a:scrgbClr b="0" g="0" r="0"/>
      </a:effectRef>
      <a:fontRef idx="minor">
        <a:schemeClr val="lt1"/>
      </a:fontRef>
    </dgm:style>
  </dgm:styleLbl>
  <dgm:styleLbl name="bgSibTrans2D1">
    <dgm:scene3d>
      <a:camera prst="orthographicFront"/>
      <a:lightRig dir="t" rig="threePt"/>
    </dgm:scene3d>
    <dgm:sp3d/>
    <dgm:txPr/>
    <dgm:style>
      <a:lnRef idx="0">
        <a:scrgbClr b="0" g="0" r="0"/>
      </a:lnRef>
      <a:fillRef idx="3">
        <a:scrgbClr b="0" g="0" r="0"/>
      </a:fillRef>
      <a:effectRef idx="3">
        <a:scrgbClr b="0" g="0" r="0"/>
      </a:effectRef>
      <a:fontRef idx="minor">
        <a:schemeClr val="lt1"/>
      </a:fontRef>
    </dgm:style>
  </dgm:styleLbl>
  <dgm:styleLbl name="sibTrans1D1">
    <dgm:scene3d>
      <a:camera prst="orthographicFront"/>
      <a:lightRig dir="t" rig="threePt"/>
    </dgm:scene3d>
    <dgm:sp3d/>
    <dgm:txPr/>
    <dgm:style>
      <a:lnRef idx="1">
        <a:scrgbClr b="0" g="0" r="0"/>
      </a:lnRef>
      <a:fillRef idx="0">
        <a:scrgbClr b="0" g="0" r="0"/>
      </a:fillRef>
      <a:effectRef idx="0">
        <a:scrgbClr b="0" g="0" r="0"/>
      </a:effectRef>
      <a:fontRef idx="minor"/>
    </dgm:style>
  </dgm:styleLbl>
  <dgm:styleLbl name="callout">
    <dgm:scene3d>
      <a:camera prst="orthographicFront"/>
      <a:lightRig dir="t" rig="threePt"/>
    </dgm:scene3d>
    <dgm:sp3d/>
    <dgm:txPr/>
    <dgm:style>
      <a:lnRef idx="1">
        <a:scrgbClr b="0" g="0" r="0"/>
      </a:lnRef>
      <a:fillRef idx="0">
        <a:scrgbClr b="0" g="0" r="0"/>
      </a:fillRef>
      <a:effectRef idx="1">
        <a:scrgbClr b="0" g="0" r="0"/>
      </a:effectRef>
      <a:fontRef idx="minor"/>
    </dgm:style>
  </dgm:styleLbl>
  <dgm:styleLbl name="asst0">
    <dgm:scene3d>
      <a:camera prst="orthographicFront"/>
      <a:lightRig dir="t" rig="threePt"/>
    </dgm:scene3d>
    <dgm:sp3d/>
    <dgm:txPr/>
    <dgm:style>
      <a:lnRef idx="0">
        <a:scrgbClr b="0" g="0" r="0"/>
      </a:lnRef>
      <a:fillRef idx="3">
        <a:scrgbClr b="0" g="0" r="0"/>
      </a:fillRef>
      <a:effectRef idx="3">
        <a:scrgbClr b="0" g="0" r="0"/>
      </a:effectRef>
      <a:fontRef idx="minor">
        <a:schemeClr val="lt1"/>
      </a:fontRef>
    </dgm:style>
  </dgm:styleLbl>
  <dgm:styleLbl name="asst1">
    <dgm:scene3d>
      <a:camera prst="orthographicFront"/>
      <a:lightRig dir="t" rig="threePt"/>
    </dgm:scene3d>
    <dgm:sp3d/>
    <dgm:txPr/>
    <dgm:style>
      <a:lnRef idx="0">
        <a:scrgbClr b="0" g="0" r="0"/>
      </a:lnRef>
      <a:fillRef idx="3">
        <a:scrgbClr b="0" g="0" r="0"/>
      </a:fillRef>
      <a:effectRef idx="3">
        <a:scrgbClr b="0" g="0" r="0"/>
      </a:effectRef>
      <a:fontRef idx="minor">
        <a:schemeClr val="lt1"/>
      </a:fontRef>
    </dgm:style>
  </dgm:styleLbl>
  <dgm:styleLbl name="asst2">
    <dgm:scene3d>
      <a:camera prst="orthographicFront"/>
      <a:lightRig dir="t" rig="threePt"/>
    </dgm:scene3d>
    <dgm:sp3d/>
    <dgm:txPr/>
    <dgm:style>
      <a:lnRef idx="0">
        <a:scrgbClr b="0" g="0" r="0"/>
      </a:lnRef>
      <a:fillRef idx="3">
        <a:scrgbClr b="0" g="0" r="0"/>
      </a:fillRef>
      <a:effectRef idx="3">
        <a:scrgbClr b="0" g="0" r="0"/>
      </a:effectRef>
      <a:fontRef idx="minor">
        <a:schemeClr val="lt1"/>
      </a:fontRef>
    </dgm:style>
  </dgm:styleLbl>
  <dgm:styleLbl name="asst3">
    <dgm:scene3d>
      <a:camera prst="orthographicFront"/>
      <a:lightRig dir="t" rig="threePt"/>
    </dgm:scene3d>
    <dgm:sp3d/>
    <dgm:txPr/>
    <dgm:style>
      <a:lnRef idx="0">
        <a:scrgbClr b="0" g="0" r="0"/>
      </a:lnRef>
      <a:fillRef idx="3">
        <a:scrgbClr b="0" g="0" r="0"/>
      </a:fillRef>
      <a:effectRef idx="3">
        <a:scrgbClr b="0" g="0" r="0"/>
      </a:effectRef>
      <a:fontRef idx="minor">
        <a:schemeClr val="lt1"/>
      </a:fontRef>
    </dgm:style>
  </dgm:styleLbl>
  <dgm:styleLbl name="asst4">
    <dgm:scene3d>
      <a:camera prst="orthographicFront"/>
      <a:lightRig dir="t" rig="threePt"/>
    </dgm:scene3d>
    <dgm:sp3d/>
    <dgm:txPr/>
    <dgm:style>
      <a:lnRef idx="0">
        <a:scrgbClr b="0" g="0" r="0"/>
      </a:lnRef>
      <a:fillRef idx="3">
        <a:scrgbClr b="0" g="0" r="0"/>
      </a:fillRef>
      <a:effectRef idx="3">
        <a:scrgbClr b="0" g="0" r="0"/>
      </a:effectRef>
      <a:fontRef idx="minor">
        <a:schemeClr val="lt1"/>
      </a:fontRef>
    </dgm:style>
  </dgm:styleLbl>
  <dgm:styleLbl name="parChTrans2D1">
    <dgm:scene3d>
      <a:camera prst="orthographicFront"/>
      <a:lightRig dir="t" rig="threePt"/>
    </dgm:scene3d>
    <dgm:sp3d/>
    <dgm:txPr/>
    <dgm:style>
      <a:lnRef idx="0">
        <a:scrgbClr b="0" g="0" r="0"/>
      </a:lnRef>
      <a:fillRef idx="3">
        <a:scrgbClr b="0" g="0" r="0"/>
      </a:fillRef>
      <a:effectRef idx="3">
        <a:scrgbClr b="0" g="0" r="0"/>
      </a:effectRef>
      <a:fontRef idx="minor">
        <a:schemeClr val="lt1"/>
      </a:fontRef>
    </dgm:style>
  </dgm:styleLbl>
  <dgm:styleLbl name="parChTrans2D2">
    <dgm:scene3d>
      <a:camera prst="orthographicFront"/>
      <a:lightRig dir="t" rig="threePt"/>
    </dgm:scene3d>
    <dgm:sp3d/>
    <dgm:txPr/>
    <dgm:style>
      <a:lnRef idx="0">
        <a:scrgbClr b="0" g="0" r="0"/>
      </a:lnRef>
      <a:fillRef idx="3">
        <a:scrgbClr b="0" g="0" r="0"/>
      </a:fillRef>
      <a:effectRef idx="3">
        <a:scrgbClr b="0" g="0" r="0"/>
      </a:effectRef>
      <a:fontRef idx="minor">
        <a:schemeClr val="lt1"/>
      </a:fontRef>
    </dgm:style>
  </dgm:styleLbl>
  <dgm:styleLbl name="parChTrans2D3">
    <dgm:scene3d>
      <a:camera prst="orthographicFront"/>
      <a:lightRig dir="t" rig="threePt"/>
    </dgm:scene3d>
    <dgm:sp3d/>
    <dgm:txPr/>
    <dgm:style>
      <a:lnRef idx="0">
        <a:scrgbClr b="0" g="0" r="0"/>
      </a:lnRef>
      <a:fillRef idx="3">
        <a:scrgbClr b="0" g="0" r="0"/>
      </a:fillRef>
      <a:effectRef idx="3">
        <a:scrgbClr b="0" g="0" r="0"/>
      </a:effectRef>
      <a:fontRef idx="minor">
        <a:schemeClr val="lt1"/>
      </a:fontRef>
    </dgm:style>
  </dgm:styleLbl>
  <dgm:styleLbl name="parChTrans2D4">
    <dgm:scene3d>
      <a:camera prst="orthographicFront"/>
      <a:lightRig dir="t" rig="threePt"/>
    </dgm:scene3d>
    <dgm:sp3d/>
    <dgm:txPr/>
    <dgm:style>
      <a:lnRef idx="0">
        <a:scrgbClr b="0" g="0" r="0"/>
      </a:lnRef>
      <a:fillRef idx="3">
        <a:scrgbClr b="0" g="0" r="0"/>
      </a:fillRef>
      <a:effectRef idx="3">
        <a:scrgbClr b="0" g="0" r="0"/>
      </a:effectRef>
      <a:fontRef idx="minor">
        <a:schemeClr val="lt1"/>
      </a:fontRef>
    </dgm:style>
  </dgm:styleLbl>
  <dgm:styleLbl name="parChTrans1D1">
    <dgm:scene3d>
      <a:camera prst="orthographicFront"/>
      <a:lightRig dir="t" rig="threePt"/>
    </dgm:scene3d>
    <dgm:sp3d/>
    <dgm:txPr/>
    <dgm:style>
      <a:lnRef idx="2">
        <a:scrgbClr b="0" g="0" r="0"/>
      </a:lnRef>
      <a:fillRef idx="0">
        <a:scrgbClr b="0" g="0" r="0"/>
      </a:fillRef>
      <a:effectRef idx="0">
        <a:scrgbClr b="0" g="0" r="0"/>
      </a:effectRef>
      <a:fontRef idx="minor"/>
    </dgm:style>
  </dgm:styleLbl>
  <dgm:styleLbl name="parChTrans1D2">
    <dgm:scene3d>
      <a:camera prst="orthographicFront"/>
      <a:lightRig dir="t" rig="threePt"/>
    </dgm:scene3d>
    <dgm:sp3d/>
    <dgm:txPr/>
    <dgm:style>
      <a:lnRef idx="2">
        <a:scrgbClr b="0" g="0" r="0"/>
      </a:lnRef>
      <a:fillRef idx="0">
        <a:scrgbClr b="0" g="0" r="0"/>
      </a:fillRef>
      <a:effectRef idx="0">
        <a:scrgbClr b="0" g="0" r="0"/>
      </a:effectRef>
      <a:fontRef idx="minor"/>
    </dgm:style>
  </dgm:styleLbl>
  <dgm:styleLbl name="parChTrans1D3">
    <dgm:scene3d>
      <a:camera prst="orthographicFront"/>
      <a:lightRig dir="t" rig="threePt"/>
    </dgm:scene3d>
    <dgm:sp3d/>
    <dgm:txPr/>
    <dgm:style>
      <a:lnRef idx="2">
        <a:scrgbClr b="0" g="0" r="0"/>
      </a:lnRef>
      <a:fillRef idx="0">
        <a:scrgbClr b="0" g="0" r="0"/>
      </a:fillRef>
      <a:effectRef idx="0">
        <a:scrgbClr b="0" g="0" r="0"/>
      </a:effectRef>
      <a:fontRef idx="minor"/>
    </dgm:style>
  </dgm:styleLbl>
  <dgm:styleLbl name="parChTrans1D4">
    <dgm:scene3d>
      <a:camera prst="orthographicFront"/>
      <a:lightRig dir="t" rig="threePt"/>
    </dgm:scene3d>
    <dgm:sp3d/>
    <dgm:txPr/>
    <dgm:style>
      <a:lnRef idx="2">
        <a:scrgbClr b="0" g="0" r="0"/>
      </a:lnRef>
      <a:fillRef idx="0">
        <a:scrgbClr b="0" g="0" r="0"/>
      </a:fillRef>
      <a:effectRef idx="0">
        <a:scrgbClr b="0" g="0" r="0"/>
      </a:effectRef>
      <a:fontRef idx="minor"/>
    </dgm:style>
  </dgm:styleLbl>
  <dgm:styleLbl name="fgAcc1">
    <dgm:scene3d>
      <a:camera prst="orthographicFront"/>
      <a:lightRig dir="t" rig="threePt"/>
    </dgm:scene3d>
    <dgm:sp3d/>
    <dgm:txPr/>
    <dgm:style>
      <a:lnRef idx="1">
        <a:scrgbClr b="0" g="0" r="0"/>
      </a:lnRef>
      <a:fillRef idx="1">
        <a:scrgbClr b="0" g="0" r="0"/>
      </a:fillRef>
      <a:effectRef idx="2">
        <a:scrgbClr b="0" g="0" r="0"/>
      </a:effectRef>
      <a:fontRef idx="minor"/>
    </dgm:style>
  </dgm:styleLbl>
  <dgm:styleLbl name="conFgAcc1">
    <dgm:scene3d>
      <a:camera prst="orthographicFront"/>
      <a:lightRig dir="t" rig="threePt"/>
    </dgm:scene3d>
    <dgm:sp3d/>
    <dgm:txPr/>
    <dgm:style>
      <a:lnRef idx="1">
        <a:scrgbClr b="0" g="0" r="0"/>
      </a:lnRef>
      <a:fillRef idx="1">
        <a:scrgbClr b="0" g="0" r="0"/>
      </a:fillRef>
      <a:effectRef idx="2">
        <a:scrgbClr b="0" g="0" r="0"/>
      </a:effectRef>
      <a:fontRef idx="minor"/>
    </dgm:style>
  </dgm:styleLbl>
  <dgm:styleLbl name="alignAcc1">
    <dgm:scene3d>
      <a:camera prst="orthographicFront"/>
      <a:lightRig dir="t" rig="threePt"/>
    </dgm:scene3d>
    <dgm:sp3d/>
    <dgm:txPr/>
    <dgm:style>
      <a:lnRef idx="1">
        <a:scrgbClr b="0" g="0" r="0"/>
      </a:lnRef>
      <a:fillRef idx="1">
        <a:scrgbClr b="0" g="0" r="0"/>
      </a:fillRef>
      <a:effectRef idx="2">
        <a:scrgbClr b="0" g="0" r="0"/>
      </a:effectRef>
      <a:fontRef idx="minor"/>
    </dgm:style>
  </dgm:styleLbl>
  <dgm:styleLbl name="trAlignAcc1">
    <dgm:scene3d>
      <a:camera prst="orthographicFront"/>
      <a:lightRig dir="t" rig="threePt"/>
    </dgm:scene3d>
    <dgm:sp3d/>
    <dgm:txPr/>
    <dgm:style>
      <a:lnRef idx="1">
        <a:scrgbClr b="0" g="0" r="0"/>
      </a:lnRef>
      <a:fillRef idx="1">
        <a:scrgbClr b="0" g="0" r="0"/>
      </a:fillRef>
      <a:effectRef idx="0">
        <a:scrgbClr b="0" g="0" r="0"/>
      </a:effectRef>
      <a:fontRef idx="minor"/>
    </dgm:style>
  </dgm:styleLbl>
  <dgm:styleLbl name="bgAcc1">
    <dgm:scene3d>
      <a:camera prst="orthographicFront"/>
      <a:lightRig dir="t" rig="threePt"/>
    </dgm:scene3d>
    <dgm:sp3d/>
    <dgm:txPr/>
    <dgm:style>
      <a:lnRef idx="1">
        <a:scrgbClr b="0" g="0" r="0"/>
      </a:lnRef>
      <a:fillRef idx="1">
        <a:scrgbClr b="0" g="0" r="0"/>
      </a:fillRef>
      <a:effectRef idx="2">
        <a:scrgbClr b="0" g="0" r="0"/>
      </a:effectRef>
      <a:fontRef idx="minor"/>
    </dgm:style>
  </dgm:styleLbl>
  <dgm:styleLbl name="solidFgAcc1">
    <dgm:scene3d>
      <a:camera prst="orthographicFront"/>
      <a:lightRig dir="t" rig="threePt"/>
    </dgm:scene3d>
    <dgm:sp3d/>
    <dgm:txPr/>
    <dgm:style>
      <a:lnRef idx="1">
        <a:scrgbClr b="0" g="0" r="0"/>
      </a:lnRef>
      <a:fillRef idx="1">
        <a:scrgbClr b="0" g="0" r="0"/>
      </a:fillRef>
      <a:effectRef idx="2">
        <a:scrgbClr b="0" g="0" r="0"/>
      </a:effectRef>
      <a:fontRef idx="minor"/>
    </dgm:style>
  </dgm:styleLbl>
  <dgm:styleLbl name="solidAlignAcc1">
    <dgm:scene3d>
      <a:camera prst="orthographicFront"/>
      <a:lightRig dir="t" rig="threePt"/>
    </dgm:scene3d>
    <dgm:sp3d/>
    <dgm:txPr/>
    <dgm:style>
      <a:lnRef idx="1">
        <a:scrgbClr b="0" g="0" r="0"/>
      </a:lnRef>
      <a:fillRef idx="1">
        <a:scrgbClr b="0" g="0" r="0"/>
      </a:fillRef>
      <a:effectRef idx="3">
        <a:scrgbClr b="0" g="0" r="0"/>
      </a:effectRef>
      <a:fontRef idx="minor"/>
    </dgm:style>
  </dgm:styleLbl>
  <dgm:styleLbl name="solidBgAcc1">
    <dgm:scene3d>
      <a:camera prst="orthographicFront"/>
      <a:lightRig dir="t" rig="threePt"/>
    </dgm:scene3d>
    <dgm:sp3d/>
    <dgm:txPr/>
    <dgm:style>
      <a:lnRef idx="1">
        <a:scrgbClr b="0" g="0" r="0"/>
      </a:lnRef>
      <a:fillRef idx="1">
        <a:scrgbClr b="0" g="0" r="0"/>
      </a:fillRef>
      <a:effectRef idx="3">
        <a:scrgbClr b="0" g="0" r="0"/>
      </a:effectRef>
      <a:fontRef idx="minor"/>
    </dgm:style>
  </dgm:styleLbl>
  <dgm:styleLbl name="fgAccFollowNode1">
    <dgm:scene3d>
      <a:camera prst="orthographicFront"/>
      <a:lightRig dir="t" rig="threePt"/>
    </dgm:scene3d>
    <dgm:sp3d/>
    <dgm:txPr/>
    <dgm:style>
      <a:lnRef idx="1">
        <a:scrgbClr b="0" g="0" r="0"/>
      </a:lnRef>
      <a:fillRef idx="1">
        <a:scrgbClr b="0" g="0" r="0"/>
      </a:fillRef>
      <a:effectRef idx="2">
        <a:scrgbClr b="0" g="0" r="0"/>
      </a:effectRef>
      <a:fontRef idx="minor"/>
    </dgm:style>
  </dgm:styleLbl>
  <dgm:styleLbl name="alignAccFollowNode1">
    <dgm:scene3d>
      <a:camera prst="orthographicFront"/>
      <a:lightRig dir="t" rig="threePt"/>
    </dgm:scene3d>
    <dgm:sp3d/>
    <dgm:txPr/>
    <dgm:style>
      <a:lnRef idx="1">
        <a:scrgbClr b="0" g="0" r="0"/>
      </a:lnRef>
      <a:fillRef idx="1">
        <a:scrgbClr b="0" g="0" r="0"/>
      </a:fillRef>
      <a:effectRef idx="2">
        <a:scrgbClr b="0" g="0" r="0"/>
      </a:effectRef>
      <a:fontRef idx="minor"/>
    </dgm:style>
  </dgm:styleLbl>
  <dgm:styleLbl name="bgAccFollowNode1">
    <dgm:scene3d>
      <a:camera prst="orthographicFront"/>
      <a:lightRig dir="t" rig="threePt"/>
    </dgm:scene3d>
    <dgm:sp3d/>
    <dgm:txPr/>
    <dgm:style>
      <a:lnRef idx="1">
        <a:scrgbClr b="0" g="0" r="0"/>
      </a:lnRef>
      <a:fillRef idx="1">
        <a:scrgbClr b="0" g="0" r="0"/>
      </a:fillRef>
      <a:effectRef idx="2">
        <a:scrgbClr b="0" g="0" r="0"/>
      </a:effectRef>
      <a:fontRef idx="minor"/>
    </dgm:style>
  </dgm:styleLbl>
  <dgm:styleLbl name="fgAcc0">
    <dgm:scene3d>
      <a:camera prst="orthographicFront"/>
      <a:lightRig dir="t" rig="threePt"/>
    </dgm:scene3d>
    <dgm:sp3d/>
    <dgm:txPr/>
    <dgm:style>
      <a:lnRef idx="1">
        <a:scrgbClr b="0" g="0" r="0"/>
      </a:lnRef>
      <a:fillRef idx="1">
        <a:scrgbClr b="0" g="0" r="0"/>
      </a:fillRef>
      <a:effectRef idx="2">
        <a:scrgbClr b="0" g="0" r="0"/>
      </a:effectRef>
      <a:fontRef idx="minor"/>
    </dgm:style>
  </dgm:styleLbl>
  <dgm:styleLbl name="fgAcc2">
    <dgm:scene3d>
      <a:camera prst="orthographicFront"/>
      <a:lightRig dir="t" rig="threePt"/>
    </dgm:scene3d>
    <dgm:sp3d/>
    <dgm:txPr/>
    <dgm:style>
      <a:lnRef idx="1">
        <a:scrgbClr b="0" g="0" r="0"/>
      </a:lnRef>
      <a:fillRef idx="1">
        <a:scrgbClr b="0" g="0" r="0"/>
      </a:fillRef>
      <a:effectRef idx="2">
        <a:scrgbClr b="0" g="0" r="0"/>
      </a:effectRef>
      <a:fontRef idx="minor"/>
    </dgm:style>
  </dgm:styleLbl>
  <dgm:styleLbl name="fgAcc3">
    <dgm:scene3d>
      <a:camera prst="orthographicFront"/>
      <a:lightRig dir="t" rig="threePt"/>
    </dgm:scene3d>
    <dgm:sp3d/>
    <dgm:txPr/>
    <dgm:style>
      <a:lnRef idx="1">
        <a:scrgbClr b="0" g="0" r="0"/>
      </a:lnRef>
      <a:fillRef idx="1">
        <a:scrgbClr b="0" g="0" r="0"/>
      </a:fillRef>
      <a:effectRef idx="2">
        <a:scrgbClr b="0" g="0" r="0"/>
      </a:effectRef>
      <a:fontRef idx="minor"/>
    </dgm:style>
  </dgm:styleLbl>
  <dgm:styleLbl name="fgAcc4">
    <dgm:scene3d>
      <a:camera prst="orthographicFront"/>
      <a:lightRig dir="t" rig="threePt"/>
    </dgm:scene3d>
    <dgm:sp3d/>
    <dgm:txPr/>
    <dgm:style>
      <a:lnRef idx="1">
        <a:scrgbClr b="0" g="0" r="0"/>
      </a:lnRef>
      <a:fillRef idx="1">
        <a:scrgbClr b="0" g="0" r="0"/>
      </a:fillRef>
      <a:effectRef idx="2">
        <a:scrgbClr b="0" g="0" r="0"/>
      </a:effectRef>
      <a:fontRef idx="minor"/>
    </dgm:style>
  </dgm:styleLbl>
  <dgm:styleLbl name="bgShp">
    <dgm:scene3d>
      <a:camera prst="orthographicFront"/>
      <a:lightRig dir="t" rig="threePt"/>
    </dgm:scene3d>
    <dgm:sp3d/>
    <dgm:txPr/>
    <dgm:style>
      <a:lnRef idx="0">
        <a:scrgbClr b="0" g="0" r="0"/>
      </a:lnRef>
      <a:fillRef idx="1">
        <a:scrgbClr b="0" g="0" r="0"/>
      </a:fillRef>
      <a:effectRef idx="2">
        <a:scrgbClr b="0" g="0" r="0"/>
      </a:effectRef>
      <a:fontRef idx="minor"/>
    </dgm:style>
  </dgm:styleLbl>
  <dgm:styleLbl name="dkBgShp">
    <dgm:scene3d>
      <a:camera prst="orthographicFront"/>
      <a:lightRig dir="t" rig="threePt"/>
    </dgm:scene3d>
    <dgm:sp3d/>
    <dgm:txPr/>
    <dgm:style>
      <a:lnRef idx="0">
        <a:scrgbClr b="0" g="0" r="0"/>
      </a:lnRef>
      <a:fillRef idx="1">
        <a:scrgbClr b="0" g="0" r="0"/>
      </a:fillRef>
      <a:effectRef idx="3">
        <a:scrgbClr b="0" g="0" r="0"/>
      </a:effectRef>
      <a:fontRef idx="minor"/>
    </dgm:style>
  </dgm:styleLbl>
  <dgm:styleLbl name="trBgShp">
    <dgm:scene3d>
      <a:camera prst="orthographicFront"/>
      <a:lightRig dir="t" rig="threePt"/>
    </dgm:scene3d>
    <dgm:sp3d/>
    <dgm:txPr/>
    <dgm:style>
      <a:lnRef idx="0">
        <a:scrgbClr b="0" g="0" r="0"/>
      </a:lnRef>
      <a:fillRef idx="1">
        <a:scrgbClr b="0" g="0" r="0"/>
      </a:fillRef>
      <a:effectRef idx="0">
        <a:scrgbClr b="0" g="0" r="0"/>
      </a:effectRef>
      <a:fontRef idx="minor"/>
    </dgm:style>
  </dgm:styleLbl>
  <dgm:styleLbl name="fgShp">
    <dgm:scene3d>
      <a:camera prst="orthographicFront"/>
      <a:lightRig dir="t" rig="threePt"/>
    </dgm:scene3d>
    <dgm:sp3d/>
    <dgm:txPr/>
    <dgm:style>
      <a:lnRef idx="0">
        <a:scrgbClr b="0" g="0" r="0"/>
      </a:lnRef>
      <a:fillRef idx="3">
        <a:scrgbClr b="0" g="0" r="0"/>
      </a:fillRef>
      <a:effectRef idx="3">
        <a:scrgbClr b="0" g="0" r="0"/>
      </a:effectRef>
      <a:fontRef idx="minor"/>
    </dgm:style>
  </dgm:styleLbl>
  <dgm:styleLbl name="revTx">
    <dgm:scene3d>
      <a:camera prst="orthographicFront"/>
      <a:lightRig dir="t" rig="threePt"/>
    </dgm:scene3d>
    <dgm:sp3d/>
    <dgm:txPr/>
    <dgm:style>
      <a:lnRef idx="0">
        <a:scrgbClr b="0" g="0" r="0"/>
      </a:lnRef>
      <a:fillRef idx="0">
        <a:scrgbClr b="0" g="0" r="0"/>
      </a:fillRef>
      <a:effectRef idx="0">
        <a:scrgbClr b="0" g="0" r="0"/>
      </a:effectRef>
      <a:fontRef idx="minor"/>
    </dgm:style>
  </dgm:styleLbl>
</dgm:styleDef>
</file>

<file path=word/diagrams/quickStyle2.xml><?xml version="1.0" encoding="utf-8"?>
<dgm:styleDef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uniqueId="urn:microsoft.com/office/officeart/2005/8/quickstyle/simple5">
  <dgm:title val=""/>
  <dgm:desc val=""/>
  <dgm:catLst>
    <dgm:cat pri="10500" type="simple"/>
  </dgm:catLst>
  <dgm:scene3d>
    <a:camera prst="orthographicFront"/>
    <a:lightRig dir="t" rig="threePt"/>
  </dgm:scene3d>
  <dgm:styleLbl name="node0">
    <dgm:scene3d>
      <a:camera prst="orthographicFront"/>
      <a:lightRig dir="t" rig="threePt"/>
    </dgm:scene3d>
    <dgm:sp3d/>
    <dgm:txPr/>
    <dgm:style>
      <a:lnRef idx="0">
        <a:scrgbClr b="0" g="0" r="0"/>
      </a:lnRef>
      <a:fillRef idx="3">
        <a:scrgbClr b="0" g="0" r="0"/>
      </a:fillRef>
      <a:effectRef idx="3">
        <a:scrgbClr b="0" g="0" r="0"/>
      </a:effectRef>
      <a:fontRef idx="minor">
        <a:schemeClr val="lt1"/>
      </a:fontRef>
    </dgm:style>
  </dgm:styleLbl>
  <dgm:styleLbl name="lnNode1">
    <dgm:scene3d>
      <a:camera prst="orthographicFront"/>
      <a:lightRig dir="t" rig="threePt"/>
    </dgm:scene3d>
    <dgm:sp3d/>
    <dgm:txPr/>
    <dgm:style>
      <a:lnRef idx="0">
        <a:scrgbClr b="0" g="0" r="0"/>
      </a:lnRef>
      <a:fillRef idx="3">
        <a:scrgbClr b="0" g="0" r="0"/>
      </a:fillRef>
      <a:effectRef idx="3">
        <a:scrgbClr b="0" g="0" r="0"/>
      </a:effectRef>
      <a:fontRef idx="minor">
        <a:schemeClr val="lt1"/>
      </a:fontRef>
    </dgm:style>
  </dgm:styleLbl>
  <dgm:styleLbl name="vennNode1">
    <dgm:scene3d>
      <a:camera prst="orthographicFront"/>
      <a:lightRig dir="t" rig="threePt"/>
    </dgm:scene3d>
    <dgm:sp3d/>
    <dgm:txPr/>
    <dgm:style>
      <a:lnRef idx="0">
        <a:scrgbClr b="0" g="0" r="0"/>
      </a:lnRef>
      <a:fillRef idx="3">
        <a:scrgbClr b="0" g="0" r="0"/>
      </a:fillRef>
      <a:effectRef idx="3">
        <a:scrgbClr b="0" g="0" r="0"/>
      </a:effectRef>
      <a:fontRef idx="minor">
        <a:schemeClr val="tx1"/>
      </a:fontRef>
    </dgm:style>
  </dgm:styleLbl>
  <dgm:styleLbl name="alignNode1">
    <dgm:scene3d>
      <a:camera prst="orthographicFront"/>
      <a:lightRig dir="t" rig="threePt"/>
    </dgm:scene3d>
    <dgm:sp3d/>
    <dgm:txPr/>
    <dgm:style>
      <a:lnRef idx="1">
        <a:scrgbClr b="0" g="0" r="0"/>
      </a:lnRef>
      <a:fillRef idx="3">
        <a:scrgbClr b="0" g="0" r="0"/>
      </a:fillRef>
      <a:effectRef idx="3">
        <a:scrgbClr b="0" g="0" r="0"/>
      </a:effectRef>
      <a:fontRef idx="minor">
        <a:schemeClr val="lt1"/>
      </a:fontRef>
    </dgm:style>
  </dgm:styleLbl>
  <dgm:styleLbl name="node1">
    <dgm:scene3d>
      <a:camera prst="orthographicFront"/>
      <a:lightRig dir="t" rig="threePt"/>
    </dgm:scene3d>
    <dgm:sp3d/>
    <dgm:txPr/>
    <dgm:style>
      <a:lnRef idx="0">
        <a:scrgbClr b="0" g="0" r="0"/>
      </a:lnRef>
      <a:fillRef idx="3">
        <a:scrgbClr b="0" g="0" r="0"/>
      </a:fillRef>
      <a:effectRef idx="3">
        <a:scrgbClr b="0" g="0" r="0"/>
      </a:effectRef>
      <a:fontRef idx="minor">
        <a:schemeClr val="lt1"/>
      </a:fontRef>
    </dgm:style>
  </dgm:styleLbl>
  <dgm:styleLbl name="node2">
    <dgm:scene3d>
      <a:camera prst="orthographicFront"/>
      <a:lightRig dir="t" rig="threePt"/>
    </dgm:scene3d>
    <dgm:sp3d/>
    <dgm:txPr/>
    <dgm:style>
      <a:lnRef idx="0">
        <a:scrgbClr b="0" g="0" r="0"/>
      </a:lnRef>
      <a:fillRef idx="3">
        <a:scrgbClr b="0" g="0" r="0"/>
      </a:fillRef>
      <a:effectRef idx="3">
        <a:scrgbClr b="0" g="0" r="0"/>
      </a:effectRef>
      <a:fontRef idx="minor">
        <a:schemeClr val="lt1"/>
      </a:fontRef>
    </dgm:style>
  </dgm:styleLbl>
  <dgm:styleLbl name="node3">
    <dgm:scene3d>
      <a:camera prst="orthographicFront"/>
      <a:lightRig dir="t" rig="threePt"/>
    </dgm:scene3d>
    <dgm:sp3d/>
    <dgm:txPr/>
    <dgm:style>
      <a:lnRef idx="0">
        <a:scrgbClr b="0" g="0" r="0"/>
      </a:lnRef>
      <a:fillRef idx="3">
        <a:scrgbClr b="0" g="0" r="0"/>
      </a:fillRef>
      <a:effectRef idx="3">
        <a:scrgbClr b="0" g="0" r="0"/>
      </a:effectRef>
      <a:fontRef idx="minor">
        <a:schemeClr val="lt1"/>
      </a:fontRef>
    </dgm:style>
  </dgm:styleLbl>
  <dgm:styleLbl name="node4">
    <dgm:scene3d>
      <a:camera prst="orthographicFront"/>
      <a:lightRig dir="t" rig="threePt"/>
    </dgm:scene3d>
    <dgm:sp3d/>
    <dgm:txPr/>
    <dgm:style>
      <a:lnRef idx="0">
        <a:scrgbClr b="0" g="0" r="0"/>
      </a:lnRef>
      <a:fillRef idx="3">
        <a:scrgbClr b="0" g="0" r="0"/>
      </a:fillRef>
      <a:effectRef idx="3">
        <a:scrgbClr b="0" g="0" r="0"/>
      </a:effectRef>
      <a:fontRef idx="minor">
        <a:schemeClr val="lt1"/>
      </a:fontRef>
    </dgm:style>
  </dgm:styleLbl>
  <dgm:styleLbl name="fgImgPlace1">
    <dgm:scene3d>
      <a:camera prst="orthographicFront"/>
      <a:lightRig dir="t" rig="threePt"/>
    </dgm:scene3d>
    <dgm:sp3d/>
    <dgm:txPr/>
    <dgm:style>
      <a:lnRef idx="0">
        <a:scrgbClr b="0" g="0" r="0"/>
      </a:lnRef>
      <a:fillRef idx="1">
        <a:scrgbClr b="0" g="0" r="0"/>
      </a:fillRef>
      <a:effectRef idx="3">
        <a:scrgbClr b="0" g="0" r="0"/>
      </a:effectRef>
      <a:fontRef idx="minor"/>
    </dgm:style>
  </dgm:styleLbl>
  <dgm:styleLbl name="alignImgPlace1">
    <dgm:scene3d>
      <a:camera prst="orthographicFront"/>
      <a:lightRig dir="t" rig="threePt"/>
    </dgm:scene3d>
    <dgm:sp3d/>
    <dgm:txPr/>
    <dgm:style>
      <a:lnRef idx="0">
        <a:scrgbClr b="0" g="0" r="0"/>
      </a:lnRef>
      <a:fillRef idx="1">
        <a:scrgbClr b="0" g="0" r="0"/>
      </a:fillRef>
      <a:effectRef idx="3">
        <a:scrgbClr b="0" g="0" r="0"/>
      </a:effectRef>
      <a:fontRef idx="minor"/>
    </dgm:style>
  </dgm:styleLbl>
  <dgm:styleLbl name="bgImgPlace1">
    <dgm:scene3d>
      <a:camera prst="orthographicFront"/>
      <a:lightRig dir="t" rig="threePt"/>
    </dgm:scene3d>
    <dgm:sp3d/>
    <dgm:txPr/>
    <dgm:style>
      <a:lnRef idx="0">
        <a:scrgbClr b="0" g="0" r="0"/>
      </a:lnRef>
      <a:fillRef idx="1">
        <a:scrgbClr b="0" g="0" r="0"/>
      </a:fillRef>
      <a:effectRef idx="3">
        <a:scrgbClr b="0" g="0" r="0"/>
      </a:effectRef>
      <a:fontRef idx="minor"/>
    </dgm:style>
  </dgm:styleLbl>
  <dgm:styleLbl name="sibTrans2D1">
    <dgm:scene3d>
      <a:camera prst="orthographicFront"/>
      <a:lightRig dir="t" rig="threePt"/>
    </dgm:scene3d>
    <dgm:sp3d/>
    <dgm:txPr/>
    <dgm:style>
      <a:lnRef idx="0">
        <a:scrgbClr b="0" g="0" r="0"/>
      </a:lnRef>
      <a:fillRef idx="3">
        <a:scrgbClr b="0" g="0" r="0"/>
      </a:fillRef>
      <a:effectRef idx="3">
        <a:scrgbClr b="0" g="0" r="0"/>
      </a:effectRef>
      <a:fontRef idx="minor">
        <a:schemeClr val="lt1"/>
      </a:fontRef>
    </dgm:style>
  </dgm:styleLbl>
  <dgm:styleLbl name="fgSibTrans2D1">
    <dgm:scene3d>
      <a:camera prst="orthographicFront"/>
      <a:lightRig dir="t" rig="threePt"/>
    </dgm:scene3d>
    <dgm:sp3d/>
    <dgm:txPr/>
    <dgm:style>
      <a:lnRef idx="0">
        <a:scrgbClr b="0" g="0" r="0"/>
      </a:lnRef>
      <a:fillRef idx="3">
        <a:scrgbClr b="0" g="0" r="0"/>
      </a:fillRef>
      <a:effectRef idx="3">
        <a:scrgbClr b="0" g="0" r="0"/>
      </a:effectRef>
      <a:fontRef idx="minor">
        <a:schemeClr val="lt1"/>
      </a:fontRef>
    </dgm:style>
  </dgm:styleLbl>
  <dgm:styleLbl name="bgSibTrans2D1">
    <dgm:scene3d>
      <a:camera prst="orthographicFront"/>
      <a:lightRig dir="t" rig="threePt"/>
    </dgm:scene3d>
    <dgm:sp3d/>
    <dgm:txPr/>
    <dgm:style>
      <a:lnRef idx="0">
        <a:scrgbClr b="0" g="0" r="0"/>
      </a:lnRef>
      <a:fillRef idx="3">
        <a:scrgbClr b="0" g="0" r="0"/>
      </a:fillRef>
      <a:effectRef idx="3">
        <a:scrgbClr b="0" g="0" r="0"/>
      </a:effectRef>
      <a:fontRef idx="minor">
        <a:schemeClr val="lt1"/>
      </a:fontRef>
    </dgm:style>
  </dgm:styleLbl>
  <dgm:styleLbl name="sibTrans1D1">
    <dgm:scene3d>
      <a:camera prst="orthographicFront"/>
      <a:lightRig dir="t" rig="threePt"/>
    </dgm:scene3d>
    <dgm:sp3d/>
    <dgm:txPr/>
    <dgm:style>
      <a:lnRef idx="1">
        <a:scrgbClr b="0" g="0" r="0"/>
      </a:lnRef>
      <a:fillRef idx="0">
        <a:scrgbClr b="0" g="0" r="0"/>
      </a:fillRef>
      <a:effectRef idx="0">
        <a:scrgbClr b="0" g="0" r="0"/>
      </a:effectRef>
      <a:fontRef idx="minor"/>
    </dgm:style>
  </dgm:styleLbl>
  <dgm:styleLbl name="callout">
    <dgm:scene3d>
      <a:camera prst="orthographicFront"/>
      <a:lightRig dir="t" rig="threePt"/>
    </dgm:scene3d>
    <dgm:sp3d/>
    <dgm:txPr/>
    <dgm:style>
      <a:lnRef idx="1">
        <a:scrgbClr b="0" g="0" r="0"/>
      </a:lnRef>
      <a:fillRef idx="0">
        <a:scrgbClr b="0" g="0" r="0"/>
      </a:fillRef>
      <a:effectRef idx="1">
        <a:scrgbClr b="0" g="0" r="0"/>
      </a:effectRef>
      <a:fontRef idx="minor"/>
    </dgm:style>
  </dgm:styleLbl>
  <dgm:styleLbl name="asst0">
    <dgm:scene3d>
      <a:camera prst="orthographicFront"/>
      <a:lightRig dir="t" rig="threePt"/>
    </dgm:scene3d>
    <dgm:sp3d/>
    <dgm:txPr/>
    <dgm:style>
      <a:lnRef idx="0">
        <a:scrgbClr b="0" g="0" r="0"/>
      </a:lnRef>
      <a:fillRef idx="3">
        <a:scrgbClr b="0" g="0" r="0"/>
      </a:fillRef>
      <a:effectRef idx="3">
        <a:scrgbClr b="0" g="0" r="0"/>
      </a:effectRef>
      <a:fontRef idx="minor">
        <a:schemeClr val="lt1"/>
      </a:fontRef>
    </dgm:style>
  </dgm:styleLbl>
  <dgm:styleLbl name="asst1">
    <dgm:scene3d>
      <a:camera prst="orthographicFront"/>
      <a:lightRig dir="t" rig="threePt"/>
    </dgm:scene3d>
    <dgm:sp3d/>
    <dgm:txPr/>
    <dgm:style>
      <a:lnRef idx="0">
        <a:scrgbClr b="0" g="0" r="0"/>
      </a:lnRef>
      <a:fillRef idx="3">
        <a:scrgbClr b="0" g="0" r="0"/>
      </a:fillRef>
      <a:effectRef idx="3">
        <a:scrgbClr b="0" g="0" r="0"/>
      </a:effectRef>
      <a:fontRef idx="minor">
        <a:schemeClr val="lt1"/>
      </a:fontRef>
    </dgm:style>
  </dgm:styleLbl>
  <dgm:styleLbl name="asst2">
    <dgm:scene3d>
      <a:camera prst="orthographicFront"/>
      <a:lightRig dir="t" rig="threePt"/>
    </dgm:scene3d>
    <dgm:sp3d/>
    <dgm:txPr/>
    <dgm:style>
      <a:lnRef idx="0">
        <a:scrgbClr b="0" g="0" r="0"/>
      </a:lnRef>
      <a:fillRef idx="3">
        <a:scrgbClr b="0" g="0" r="0"/>
      </a:fillRef>
      <a:effectRef idx="3">
        <a:scrgbClr b="0" g="0" r="0"/>
      </a:effectRef>
      <a:fontRef idx="minor">
        <a:schemeClr val="lt1"/>
      </a:fontRef>
    </dgm:style>
  </dgm:styleLbl>
  <dgm:styleLbl name="asst3">
    <dgm:scene3d>
      <a:camera prst="orthographicFront"/>
      <a:lightRig dir="t" rig="threePt"/>
    </dgm:scene3d>
    <dgm:sp3d/>
    <dgm:txPr/>
    <dgm:style>
      <a:lnRef idx="0">
        <a:scrgbClr b="0" g="0" r="0"/>
      </a:lnRef>
      <a:fillRef idx="3">
        <a:scrgbClr b="0" g="0" r="0"/>
      </a:fillRef>
      <a:effectRef idx="3">
        <a:scrgbClr b="0" g="0" r="0"/>
      </a:effectRef>
      <a:fontRef idx="minor">
        <a:schemeClr val="lt1"/>
      </a:fontRef>
    </dgm:style>
  </dgm:styleLbl>
  <dgm:styleLbl name="asst4">
    <dgm:scene3d>
      <a:camera prst="orthographicFront"/>
      <a:lightRig dir="t" rig="threePt"/>
    </dgm:scene3d>
    <dgm:sp3d/>
    <dgm:txPr/>
    <dgm:style>
      <a:lnRef idx="0">
        <a:scrgbClr b="0" g="0" r="0"/>
      </a:lnRef>
      <a:fillRef idx="3">
        <a:scrgbClr b="0" g="0" r="0"/>
      </a:fillRef>
      <a:effectRef idx="3">
        <a:scrgbClr b="0" g="0" r="0"/>
      </a:effectRef>
      <a:fontRef idx="minor">
        <a:schemeClr val="lt1"/>
      </a:fontRef>
    </dgm:style>
  </dgm:styleLbl>
  <dgm:styleLbl name="parChTrans2D1">
    <dgm:scene3d>
      <a:camera prst="orthographicFront"/>
      <a:lightRig dir="t" rig="threePt"/>
    </dgm:scene3d>
    <dgm:sp3d/>
    <dgm:txPr/>
    <dgm:style>
      <a:lnRef idx="0">
        <a:scrgbClr b="0" g="0" r="0"/>
      </a:lnRef>
      <a:fillRef idx="3">
        <a:scrgbClr b="0" g="0" r="0"/>
      </a:fillRef>
      <a:effectRef idx="3">
        <a:scrgbClr b="0" g="0" r="0"/>
      </a:effectRef>
      <a:fontRef idx="minor">
        <a:schemeClr val="lt1"/>
      </a:fontRef>
    </dgm:style>
  </dgm:styleLbl>
  <dgm:styleLbl name="parChTrans2D2">
    <dgm:scene3d>
      <a:camera prst="orthographicFront"/>
      <a:lightRig dir="t" rig="threePt"/>
    </dgm:scene3d>
    <dgm:sp3d/>
    <dgm:txPr/>
    <dgm:style>
      <a:lnRef idx="0">
        <a:scrgbClr b="0" g="0" r="0"/>
      </a:lnRef>
      <a:fillRef idx="3">
        <a:scrgbClr b="0" g="0" r="0"/>
      </a:fillRef>
      <a:effectRef idx="3">
        <a:scrgbClr b="0" g="0" r="0"/>
      </a:effectRef>
      <a:fontRef idx="minor">
        <a:schemeClr val="lt1"/>
      </a:fontRef>
    </dgm:style>
  </dgm:styleLbl>
  <dgm:styleLbl name="parChTrans2D3">
    <dgm:scene3d>
      <a:camera prst="orthographicFront"/>
      <a:lightRig dir="t" rig="threePt"/>
    </dgm:scene3d>
    <dgm:sp3d/>
    <dgm:txPr/>
    <dgm:style>
      <a:lnRef idx="0">
        <a:scrgbClr b="0" g="0" r="0"/>
      </a:lnRef>
      <a:fillRef idx="3">
        <a:scrgbClr b="0" g="0" r="0"/>
      </a:fillRef>
      <a:effectRef idx="3">
        <a:scrgbClr b="0" g="0" r="0"/>
      </a:effectRef>
      <a:fontRef idx="minor">
        <a:schemeClr val="lt1"/>
      </a:fontRef>
    </dgm:style>
  </dgm:styleLbl>
  <dgm:styleLbl name="parChTrans2D4">
    <dgm:scene3d>
      <a:camera prst="orthographicFront"/>
      <a:lightRig dir="t" rig="threePt"/>
    </dgm:scene3d>
    <dgm:sp3d/>
    <dgm:txPr/>
    <dgm:style>
      <a:lnRef idx="0">
        <a:scrgbClr b="0" g="0" r="0"/>
      </a:lnRef>
      <a:fillRef idx="3">
        <a:scrgbClr b="0" g="0" r="0"/>
      </a:fillRef>
      <a:effectRef idx="3">
        <a:scrgbClr b="0" g="0" r="0"/>
      </a:effectRef>
      <a:fontRef idx="minor">
        <a:schemeClr val="lt1"/>
      </a:fontRef>
    </dgm:style>
  </dgm:styleLbl>
  <dgm:styleLbl name="parChTrans1D1">
    <dgm:scene3d>
      <a:camera prst="orthographicFront"/>
      <a:lightRig dir="t" rig="threePt"/>
    </dgm:scene3d>
    <dgm:sp3d/>
    <dgm:txPr/>
    <dgm:style>
      <a:lnRef idx="2">
        <a:scrgbClr b="0" g="0" r="0"/>
      </a:lnRef>
      <a:fillRef idx="0">
        <a:scrgbClr b="0" g="0" r="0"/>
      </a:fillRef>
      <a:effectRef idx="0">
        <a:scrgbClr b="0" g="0" r="0"/>
      </a:effectRef>
      <a:fontRef idx="minor"/>
    </dgm:style>
  </dgm:styleLbl>
  <dgm:styleLbl name="parChTrans1D2">
    <dgm:scene3d>
      <a:camera prst="orthographicFront"/>
      <a:lightRig dir="t" rig="threePt"/>
    </dgm:scene3d>
    <dgm:sp3d/>
    <dgm:txPr/>
    <dgm:style>
      <a:lnRef idx="2">
        <a:scrgbClr b="0" g="0" r="0"/>
      </a:lnRef>
      <a:fillRef idx="0">
        <a:scrgbClr b="0" g="0" r="0"/>
      </a:fillRef>
      <a:effectRef idx="0">
        <a:scrgbClr b="0" g="0" r="0"/>
      </a:effectRef>
      <a:fontRef idx="minor"/>
    </dgm:style>
  </dgm:styleLbl>
  <dgm:styleLbl name="parChTrans1D3">
    <dgm:scene3d>
      <a:camera prst="orthographicFront"/>
      <a:lightRig dir="t" rig="threePt"/>
    </dgm:scene3d>
    <dgm:sp3d/>
    <dgm:txPr/>
    <dgm:style>
      <a:lnRef idx="2">
        <a:scrgbClr b="0" g="0" r="0"/>
      </a:lnRef>
      <a:fillRef idx="0">
        <a:scrgbClr b="0" g="0" r="0"/>
      </a:fillRef>
      <a:effectRef idx="0">
        <a:scrgbClr b="0" g="0" r="0"/>
      </a:effectRef>
      <a:fontRef idx="minor"/>
    </dgm:style>
  </dgm:styleLbl>
  <dgm:styleLbl name="parChTrans1D4">
    <dgm:scene3d>
      <a:camera prst="orthographicFront"/>
      <a:lightRig dir="t" rig="threePt"/>
    </dgm:scene3d>
    <dgm:sp3d/>
    <dgm:txPr/>
    <dgm:style>
      <a:lnRef idx="2">
        <a:scrgbClr b="0" g="0" r="0"/>
      </a:lnRef>
      <a:fillRef idx="0">
        <a:scrgbClr b="0" g="0" r="0"/>
      </a:fillRef>
      <a:effectRef idx="0">
        <a:scrgbClr b="0" g="0" r="0"/>
      </a:effectRef>
      <a:fontRef idx="minor"/>
    </dgm:style>
  </dgm:styleLbl>
  <dgm:styleLbl name="fgAcc1">
    <dgm:scene3d>
      <a:camera prst="orthographicFront"/>
      <a:lightRig dir="t" rig="threePt"/>
    </dgm:scene3d>
    <dgm:sp3d/>
    <dgm:txPr/>
    <dgm:style>
      <a:lnRef idx="1">
        <a:scrgbClr b="0" g="0" r="0"/>
      </a:lnRef>
      <a:fillRef idx="1">
        <a:scrgbClr b="0" g="0" r="0"/>
      </a:fillRef>
      <a:effectRef idx="2">
        <a:scrgbClr b="0" g="0" r="0"/>
      </a:effectRef>
      <a:fontRef idx="minor"/>
    </dgm:style>
  </dgm:styleLbl>
  <dgm:styleLbl name="conFgAcc1">
    <dgm:scene3d>
      <a:camera prst="orthographicFront"/>
      <a:lightRig dir="t" rig="threePt"/>
    </dgm:scene3d>
    <dgm:sp3d/>
    <dgm:txPr/>
    <dgm:style>
      <a:lnRef idx="1">
        <a:scrgbClr b="0" g="0" r="0"/>
      </a:lnRef>
      <a:fillRef idx="1">
        <a:scrgbClr b="0" g="0" r="0"/>
      </a:fillRef>
      <a:effectRef idx="2">
        <a:scrgbClr b="0" g="0" r="0"/>
      </a:effectRef>
      <a:fontRef idx="minor"/>
    </dgm:style>
  </dgm:styleLbl>
  <dgm:styleLbl name="alignAcc1">
    <dgm:scene3d>
      <a:camera prst="orthographicFront"/>
      <a:lightRig dir="t" rig="threePt"/>
    </dgm:scene3d>
    <dgm:sp3d/>
    <dgm:txPr/>
    <dgm:style>
      <a:lnRef idx="1">
        <a:scrgbClr b="0" g="0" r="0"/>
      </a:lnRef>
      <a:fillRef idx="1">
        <a:scrgbClr b="0" g="0" r="0"/>
      </a:fillRef>
      <a:effectRef idx="2">
        <a:scrgbClr b="0" g="0" r="0"/>
      </a:effectRef>
      <a:fontRef idx="minor"/>
    </dgm:style>
  </dgm:styleLbl>
  <dgm:styleLbl name="trAlignAcc1">
    <dgm:scene3d>
      <a:camera prst="orthographicFront"/>
      <a:lightRig dir="t" rig="threePt"/>
    </dgm:scene3d>
    <dgm:sp3d/>
    <dgm:txPr/>
    <dgm:style>
      <a:lnRef idx="1">
        <a:scrgbClr b="0" g="0" r="0"/>
      </a:lnRef>
      <a:fillRef idx="1">
        <a:scrgbClr b="0" g="0" r="0"/>
      </a:fillRef>
      <a:effectRef idx="0">
        <a:scrgbClr b="0" g="0" r="0"/>
      </a:effectRef>
      <a:fontRef idx="minor"/>
    </dgm:style>
  </dgm:styleLbl>
  <dgm:styleLbl name="bgAcc1">
    <dgm:scene3d>
      <a:camera prst="orthographicFront"/>
      <a:lightRig dir="t" rig="threePt"/>
    </dgm:scene3d>
    <dgm:sp3d/>
    <dgm:txPr/>
    <dgm:style>
      <a:lnRef idx="1">
        <a:scrgbClr b="0" g="0" r="0"/>
      </a:lnRef>
      <a:fillRef idx="1">
        <a:scrgbClr b="0" g="0" r="0"/>
      </a:fillRef>
      <a:effectRef idx="2">
        <a:scrgbClr b="0" g="0" r="0"/>
      </a:effectRef>
      <a:fontRef idx="minor"/>
    </dgm:style>
  </dgm:styleLbl>
  <dgm:styleLbl name="solidFgAcc1">
    <dgm:scene3d>
      <a:camera prst="orthographicFront"/>
      <a:lightRig dir="t" rig="threePt"/>
    </dgm:scene3d>
    <dgm:sp3d/>
    <dgm:txPr/>
    <dgm:style>
      <a:lnRef idx="1">
        <a:scrgbClr b="0" g="0" r="0"/>
      </a:lnRef>
      <a:fillRef idx="1">
        <a:scrgbClr b="0" g="0" r="0"/>
      </a:fillRef>
      <a:effectRef idx="2">
        <a:scrgbClr b="0" g="0" r="0"/>
      </a:effectRef>
      <a:fontRef idx="minor"/>
    </dgm:style>
  </dgm:styleLbl>
  <dgm:styleLbl name="solidAlignAcc1">
    <dgm:scene3d>
      <a:camera prst="orthographicFront"/>
      <a:lightRig dir="t" rig="threePt"/>
    </dgm:scene3d>
    <dgm:sp3d/>
    <dgm:txPr/>
    <dgm:style>
      <a:lnRef idx="1">
        <a:scrgbClr b="0" g="0" r="0"/>
      </a:lnRef>
      <a:fillRef idx="1">
        <a:scrgbClr b="0" g="0" r="0"/>
      </a:fillRef>
      <a:effectRef idx="3">
        <a:scrgbClr b="0" g="0" r="0"/>
      </a:effectRef>
      <a:fontRef idx="minor"/>
    </dgm:style>
  </dgm:styleLbl>
  <dgm:styleLbl name="solidBgAcc1">
    <dgm:scene3d>
      <a:camera prst="orthographicFront"/>
      <a:lightRig dir="t" rig="threePt"/>
    </dgm:scene3d>
    <dgm:sp3d/>
    <dgm:txPr/>
    <dgm:style>
      <a:lnRef idx="1">
        <a:scrgbClr b="0" g="0" r="0"/>
      </a:lnRef>
      <a:fillRef idx="1">
        <a:scrgbClr b="0" g="0" r="0"/>
      </a:fillRef>
      <a:effectRef idx="3">
        <a:scrgbClr b="0" g="0" r="0"/>
      </a:effectRef>
      <a:fontRef idx="minor"/>
    </dgm:style>
  </dgm:styleLbl>
  <dgm:styleLbl name="fgAccFollowNode1">
    <dgm:scene3d>
      <a:camera prst="orthographicFront"/>
      <a:lightRig dir="t" rig="threePt"/>
    </dgm:scene3d>
    <dgm:sp3d/>
    <dgm:txPr/>
    <dgm:style>
      <a:lnRef idx="1">
        <a:scrgbClr b="0" g="0" r="0"/>
      </a:lnRef>
      <a:fillRef idx="1">
        <a:scrgbClr b="0" g="0" r="0"/>
      </a:fillRef>
      <a:effectRef idx="2">
        <a:scrgbClr b="0" g="0" r="0"/>
      </a:effectRef>
      <a:fontRef idx="minor"/>
    </dgm:style>
  </dgm:styleLbl>
  <dgm:styleLbl name="alignAccFollowNode1">
    <dgm:scene3d>
      <a:camera prst="orthographicFront"/>
      <a:lightRig dir="t" rig="threePt"/>
    </dgm:scene3d>
    <dgm:sp3d/>
    <dgm:txPr/>
    <dgm:style>
      <a:lnRef idx="1">
        <a:scrgbClr b="0" g="0" r="0"/>
      </a:lnRef>
      <a:fillRef idx="1">
        <a:scrgbClr b="0" g="0" r="0"/>
      </a:fillRef>
      <a:effectRef idx="2">
        <a:scrgbClr b="0" g="0" r="0"/>
      </a:effectRef>
      <a:fontRef idx="minor"/>
    </dgm:style>
  </dgm:styleLbl>
  <dgm:styleLbl name="bgAccFollowNode1">
    <dgm:scene3d>
      <a:camera prst="orthographicFront"/>
      <a:lightRig dir="t" rig="threePt"/>
    </dgm:scene3d>
    <dgm:sp3d/>
    <dgm:txPr/>
    <dgm:style>
      <a:lnRef idx="1">
        <a:scrgbClr b="0" g="0" r="0"/>
      </a:lnRef>
      <a:fillRef idx="1">
        <a:scrgbClr b="0" g="0" r="0"/>
      </a:fillRef>
      <a:effectRef idx="2">
        <a:scrgbClr b="0" g="0" r="0"/>
      </a:effectRef>
      <a:fontRef idx="minor"/>
    </dgm:style>
  </dgm:styleLbl>
  <dgm:styleLbl name="fgAcc0">
    <dgm:scene3d>
      <a:camera prst="orthographicFront"/>
      <a:lightRig dir="t" rig="threePt"/>
    </dgm:scene3d>
    <dgm:sp3d/>
    <dgm:txPr/>
    <dgm:style>
      <a:lnRef idx="1">
        <a:scrgbClr b="0" g="0" r="0"/>
      </a:lnRef>
      <a:fillRef idx="1">
        <a:scrgbClr b="0" g="0" r="0"/>
      </a:fillRef>
      <a:effectRef idx="2">
        <a:scrgbClr b="0" g="0" r="0"/>
      </a:effectRef>
      <a:fontRef idx="minor"/>
    </dgm:style>
  </dgm:styleLbl>
  <dgm:styleLbl name="fgAcc2">
    <dgm:scene3d>
      <a:camera prst="orthographicFront"/>
      <a:lightRig dir="t" rig="threePt"/>
    </dgm:scene3d>
    <dgm:sp3d/>
    <dgm:txPr/>
    <dgm:style>
      <a:lnRef idx="1">
        <a:scrgbClr b="0" g="0" r="0"/>
      </a:lnRef>
      <a:fillRef idx="1">
        <a:scrgbClr b="0" g="0" r="0"/>
      </a:fillRef>
      <a:effectRef idx="2">
        <a:scrgbClr b="0" g="0" r="0"/>
      </a:effectRef>
      <a:fontRef idx="minor"/>
    </dgm:style>
  </dgm:styleLbl>
  <dgm:styleLbl name="fgAcc3">
    <dgm:scene3d>
      <a:camera prst="orthographicFront"/>
      <a:lightRig dir="t" rig="threePt"/>
    </dgm:scene3d>
    <dgm:sp3d/>
    <dgm:txPr/>
    <dgm:style>
      <a:lnRef idx="1">
        <a:scrgbClr b="0" g="0" r="0"/>
      </a:lnRef>
      <a:fillRef idx="1">
        <a:scrgbClr b="0" g="0" r="0"/>
      </a:fillRef>
      <a:effectRef idx="2">
        <a:scrgbClr b="0" g="0" r="0"/>
      </a:effectRef>
      <a:fontRef idx="minor"/>
    </dgm:style>
  </dgm:styleLbl>
  <dgm:styleLbl name="fgAcc4">
    <dgm:scene3d>
      <a:camera prst="orthographicFront"/>
      <a:lightRig dir="t" rig="threePt"/>
    </dgm:scene3d>
    <dgm:sp3d/>
    <dgm:txPr/>
    <dgm:style>
      <a:lnRef idx="1">
        <a:scrgbClr b="0" g="0" r="0"/>
      </a:lnRef>
      <a:fillRef idx="1">
        <a:scrgbClr b="0" g="0" r="0"/>
      </a:fillRef>
      <a:effectRef idx="2">
        <a:scrgbClr b="0" g="0" r="0"/>
      </a:effectRef>
      <a:fontRef idx="minor"/>
    </dgm:style>
  </dgm:styleLbl>
  <dgm:styleLbl name="bgShp">
    <dgm:scene3d>
      <a:camera prst="orthographicFront"/>
      <a:lightRig dir="t" rig="threePt"/>
    </dgm:scene3d>
    <dgm:sp3d/>
    <dgm:txPr/>
    <dgm:style>
      <a:lnRef idx="0">
        <a:scrgbClr b="0" g="0" r="0"/>
      </a:lnRef>
      <a:fillRef idx="1">
        <a:scrgbClr b="0" g="0" r="0"/>
      </a:fillRef>
      <a:effectRef idx="2">
        <a:scrgbClr b="0" g="0" r="0"/>
      </a:effectRef>
      <a:fontRef idx="minor"/>
    </dgm:style>
  </dgm:styleLbl>
  <dgm:styleLbl name="dkBgShp">
    <dgm:scene3d>
      <a:camera prst="orthographicFront"/>
      <a:lightRig dir="t" rig="threePt"/>
    </dgm:scene3d>
    <dgm:sp3d/>
    <dgm:txPr/>
    <dgm:style>
      <a:lnRef idx="0">
        <a:scrgbClr b="0" g="0" r="0"/>
      </a:lnRef>
      <a:fillRef idx="1">
        <a:scrgbClr b="0" g="0" r="0"/>
      </a:fillRef>
      <a:effectRef idx="3">
        <a:scrgbClr b="0" g="0" r="0"/>
      </a:effectRef>
      <a:fontRef idx="minor"/>
    </dgm:style>
  </dgm:styleLbl>
  <dgm:styleLbl name="trBgShp">
    <dgm:scene3d>
      <a:camera prst="orthographicFront"/>
      <a:lightRig dir="t" rig="threePt"/>
    </dgm:scene3d>
    <dgm:sp3d/>
    <dgm:txPr/>
    <dgm:style>
      <a:lnRef idx="0">
        <a:scrgbClr b="0" g="0" r="0"/>
      </a:lnRef>
      <a:fillRef idx="1">
        <a:scrgbClr b="0" g="0" r="0"/>
      </a:fillRef>
      <a:effectRef idx="0">
        <a:scrgbClr b="0" g="0" r="0"/>
      </a:effectRef>
      <a:fontRef idx="minor"/>
    </dgm:style>
  </dgm:styleLbl>
  <dgm:styleLbl name="fgShp">
    <dgm:scene3d>
      <a:camera prst="orthographicFront"/>
      <a:lightRig dir="t" rig="threePt"/>
    </dgm:scene3d>
    <dgm:sp3d/>
    <dgm:txPr/>
    <dgm:style>
      <a:lnRef idx="0">
        <a:scrgbClr b="0" g="0" r="0"/>
      </a:lnRef>
      <a:fillRef idx="3">
        <a:scrgbClr b="0" g="0" r="0"/>
      </a:fillRef>
      <a:effectRef idx="3">
        <a:scrgbClr b="0" g="0" r="0"/>
      </a:effectRef>
      <a:fontRef idx="minor"/>
    </dgm:style>
  </dgm:styleLbl>
  <dgm:styleLbl name="revTx">
    <dgm:scene3d>
      <a:camera prst="orthographicFront"/>
      <a:lightRig dir="t" rig="threePt"/>
    </dgm:scene3d>
    <dgm:sp3d/>
    <dgm:txPr/>
    <dgm:style>
      <a:lnRef idx="0">
        <a:scrgbClr b="0" g="0" r="0"/>
      </a:lnRef>
      <a:fillRef idx="0">
        <a:scrgbClr b="0" g="0" r="0"/>
      </a:fillRef>
      <a:effectRef idx="0">
        <a:scrgbClr b="0" g="0" r="0"/>
      </a:effectRef>
      <a:fontRef idx="minor"/>
    </dgm:style>
  </dgm:styleLbl>
</dgm:styleDef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mbria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dostavljeno bez popratnog dopisa
plan financijskog i operativnog restrukturiranja</izvorni_sadrzaj>
    <derivirana_varijabla naziv="DomainObject.Primjedba_1">dostavljeno bez popratnog dopisa
plan financijskog i operativnog restrukturiranja</derivirana_varijabla>
  </DomainObject.Primjedba>
  <DomainObject.Oznaka>
    <izvorni_sadrzaj>St-5935/2016-36</izvorni_sadrzaj>
    <derivirana_varijabla naziv="DomainObject.Oznaka_1">St-5935/2016-36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56</izvorni_sadrzaj>
    <derivirana_varijabla naziv="DomainObject.BrojStranica_1">56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5935</izvorni_sadrzaj>
    <derivirana_varijabla naziv="DomainObject.Predmet.Broj_1">5935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2016.</izvorni_sadrzaj>
    <derivirana_varijabla naziv="DomainObject.Predmet.DatumOsnivanja_1">12.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St-5935/2016</izvorni_sadrzaj>
    <derivirana_varijabla naziv="DomainObject.Predmet.OznakaBroj_1">St-5935/2016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Mirko Vojnović</izvorni_sadrzaj>
    <derivirana_varijabla naziv="DomainObject.Predmet.ProtustrankaFormated_1">  Mirko Vojnović</derivirana_varijabla>
  </DomainObject.Predmet.ProtustrankaFormated>
  <DomainObject.Predmet.ProtustrankaFormatedOIB>
    <izvorni_sadrzaj>  Mirko Vojnović, OIB 81898769219</izvorni_sadrzaj>
    <derivirana_varijabla naziv="DomainObject.Predmet.ProtustrankaFormatedOIB_1">  Mirko Vojnović, OIB 81898769219</derivirana_varijabla>
  </DomainObject.Predmet.ProtustrankaFormatedOIB>
  <DomainObject.Predmet.ProtustrankaFormatedWithAdress>
    <izvorni_sadrzaj> Mirko Vojnović, Ozaljska 87, 10000 Zagreb</izvorni_sadrzaj>
    <derivirana_varijabla naziv="DomainObject.Predmet.ProtustrankaFormatedWithAdress_1"> Mirko Vojnović, Ozaljska 87, 10000 Zagreb</derivirana_varijabla>
  </DomainObject.Predmet.ProtustrankaFormatedWithAdress>
  <DomainObject.Predmet.ProtustrankaFormatedWithAdressOIB>
    <izvorni_sadrzaj> Mirko Vojnović, OIB 81898769219, Ozaljska 87, 10000 Zagreb</izvorni_sadrzaj>
    <derivirana_varijabla naziv="DomainObject.Predmet.ProtustrankaFormatedWithAdressOIB_1"> Mirko Vojnović, OIB 81898769219, Ozaljska 87, 10000 Zagreb</derivirana_varijabla>
  </DomainObject.Predmet.ProtustrankaFormatedWithAdressOIB>
  <DomainObject.Predmet.ProtustrankaWithAdress>
    <izvorni_sadrzaj>Mirko Vojnović Ozaljska 87, 10000 Zagreb</izvorni_sadrzaj>
    <derivirana_varijabla naziv="DomainObject.Predmet.ProtustrankaWithAdress_1">Mirko Vojnović Ozaljska 87, 10000 Zagreb</derivirana_varijabla>
  </DomainObject.Predmet.ProtustrankaWithAdress>
  <DomainObject.Predmet.ProtustrankaWithAdressOIB>
    <izvorni_sadrzaj>Mirko Vojnović, OIB 81898769219, Ozaljska 87, 10000 Zagreb</izvorni_sadrzaj>
    <derivirana_varijabla naziv="DomainObject.Predmet.ProtustrankaWithAdressOIB_1">Mirko Vojnović, OIB 81898769219, Ozaljska 87, 10000 Zagreb</derivirana_varijabla>
  </DomainObject.Predmet.ProtustrankaWithAdressOIB>
  <DomainObject.Predmet.ProtustrankaNazivFormated>
    <izvorni_sadrzaj>Mirko Vojnović</izvorni_sadrzaj>
    <derivirana_varijabla naziv="DomainObject.Predmet.ProtustrankaNazivFormated_1">Mirko Vojnović</derivirana_varijabla>
  </DomainObject.Predmet.ProtustrankaNazivFormated>
  <DomainObject.Predmet.ProtustrankaNazivFormatedOIB>
    <izvorni_sadrzaj>Mirko Vojnović, OIB 81898769219</izvorni_sadrzaj>
    <derivirana_varijabla naziv="DomainObject.Predmet.ProtustrankaNazivFormatedOIB_1">Mirko Vojnović, OIB 81898769219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Mirko Vojnović</izvorni_sadrzaj>
    <derivirana_varijabla naziv="DomainObject.Predmet.StrankaFormated_1">  Mirko Vojnović</derivirana_varijabla>
  </DomainObject.Predmet.StrankaFormated>
  <DomainObject.Predmet.StrankaFormatedOIB>
    <izvorni_sadrzaj>  Mirko Vojnović, OIB 81898769219</izvorni_sadrzaj>
    <derivirana_varijabla naziv="DomainObject.Predmet.StrankaFormatedOIB_1">  Mirko Vojnović, OIB 81898769219</derivirana_varijabla>
  </DomainObject.Predmet.StrankaFormatedOIB>
  <DomainObject.Predmet.StrankaFormatedWithAdress>
    <izvorni_sadrzaj> Mirko Vojnović, Ozaljska 87, 10000 Zagreb</izvorni_sadrzaj>
    <derivirana_varijabla naziv="DomainObject.Predmet.StrankaFormatedWithAdress_1"> Mirko Vojnović, Ozaljska 87, 10000 Zagreb</derivirana_varijabla>
  </DomainObject.Predmet.StrankaFormatedWithAdress>
  <DomainObject.Predmet.StrankaFormatedWithAdressOIB>
    <izvorni_sadrzaj> Mirko Vojnović, OIB 81898769219, Ozaljska 87, 10000 Zagreb</izvorni_sadrzaj>
    <derivirana_varijabla naziv="DomainObject.Predmet.StrankaFormatedWithAdressOIB_1"> Mirko Vojnović, OIB 81898769219, Ozaljska 87, 10000 Zagreb</derivirana_varijabla>
  </DomainObject.Predmet.StrankaFormatedWithAdressOIB>
  <DomainObject.Predmet.StrankaWithAdress>
    <izvorni_sadrzaj>Mirko Vojnović Ozaljska 87,10000 Zagreb</izvorni_sadrzaj>
    <derivirana_varijabla naziv="DomainObject.Predmet.StrankaWithAdress_1">Mirko Vojnović Ozaljska 87,10000 Zagreb</derivirana_varijabla>
  </DomainObject.Predmet.StrankaWithAdress>
  <DomainObject.Predmet.StrankaWithAdressOIB>
    <izvorni_sadrzaj>Mirko Vojnović, OIB 81898769219, Ozaljska 87,10000 Zagreb</izvorni_sadrzaj>
    <derivirana_varijabla naziv="DomainObject.Predmet.StrankaWithAdressOIB_1">Mirko Vojnović, OIB 81898769219, Ozaljska 87,10000 Zagreb</derivirana_varijabla>
  </DomainObject.Predmet.StrankaWithAdressOIB>
  <DomainObject.Predmet.StrankaNazivFormated>
    <izvorni_sadrzaj>Mirko Vojnović</izvorni_sadrzaj>
    <derivirana_varijabla naziv="DomainObject.Predmet.StrankaNazivFormated_1">Mirko Vojnović</derivirana_varijabla>
  </DomainObject.Predmet.StrankaNazivFormated>
  <DomainObject.Predmet.StrankaNazivFormatedOIB>
    <izvorni_sadrzaj>Mirko Vojnović, OIB 81898769219</izvorni_sadrzaj>
    <derivirana_varijabla naziv="DomainObject.Predmet.StrankaNazivFormatedOIB_1">Mirko Vojnović, OIB 81898769219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Mirko Vojnović</item>
    </izvorni_sadrzaj>
    <derivirana_varijabla naziv="DomainObject.Predmet.StrankaListFormated_1">
      <item>Mirko Vojnović</item>
    </derivirana_varijabla>
  </DomainObject.Predmet.StrankaListFormated>
  <DomainObject.Predmet.StrankaListFormatedOIB>
    <izvorni_sadrzaj>
      <item>Mirko Vojnović, OIB 81898769219</item>
    </izvorni_sadrzaj>
    <derivirana_varijabla naziv="DomainObject.Predmet.StrankaListFormatedOIB_1">
      <item>Mirko Vojnović, OIB 81898769219</item>
    </derivirana_varijabla>
  </DomainObject.Predmet.StrankaListFormatedOIB>
  <DomainObject.Predmet.StrankaListFormatedWithAdress>
    <izvorni_sadrzaj>
      <item>Mirko Vojnović, Ozaljska 87, 10000 Zagreb</item>
    </izvorni_sadrzaj>
    <derivirana_varijabla naziv="DomainObject.Predmet.StrankaListFormatedWithAdress_1">
      <item>Mirko Vojnović, Ozaljska 87, 10000 Zagreb</item>
    </derivirana_varijabla>
  </DomainObject.Predmet.StrankaListFormatedWithAdress>
  <DomainObject.Predmet.StrankaListFormatedWithAdressOIB>
    <izvorni_sadrzaj>
      <item>Mirko Vojnović, OIB 81898769219, Ozaljska 87, 10000 Zagreb</item>
    </izvorni_sadrzaj>
    <derivirana_varijabla naziv="DomainObject.Predmet.StrankaListFormatedWithAdressOIB_1">
      <item>Mirko Vojnović, OIB 81898769219, Ozaljska 87, 10000 Zagreb</item>
    </derivirana_varijabla>
  </DomainObject.Predmet.StrankaListFormatedWithAdressOIB>
  <DomainObject.Predmet.StrankaListNazivFormated>
    <izvorni_sadrzaj>
      <item>Mirko Vojnović</item>
    </izvorni_sadrzaj>
    <derivirana_varijabla naziv="DomainObject.Predmet.StrankaListNazivFormated_1">
      <item>Mirko Vojnović</item>
    </derivirana_varijabla>
  </DomainObject.Predmet.StrankaListNazivFormated>
  <DomainObject.Predmet.StrankaListNazivFormatedOIB>
    <izvorni_sadrzaj>
      <item>Mirko Vojnović, OIB 81898769219</item>
    </izvorni_sadrzaj>
    <derivirana_varijabla naziv="DomainObject.Predmet.StrankaListNazivFormatedOIB_1">
      <item>Mirko Vojnović, OIB 81898769219</item>
    </derivirana_varijabla>
  </DomainObject.Predmet.StrankaListNazivFormatedOIB>
  <DomainObject.Predmet.ProtuStrankaListFormated>
    <izvorni_sadrzaj>
      <item>Mirko Vojnović</item>
    </izvorni_sadrzaj>
    <derivirana_varijabla naziv="DomainObject.Predmet.ProtuStrankaListFormated_1">
      <item>Mirko Vojnović</item>
    </derivirana_varijabla>
  </DomainObject.Predmet.ProtuStrankaListFormated>
  <DomainObject.Predmet.ProtuStrankaListFormatedOIB>
    <izvorni_sadrzaj>
      <item>Mirko Vojnović, OIB 81898769219</item>
    </izvorni_sadrzaj>
    <derivirana_varijabla naziv="DomainObject.Predmet.ProtuStrankaListFormatedOIB_1">
      <item>Mirko Vojnović, OIB 81898769219</item>
    </derivirana_varijabla>
  </DomainObject.Predmet.ProtuStrankaListFormatedOIB>
  <DomainObject.Predmet.ProtuStrankaListFormatedWithAdress>
    <izvorni_sadrzaj>
      <item>Mirko Vojnović, Ozaljska 87, 10000 Zagreb</item>
    </izvorni_sadrzaj>
    <derivirana_varijabla naziv="DomainObject.Predmet.ProtuStrankaListFormatedWithAdress_1">
      <item>Mirko Vojnović, Ozaljska 87, 10000 Zagreb</item>
    </derivirana_varijabla>
  </DomainObject.Predmet.ProtuStrankaListFormatedWithAdress>
  <DomainObject.Predmet.ProtuStrankaListFormatedWithAdressOIB>
    <izvorni_sadrzaj>
      <item>Mirko Vojnović, OIB 81898769219, Ozaljska 87, 10000 Zagreb</item>
    </izvorni_sadrzaj>
    <derivirana_varijabla naziv="DomainObject.Predmet.ProtuStrankaListFormatedWithAdressOIB_1">
      <item>Mirko Vojnović, OIB 81898769219, Ozaljska 87, 10000 Zagreb</item>
    </derivirana_varijabla>
  </DomainObject.Predmet.ProtuStrankaListFormatedWithAdressOIB>
  <DomainObject.Predmet.ProtuStrankaListNazivFormated>
    <izvorni_sadrzaj>
      <item>Mirko Vojnović</item>
    </izvorni_sadrzaj>
    <derivirana_varijabla naziv="DomainObject.Predmet.ProtuStrankaListNazivFormated_1">
      <item>Mirko Vojnović</item>
    </derivirana_varijabla>
  </DomainObject.Predmet.ProtuStrankaListNazivFormated>
  <DomainObject.Predmet.ProtuStrankaListNazivFormatedOIB>
    <izvorni_sadrzaj>
      <item>Mirko Vojnović, OIB 81898769219</item>
    </izvorni_sadrzaj>
    <derivirana_varijabla naziv="DomainObject.Predmet.ProtuStrankaListNazivFormatedOIB_1">
      <item>Mirko Vojnović, OIB 81898769219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Mirko Vojnović</izvorni_sadrzaj>
    <derivirana_varijabla naziv="DomainObject.Predmet.StrankaIDrugi_1">Mirko Vojnović</derivirana_varijabla>
  </DomainObject.Predmet.StrankaIDrugi>
  <DomainObject.Predmet.ProtustrankaIDrugi>
    <izvorni_sadrzaj>Mirko Vojnović</izvorni_sadrzaj>
    <derivirana_varijabla naziv="DomainObject.Predmet.ProtustrankaIDrugi_1">Mirko Vojnović</derivirana_varijabla>
  </DomainObject.Predmet.ProtustrankaIDrugi>
  <DomainObject.Predmet.StrankaIDrugiAdressOIB>
    <izvorni_sadrzaj>Mirko Vojnović, OIB 81898769219, Ozaljska 87, 10000 Zagreb</izvorni_sadrzaj>
    <derivirana_varijabla naziv="DomainObject.Predmet.StrankaIDrugiAdressOIB_1">Mirko Vojnović, OIB 81898769219, Ozaljska 87, 10000 Zagreb</derivirana_varijabla>
  </DomainObject.Predmet.StrankaIDrugiAdressOIB>
  <DomainObject.Predmet.ProtustrankaIDrugiAdressOIB>
    <izvorni_sadrzaj>Mirko Vojnović, OIB 81898769219, Ozaljska 87, 10000 Zagreb</izvorni_sadrzaj>
    <derivirana_varijabla naziv="DomainObject.Predmet.ProtustrankaIDrugiAdressOIB_1">Mirko Vojnović, OIB 81898769219, Ozaljska 87,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Mirko Vojnović</item>
      <item>Mirko Vojnović</item>
    </izvorni_sadrzaj>
    <derivirana_varijabla naziv="DomainObject.Predmet.SudioniciListNaziv_1">
      <item>Mirko Vojnović</item>
      <item>Mirko Vojnović</item>
    </derivirana_varijabla>
  </DomainObject.Predmet.SudioniciListNaziv>
  <DomainObject.Predmet.SudioniciListAdressOIB>
    <izvorni_sadrzaj>
      <item>Mirko Vojnović, OIB 81898769219, Ozaljska 87,10000 Zagreb</item>
      <item>Mirko Vojnović, OIB 81898769219, Ozaljska 87,10000 Zagreb</item>
    </izvorni_sadrzaj>
    <derivirana_varijabla naziv="DomainObject.Predmet.SudioniciListAdressOIB_1">
      <item>Mirko Vojnović, OIB 81898769219, Ozaljska 87,10000 Zagreb</item>
      <item>Mirko Vojnović, OIB 81898769219, Ozaljska 87,10000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81898769219</item>
      <item>, OIB 81898769219</item>
    </izvorni_sadrzaj>
    <derivirana_varijabla naziv="DomainObject.Predmet.SudioniciListNazivOIB_1">
      <item>, OIB 81898769219</item>
      <item>, OIB 81898769219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/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F468CD-9B30-4576-BCD4-DA0CA86C8B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Pages>55</properties:Pages>
  <properties:Words>12978</properties:Words>
  <properties:Characters>79248</properties:Characters>
  <properties:Lines>3201</properties:Lines>
  <properties:Paragraphs>1894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91782</properties:CharactersWithSpaces>
  <properties:SharedDoc>false</properties:SharedDoc>
  <properties:HLinks>
    <vt:vector size="96" baseType="variant">
      <vt:variant>
        <vt:i4>1835014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_Toc386620657</vt:lpwstr>
      </vt:variant>
      <vt:variant>
        <vt:i4>1835015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_Toc386620656</vt:lpwstr>
      </vt:variant>
      <vt:variant>
        <vt:i4>1835012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_Toc386620655</vt:lpwstr>
      </vt:variant>
      <vt:variant>
        <vt:i4>1835013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_Toc386620654</vt:lpwstr>
      </vt:variant>
      <vt:variant>
        <vt:i4>1835010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_Toc386620653</vt:lpwstr>
      </vt:variant>
      <vt:variant>
        <vt:i4>1835011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_Toc386620652</vt:lpwstr>
      </vt:variant>
      <vt:variant>
        <vt:i4>1835008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_Toc386620651</vt:lpwstr>
      </vt:variant>
      <vt:variant>
        <vt:i4>1835009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_Toc386620650</vt:lpwstr>
      </vt:variant>
      <vt:variant>
        <vt:i4>1900552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_Toc386620649</vt:lpwstr>
      </vt:variant>
      <vt:variant>
        <vt:i4>1900553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_Toc386620648</vt:lpwstr>
      </vt:variant>
      <vt:variant>
        <vt:i4>1900550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_Toc386620647</vt:lpwstr>
      </vt:variant>
      <vt:variant>
        <vt:i4>1900551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_Toc386620646</vt:lpwstr>
      </vt:variant>
      <vt:variant>
        <vt:i4>1900548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_Toc386620645</vt:lpwstr>
      </vt:variant>
      <vt:variant>
        <vt:i4>1900549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_Toc386620644</vt:lpwstr>
      </vt:variant>
      <vt:variant>
        <vt:i4>1900546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_Toc386620643</vt:lpwstr>
      </vt:variant>
      <vt:variant>
        <vt:i4>1900547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_Toc386620642</vt:lpwstr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2017-05-03T07:40:00Z</dcterms:created>
  <dc:creator/>
  <cp:lastModifiedBy/>
  <dcterms:modified xmlns:xsi="http://www.w3.org/2001/XMLSchema-instance" xsi:type="dcterms:W3CDTF">2017-05-10T09:39:00Z</dcterms:modified>
  <cp:revision>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St-5935/2016-36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55</vt:i4>
  </prop:property>
</prop:Properties>
</file>