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92fb" w14:paraId="19592fb" w:rsidRDefault="00AE649C" w:rsidP="00FA5B5E" w:rsidR="00AE649C" w:rsidRPr="00B76F3C">
      <w:pPr>
        <w:pStyle w:val="Naslov3"/>
        <w15:collapsed w:val="false"/>
      </w:pPr>
    </w:p>
    <w:p w:rsidRDefault="005B09A6" w:rsidP="005B1C1C" w:rsidR="005B1C1C" w:rsidRPr="005B1C1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B1C1C">
        <w:rPr>
          <w:rFonts w:cs="Times New Roman" w:eastAsia="Times New Roman"/>
          <w:szCs w:val="20"/>
          <w:lang w:eastAsia="hr-HR"/>
        </w:rPr>
        <w:t xml:space="preserve">                            </w:t>
      </w:r>
      <w:r w:rsidR="005B1C1C" w:rsidRPr="005B1C1C">
        <w:rPr>
          <w:rFonts w:cs="Times New Roman" w:eastAsia="Times New Roman"/>
          <w:szCs w:val="20"/>
          <w:lang w:eastAsia="hr-HR"/>
        </w:rPr>
        <w:t xml:space="preserve">               </w:t>
      </w:r>
      <w:r w:rsidR="005B1C1C">
        <w:rPr>
          <w:rFonts w:cs="Times New Roman" w:eastAsia="Times New Roman"/>
          <w:szCs w:val="20"/>
          <w:lang w:eastAsia="hr-HR"/>
        </w:rPr>
        <w:t xml:space="preserve">                         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</w:t>
      </w:r>
      <w:r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5B1C1C">
        <w:rPr>
          <w:rFonts w:cs="Times New Roman" w:eastAsia="Times New Roman"/>
          <w:szCs w:val="20"/>
          <w:lang w:eastAsia="hr-HR"/>
        </w:rPr>
        <w:t xml:space="preserve">                                                      5 St-2/2015-61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TRGOVAČKI SUD U BJELOVARU,</w:t>
      </w:r>
      <w:r w:rsidRPr="005B1C1C">
        <w:rPr>
          <w:rFonts w:cs="Times New Roman" w:eastAsia="Times New Roman"/>
          <w:b/>
          <w:szCs w:val="20"/>
          <w:lang w:eastAsia="hr-HR"/>
        </w:rPr>
        <w:t xml:space="preserve"> </w:t>
      </w:r>
      <w:r w:rsidRPr="005B1C1C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</w:t>
      </w:r>
      <w:r w:rsidRPr="005B1C1C">
        <w:rPr>
          <w:rFonts w:cs="Times New Roman" w:eastAsia="Times New Roman"/>
          <w:lang w:eastAsia="hr-HR"/>
        </w:rPr>
        <w:t xml:space="preserve">ASTRA TRANSPORTI d.o.o. </w:t>
      </w:r>
      <w:proofErr w:type="spellStart"/>
      <w:r w:rsidRPr="005B1C1C">
        <w:rPr>
          <w:rFonts w:cs="Times New Roman" w:eastAsia="Times New Roman"/>
          <w:lang w:eastAsia="hr-HR"/>
        </w:rPr>
        <w:t>Sirač</w:t>
      </w:r>
      <w:proofErr w:type="spellEnd"/>
      <w:r w:rsidRPr="005B1C1C">
        <w:rPr>
          <w:rFonts w:cs="Times New Roman" w:eastAsia="Times New Roman"/>
          <w:lang w:eastAsia="hr-HR"/>
        </w:rPr>
        <w:t>, Ruđera Boškovića 50/a, OIB: 92104069861,</w:t>
      </w:r>
      <w:r w:rsidRPr="005B1C1C">
        <w:rPr>
          <w:rFonts w:cs="Times New Roman" w:eastAsia="Times New Roman"/>
          <w:szCs w:val="20"/>
          <w:lang w:eastAsia="hr-HR"/>
        </w:rPr>
        <w:t xml:space="preserve"> dana 25. kolovoza 2015. donio je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Z A K L J U Č A K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I. Prodaje  se imovina u vlasništvu stečajnog dužnika: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- nekretnine upisane u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. 2483 k.o.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čk.br. 135 broj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D.L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. 36 STJEPANA RADIĆA sa 3919 m2, Upravna zgrada sa 704 m2, Dvorište sa 3119 m2 i Garaža, Stjepana Radića sa 96 m2 i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. 2482 k.o.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čk.br. 130 broj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D.L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>. 36, STJEPANA RADIĆA sa 641 m2, Put sa 641 m2, po utvrđenoj vrijednosti od 2.275.000,00 kn (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dvamilijunadvjestosedamdesetpettisućakuna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>) sa pripadajućim pokretninama  (uredskom opremom i namještajem), navedenim u Procjeni tržišne vrijednosti   strojeva, uređaja i opreme od 16. travnja 2015., po utvrđenoj vrijednosti od 35.718,07 kn (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tridesetpettisućasedamstoosamnaestkunaisedamlipa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), time da je u vrijednost pokretnina uključen i porez na dodanu vrijednost.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Imovina se prodaje isključivo kao cjelina.    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II. Nekretnine stečajnog dužnika upisane u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. 2483 i 2482 k.o.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opterećene su 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 pravom za korist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Volksbank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d.d. Zagreb (sada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d.d. Zagreb) i Republike Hrvatske, Ministarstva financija.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III. Nekretnine i pokretnine navedene u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. prodavati će se na usmenoj javnoj dražbi, a ročište za prodaju održati će se kod Trgovačkog suda u Bjelovaru, Šetalište dr.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42, soba br.1, na dan 18. rujna 2015. u 11,00 sati.     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IV. Uvjeti prodaje: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1. Nekretnine i pokretnine se na određenom ročištu za javnu dražbu ne mogu prodati ispod vrijednosti utvrđenih u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toč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>. I. ovog zaključka.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2. Poreze, pristojbe i troškove koji nisu sadržani u početnoj cijeni oglašene imovine kupac je dužan platiti u skladu sa zakonom.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3. Nekretnine i pokretnine navedene u točki I. zaključka prodaju se po načelu «viđeno-kupljeno», te se neće priznati naknadne pritužbe na pravne ili materijalne nedostatke istih.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lastRenderedPageBreak/>
        <w:t xml:space="preserve">V. Pravo nadmetanja imaju sve pravne i fizičke osobe, u skladu sa zakonskim propisima Republike Hrvatske, a kao ponuditelji na usmenoj javnoj dražbi mogu sudjelovati osobe koje najkasnije do 15. rujna 2015. uplate osiguranje (jamčevinu) u visini 10% vrijednosti imovine iz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toč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>. I. ovog zaključka, na račun Trgovačkog suda u Bjelovaru IBAN: HR6123900011300000630 s pozivom na broj HR05 540-2-15.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VI. 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u roku koji im je određen ili koji će im biti određen.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U rješenju o dosudi nekretnine sud će odrediti da se nakon pravomoćnosti toga rješenja i nakon što kupac položi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>, u zemljišne knjige upiše u njegovu korist pravo vlasništva na dosuđenim nekretninama te da se brišu prava i tereti koji prestaju njezinom prodajom.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Za pokretnine će kupac biti u obvezi sa stečajnim upraviteljem u roku od 8 dana od dana ročišta za javnu dražbu zaključiti ugovor o prodaji.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VII. Kupac je dužan položiti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za nekretnine iz točke I. ovog zaključka u roku 30 dana nakon pravomoćnosti rješenja o dosudi, a za pokretnine u roku od 20 dana od dana zaključenja ugovora o prodaji.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Ako kupac u navedenom roku ne položi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, jamčevina mu neće biti vraćena već će se iz nje namiriti nastali troškovi, te troškovi nove prodaje i naknaditi razlika između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postignute na prijašnjoj dražbi i novoj dražbi.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VIII. Nakon pravomoćnosti rješenja o dosudi nekretnine i pošto kupac položi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, sud će donijeti zaključak o predaji nekretnine kupcu.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IX. Ovaj zaključak će se objaviti na oglasnoj ploči i e-oglasnoj ploči Trgovačkog suda u Bjelovaru.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X. Razgledanje imovine i uvid u procjene vrijednosti imovine mogu se obaviti uz prethodni dogovor sa stečajnim upraviteljem na broj 098/342-558.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U Bjelovaru, 25. kolovoza 2015.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SUDAC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MARIJA PETRINA KUBICA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POUKA O PRAVNOM LIJEKU Protiv ovog zaključka nije dopušten pravni lijek (čl.11. st. 5. Ovršnog zakona).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B1C1C">
        <w:rPr>
          <w:rFonts w:cs="Times New Roman" w:eastAsia="Times New Roman"/>
          <w:szCs w:val="20"/>
          <w:lang w:eastAsia="hr-HR"/>
        </w:rPr>
        <w:t>Rj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>.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>DNA:stečajni upravitelj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 pun.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Odvj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. društvo </w:t>
      </w:r>
      <w:proofErr w:type="spellStart"/>
      <w:r w:rsidRPr="005B1C1C">
        <w:rPr>
          <w:rFonts w:cs="Times New Roman" w:eastAsia="Times New Roman"/>
          <w:szCs w:val="20"/>
          <w:lang w:eastAsia="hr-HR"/>
        </w:rPr>
        <w:t>Ljubenko</w:t>
      </w:r>
      <w:proofErr w:type="spellEnd"/>
      <w:r w:rsidRPr="005B1C1C">
        <w:rPr>
          <w:rFonts w:cs="Times New Roman" w:eastAsia="Times New Roman"/>
          <w:szCs w:val="20"/>
          <w:lang w:eastAsia="hr-HR"/>
        </w:rPr>
        <w:t xml:space="preserve"> &amp; Partneri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 ŽDO Bjelovar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 Porezna uprava </w:t>
      </w:r>
    </w:p>
    <w:p w:rsidRDefault="005B1C1C" w:rsidP="005B1C1C" w:rsidR="005B1C1C" w:rsidRPr="005B1C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B1C1C">
        <w:rPr>
          <w:rFonts w:cs="Times New Roman" w:eastAsia="Times New Roman"/>
          <w:szCs w:val="20"/>
          <w:lang w:eastAsia="hr-HR"/>
        </w:rPr>
        <w:t xml:space="preserve">          oglasna ploča i e-oglasna ploča </w:t>
      </w:r>
    </w:p>
    <w:p w:rsidRDefault="005B1C1C" w:rsidP="005B09A6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B1C1C">
        <w:rPr>
          <w:rFonts w:cs="Times New Roman" w:eastAsia="Times New Roman"/>
          <w:szCs w:val="20"/>
          <w:lang w:eastAsia="hr-HR"/>
        </w:rPr>
        <w:t>Bj.25.8.2015.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9A6"/>
    <w:rsid w:val="005B131C"/>
    <w:rsid w:val="005B1C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2015.</izvorni_sadrzaj>
    <derivirana_varijabla naziv="DomainObject.DatumDonosenjaOdluke_1">25.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St-2/2015-61</izvorni_sadrzaj>
    <derivirana_varijabla naziv="DomainObject.Oznaka_1">St-2/2015-61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2015.</izvorni_sadrzaj>
    <derivirana_varijabla naziv="DomainObject.Datum_1">25. kolovoza 2015.</derivirana_varijabla>
  </DomainObject.Datum>
  <DomainObject.PoslovniBrojDokumenta>
    <izvorni_sadrzaj>St-2/2015-61</izvorni_sadrzaj>
    <derivirana_varijabla naziv="DomainObject.PoslovniBrojDokumenta_1">St-2/2015-61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F48D7-BE12-4E27-9F11-078C1B3B2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3628</properties:Characters>
  <properties:Lines>95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2015-08-25T08:15:00Z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St-2/2015-61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