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fc1b" w14:paraId="816fc1b" w:rsidRDefault="003F4949" w:rsidP="003F4949" w:rsidR="003F4949">
      <w:pPr>
        <w15:collapsed w:val="false"/>
      </w:pPr>
      <w:bookmarkStart w:name="_GoBack" w:id="0"/>
      <w:bookmarkEnd w:id="0"/>
      <w:r>
        <w:t xml:space="preserve">                   </w:t>
      </w:r>
    </w:p>
    <w:p w:rsidRDefault="003852E0" w:rsidP="003852E0" w:rsidR="003F4949">
      <w:pPr>
        <w:ind w:left="708"/>
      </w:pPr>
      <w:r>
        <w:t xml:space="preserve">      </w:t>
      </w:r>
      <w:r>
        <w:rPr>
          <w:noProof/>
        </w:rPr>
        <w:drawing>
          <wp:inline distR="0" distL="0" distB="0" distT="0">
            <wp:extent cy="564397" cx="438150"/>
            <wp:effectExtent b="762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68209" cx="441109"/>
                    </a:xfrm>
                    <a:prstGeom prst="rect">
                      <a:avLst/>
                    </a:prstGeom>
                    <a:noFill/>
                    <a:ln>
                      <a:noFill/>
                    </a:ln>
                  </pic:spPr>
                </pic:pic>
              </a:graphicData>
            </a:graphic>
          </wp:inline>
        </w:drawing>
      </w:r>
    </w:p>
    <w:p w:rsidRDefault="003F4949" w:rsidP="003F4949" w:rsidR="003F4949">
      <w:r>
        <w:t xml:space="preserve">          Republika Hrvatska</w:t>
      </w:r>
    </w:p>
    <w:p w:rsidRDefault="003F4949" w:rsidP="003F4949" w:rsidR="003F4949">
      <w:r>
        <w:t>TRGOVAČKI SUD U ZAGREBU</w:t>
      </w:r>
    </w:p>
    <w:p w:rsidRDefault="003F4949" w:rsidP="003F4949" w:rsidR="003F4949">
      <w:r>
        <w:t xml:space="preserve">       Zagreb, Amruševa 2/II                                                                 </w:t>
      </w:r>
    </w:p>
    <w:p w:rsidRDefault="003F4949" w:rsidP="003F4949" w:rsidR="003F4949">
      <w:pPr>
        <w:jc w:val="right"/>
      </w:pPr>
      <w:r>
        <w:t xml:space="preserve"> 20 St-</w:t>
      </w:r>
      <w:r w:rsidR="00905D9A">
        <w:t>847/12</w:t>
      </w:r>
      <w:r w:rsidR="00E52C8D">
        <w:t>-420</w:t>
      </w:r>
    </w:p>
    <w:p w:rsidRDefault="003F4949" w:rsidP="003F4949" w:rsidR="003F4949">
      <w:pPr>
        <w:jc w:val="center"/>
      </w:pPr>
      <w:r>
        <w:t>R E P U B L I K A    H R V A T S K A</w:t>
      </w:r>
    </w:p>
    <w:p w:rsidRDefault="003F4949" w:rsidP="003F4949" w:rsidR="003F4949">
      <w:pPr>
        <w:rPr>
          <w:b/>
          <w:bCs/>
        </w:rPr>
      </w:pPr>
    </w:p>
    <w:p w:rsidRDefault="003F4949" w:rsidP="003F4949" w:rsidR="003F4949">
      <w:pPr>
        <w:rPr>
          <w:bCs/>
        </w:rPr>
      </w:pPr>
      <w:r>
        <w:rPr>
          <w:b/>
          <w:bCs/>
        </w:rPr>
        <w:tab/>
      </w:r>
      <w:r>
        <w:rPr>
          <w:b/>
          <w:bCs/>
        </w:rPr>
        <w:tab/>
      </w:r>
      <w:r>
        <w:rPr>
          <w:b/>
          <w:bCs/>
        </w:rPr>
        <w:tab/>
      </w:r>
      <w:r>
        <w:rPr>
          <w:b/>
          <w:bCs/>
        </w:rPr>
        <w:tab/>
      </w:r>
      <w:r>
        <w:rPr>
          <w:b/>
          <w:bCs/>
        </w:rPr>
        <w:tab/>
      </w:r>
      <w:r w:rsidR="00F7721C">
        <w:rPr>
          <w:b/>
          <w:bCs/>
        </w:rPr>
        <w:t xml:space="preserve"> </w:t>
      </w:r>
      <w:r>
        <w:rPr>
          <w:bCs/>
        </w:rPr>
        <w:t>R J E Š E N J E</w:t>
      </w:r>
    </w:p>
    <w:p w:rsidRDefault="003F4949" w:rsidP="003F4949" w:rsidR="003F4949">
      <w:pPr>
        <w:rPr>
          <w:b/>
          <w:bCs/>
        </w:rPr>
      </w:pPr>
    </w:p>
    <w:p w:rsidRDefault="003F4949" w:rsidP="00D33877" w:rsidR="003F4949" w:rsidRPr="00FA212E">
      <w:pPr>
        <w:jc w:val="both"/>
      </w:pPr>
      <w:r>
        <w:rPr>
          <w:bCs/>
        </w:rPr>
        <w:tab/>
      </w:r>
      <w:r>
        <w:t xml:space="preserve">Trgovački sud u Zagrebu, po sucu pojedincu Luciji Butigan, u stečajnom postupku nad stečajnim dužnikom </w:t>
      </w:r>
      <w:r w:rsidR="00905D9A">
        <w:rPr>
          <w:color w:val="000000"/>
        </w:rPr>
        <w:t>GAMONT d.o.o. za graditeljstvo, montažu, trgovinu i inženjering, u stečaju, Zagreb, Primorska 8, MBS: 080281067, OIB: 08983285387</w:t>
      </w:r>
      <w:r>
        <w:t xml:space="preserve">, </w:t>
      </w:r>
      <w:r w:rsidR="00E24D49">
        <w:rPr>
          <w:bCs/>
        </w:rPr>
        <w:t>povodom prijedloga</w:t>
      </w:r>
      <w:r w:rsidR="00FA212E">
        <w:rPr>
          <w:bCs/>
        </w:rPr>
        <w:t xml:space="preserve"> </w:t>
      </w:r>
      <w:r w:rsidR="00283ADA">
        <w:rPr>
          <w:bCs/>
        </w:rPr>
        <w:t>Agencije</w:t>
      </w:r>
      <w:r w:rsidR="00861EE2" w:rsidRPr="00861EE2">
        <w:rPr>
          <w:bCs/>
        </w:rPr>
        <w:t xml:space="preserve"> za osiguranje radničkih tražbina (AORT</w:t>
      </w:r>
      <w:r w:rsidR="00861EE2">
        <w:rPr>
          <w:bCs/>
        </w:rPr>
        <w:t>)</w:t>
      </w:r>
      <w:r w:rsidR="00E24D49">
        <w:rPr>
          <w:bCs/>
        </w:rPr>
        <w:t>,</w:t>
      </w:r>
      <w:r w:rsidR="0076581A">
        <w:rPr>
          <w:bCs/>
        </w:rPr>
        <w:t xml:space="preserve"> Zagreb, Frankopanska 11, OIB  </w:t>
      </w:r>
      <w:r w:rsidR="0076581A" w:rsidRPr="0076581A">
        <w:rPr>
          <w:bCs/>
        </w:rPr>
        <w:t>04323472109</w:t>
      </w:r>
      <w:r w:rsidR="0076581A">
        <w:rPr>
          <w:bCs/>
        </w:rPr>
        <w:t>,</w:t>
      </w:r>
      <w:r>
        <w:t xml:space="preserve"> </w:t>
      </w:r>
      <w:r w:rsidR="00905D9A">
        <w:t>dana 10</w:t>
      </w:r>
      <w:r w:rsidRPr="0040415D">
        <w:t xml:space="preserve">. </w:t>
      </w:r>
      <w:r w:rsidR="0040415D" w:rsidRPr="0040415D">
        <w:t>srpnja</w:t>
      </w:r>
      <w:r w:rsidR="00D127E8" w:rsidRPr="0040415D">
        <w:t xml:space="preserve"> 2018.g.</w:t>
      </w:r>
    </w:p>
    <w:p w:rsidRDefault="003F4949" w:rsidP="003F4949" w:rsidR="003F4949">
      <w:pPr>
        <w:jc w:val="both"/>
      </w:pPr>
    </w:p>
    <w:p w:rsidRDefault="003F4949" w:rsidP="003F4949" w:rsidR="003F4949">
      <w:pPr>
        <w:jc w:val="center"/>
      </w:pPr>
      <w:r>
        <w:t xml:space="preserve">r i j e š i o    j e </w:t>
      </w:r>
    </w:p>
    <w:p w:rsidRDefault="0040415D" w:rsidP="003F4949" w:rsidR="0040415D">
      <w:pPr>
        <w:ind w:left="360"/>
        <w:jc w:val="center"/>
        <w:rPr>
          <w:bCs/>
        </w:rPr>
      </w:pPr>
    </w:p>
    <w:p w:rsidRDefault="007749AE" w:rsidP="007562B6" w:rsidR="00E41C51">
      <w:pPr>
        <w:tabs>
          <w:tab w:pos="849" w:val="left"/>
        </w:tabs>
        <w:ind w:left="360"/>
        <w:jc w:val="both"/>
        <w:rPr>
          <w:bCs/>
        </w:rPr>
      </w:pPr>
      <w:r>
        <w:rPr>
          <w:bCs/>
        </w:rPr>
        <w:tab/>
      </w:r>
      <w:r w:rsidR="004C5071">
        <w:rPr>
          <w:bCs/>
        </w:rPr>
        <w:tab/>
      </w:r>
      <w:r>
        <w:rPr>
          <w:bCs/>
        </w:rPr>
        <w:t>Ispravlja se tablica vjerovnika prvog višeg</w:t>
      </w:r>
      <w:r w:rsidR="00CD06BF">
        <w:rPr>
          <w:bCs/>
        </w:rPr>
        <w:t xml:space="preserve"> isplatnog reda</w:t>
      </w:r>
      <w:r w:rsidR="00C97485">
        <w:rPr>
          <w:bCs/>
        </w:rPr>
        <w:t xml:space="preserve"> i to:</w:t>
      </w:r>
    </w:p>
    <w:p w:rsidRDefault="004C5071" w:rsidP="007562B6" w:rsidR="004C5071">
      <w:pPr>
        <w:tabs>
          <w:tab w:pos="849" w:val="left"/>
        </w:tabs>
        <w:ind w:left="360"/>
        <w:jc w:val="both"/>
        <w:rPr>
          <w:bCs/>
        </w:rPr>
      </w:pPr>
    </w:p>
    <w:p w:rsidRDefault="00E41C51" w:rsidP="004C5071" w:rsidR="007562B6">
      <w:pPr>
        <w:tabs>
          <w:tab w:pos="849" w:val="left"/>
        </w:tabs>
        <w:ind w:left="708"/>
        <w:jc w:val="both"/>
        <w:rPr>
          <w:bCs/>
        </w:rPr>
      </w:pPr>
      <w:r>
        <w:rPr>
          <w:bCs/>
        </w:rPr>
        <w:t>-</w:t>
      </w:r>
      <w:r w:rsidR="007562B6">
        <w:rPr>
          <w:bCs/>
        </w:rPr>
        <w:t>u Rješenju Trgovačkog suda u Zagrebu  pod posl. br. St-847/12-57 od 25. travnja 2013</w:t>
      </w:r>
      <w:r>
        <w:rPr>
          <w:bCs/>
        </w:rPr>
        <w:t>.g. kako slijedi:</w:t>
      </w:r>
      <w:r w:rsidR="007562B6">
        <w:rPr>
          <w:bCs/>
        </w:rPr>
        <w:t xml:space="preserve"> </w:t>
      </w:r>
    </w:p>
    <w:p w:rsidRDefault="00197BC6" w:rsidP="00197BC6" w:rsidR="00197BC6">
      <w:pPr>
        <w:tabs>
          <w:tab w:pos="849" w:val="left"/>
        </w:tabs>
        <w:jc w:val="both"/>
        <w:rPr>
          <w:bCs/>
        </w:rPr>
      </w:pPr>
    </w:p>
    <w:p w:rsidRDefault="007562B6" w:rsidP="00197BC6" w:rsidR="0040415D">
      <w:pPr>
        <w:tabs>
          <w:tab w:pos="849" w:val="left"/>
        </w:tabs>
        <w:ind w:left="1416"/>
        <w:jc w:val="both"/>
        <w:rPr>
          <w:bCs/>
        </w:rPr>
      </w:pPr>
      <w:r>
        <w:rPr>
          <w:bCs/>
        </w:rPr>
        <w:t>-</w:t>
      </w:r>
      <w:r w:rsidR="00CD06BF">
        <w:rPr>
          <w:bCs/>
        </w:rPr>
        <w:t>pod rednim br. 53</w:t>
      </w:r>
      <w:r w:rsidR="007749AE">
        <w:rPr>
          <w:bCs/>
        </w:rPr>
        <w:t xml:space="preserve"> (br. prijave </w:t>
      </w:r>
      <w:r w:rsidR="00CD06BF">
        <w:rPr>
          <w:bCs/>
        </w:rPr>
        <w:t>1</w:t>
      </w:r>
      <w:r w:rsidR="005A7E25">
        <w:rPr>
          <w:bCs/>
        </w:rPr>
        <w:t xml:space="preserve">), </w:t>
      </w:r>
      <w:r>
        <w:rPr>
          <w:bCs/>
        </w:rPr>
        <w:t>vjerovnik Delić Goran, Zagreb,</w:t>
      </w:r>
      <w:r w:rsidR="00B04979">
        <w:rPr>
          <w:bCs/>
        </w:rPr>
        <w:t xml:space="preserve"> na način da </w:t>
      </w:r>
      <w:r w:rsidR="004C5071">
        <w:rPr>
          <w:bCs/>
        </w:rPr>
        <w:t xml:space="preserve">nakon rubrike </w:t>
      </w:r>
      <w:r w:rsidR="00B04979">
        <w:rPr>
          <w:bCs/>
        </w:rPr>
        <w:t>priznata tražbina u iznosu od 118.362,89 kn, treba</w:t>
      </w:r>
      <w:r w:rsidR="00286F88">
        <w:rPr>
          <w:bCs/>
        </w:rPr>
        <w:t xml:space="preserve"> dalje</w:t>
      </w:r>
      <w:r w:rsidR="00B04979">
        <w:rPr>
          <w:bCs/>
        </w:rPr>
        <w:t xml:space="preserve"> stajati ispla</w:t>
      </w:r>
      <w:r w:rsidR="00286F88">
        <w:rPr>
          <w:bCs/>
        </w:rPr>
        <w:t>ta A</w:t>
      </w:r>
      <w:r w:rsidR="00B04979">
        <w:rPr>
          <w:bCs/>
        </w:rPr>
        <w:t>gencije u iznosu</w:t>
      </w:r>
      <w:r w:rsidR="00E54EC6">
        <w:rPr>
          <w:bCs/>
        </w:rPr>
        <w:t xml:space="preserve"> od 19.87</w:t>
      </w:r>
      <w:r w:rsidR="00B04979">
        <w:rPr>
          <w:bCs/>
        </w:rPr>
        <w:t>8,05 kn, te preostala tražbina  u iznosu od 98.484,84</w:t>
      </w:r>
      <w:r w:rsidR="00286F88">
        <w:rPr>
          <w:bCs/>
        </w:rPr>
        <w:t xml:space="preserve"> kn</w:t>
      </w:r>
    </w:p>
    <w:p w:rsidRDefault="004C5071" w:rsidP="00197BC6" w:rsidR="004C5071">
      <w:pPr>
        <w:tabs>
          <w:tab w:pos="849" w:val="left"/>
        </w:tabs>
        <w:ind w:left="1416"/>
        <w:jc w:val="both"/>
        <w:rPr>
          <w:bCs/>
        </w:rPr>
      </w:pPr>
    </w:p>
    <w:p w:rsidRDefault="00286F88" w:rsidP="00197BC6" w:rsidR="00286F88">
      <w:pPr>
        <w:tabs>
          <w:tab w:pos="849" w:val="left"/>
        </w:tabs>
        <w:ind w:left="1416"/>
        <w:jc w:val="both"/>
        <w:rPr>
          <w:bCs/>
        </w:rPr>
      </w:pPr>
      <w:r>
        <w:rPr>
          <w:bCs/>
        </w:rPr>
        <w:t>-</w:t>
      </w:r>
      <w:r w:rsidRPr="00286F88">
        <w:rPr>
          <w:bCs/>
        </w:rPr>
        <w:t xml:space="preserve"> </w:t>
      </w:r>
      <w:r>
        <w:rPr>
          <w:bCs/>
        </w:rPr>
        <w:t xml:space="preserve">pod rednim br. 83 (br. prijave 1) vjerovnik Galušić Ilija, Markušica, na način da </w:t>
      </w:r>
      <w:r w:rsidR="004C5071">
        <w:rPr>
          <w:bCs/>
        </w:rPr>
        <w:t xml:space="preserve">nakon rubrike </w:t>
      </w:r>
      <w:r>
        <w:rPr>
          <w:bCs/>
        </w:rPr>
        <w:t xml:space="preserve">priznata tražbina u iznosu od 68.053,62 kn, treba dalje stajati isplata Agencije u iznosu od </w:t>
      </w:r>
      <w:r w:rsidR="00F15A11">
        <w:rPr>
          <w:bCs/>
        </w:rPr>
        <w:t>12.067,31</w:t>
      </w:r>
      <w:r>
        <w:rPr>
          <w:bCs/>
        </w:rPr>
        <w:t xml:space="preserve"> kn, te preostala tražbina  u iznosu od </w:t>
      </w:r>
      <w:r w:rsidR="00F15A11">
        <w:rPr>
          <w:bCs/>
        </w:rPr>
        <w:t>55.986,31 kn,</w:t>
      </w:r>
    </w:p>
    <w:p w:rsidRDefault="000B7936" w:rsidP="00197BC6" w:rsidR="000B7936">
      <w:pPr>
        <w:tabs>
          <w:tab w:pos="849" w:val="left"/>
        </w:tabs>
        <w:ind w:left="1416"/>
        <w:jc w:val="both"/>
        <w:rPr>
          <w:bCs/>
        </w:rPr>
      </w:pPr>
    </w:p>
    <w:p w:rsidRDefault="00E54EC6" w:rsidP="00197BC6" w:rsidR="007562B6">
      <w:pPr>
        <w:tabs>
          <w:tab w:pos="849" w:val="left"/>
        </w:tabs>
        <w:ind w:left="1416"/>
        <w:jc w:val="both"/>
        <w:rPr>
          <w:bCs/>
        </w:rPr>
      </w:pPr>
      <w:r>
        <w:rPr>
          <w:bCs/>
        </w:rPr>
        <w:t>-pod rednim br. 288</w:t>
      </w:r>
      <w:r w:rsidR="00F15A11">
        <w:rPr>
          <w:bCs/>
        </w:rPr>
        <w:t xml:space="preserve"> (br. prijave 1) vjerovnik Gavrilović Petko, Zagreb, na način da </w:t>
      </w:r>
      <w:r w:rsidR="004C5071">
        <w:rPr>
          <w:bCs/>
        </w:rPr>
        <w:t xml:space="preserve">nakon rubrike </w:t>
      </w:r>
      <w:r w:rsidR="00F15A11">
        <w:rPr>
          <w:bCs/>
        </w:rPr>
        <w:t>priznata tražbina u iznosu od 644.204,08 kn, treba dalje stajati isplata Agencije u iznosu od 73.819,61 kn, te preostala tražbina  u iznosu od 570.384,47 kn,</w:t>
      </w:r>
    </w:p>
    <w:p w:rsidRDefault="000B7936" w:rsidP="00197BC6" w:rsidR="000B7936">
      <w:pPr>
        <w:tabs>
          <w:tab w:pos="849" w:val="left"/>
        </w:tabs>
        <w:ind w:left="1416"/>
        <w:jc w:val="both"/>
        <w:rPr>
          <w:bCs/>
        </w:rPr>
      </w:pPr>
    </w:p>
    <w:p w:rsidRDefault="00F15A11" w:rsidP="00197BC6" w:rsidR="00F15A11">
      <w:pPr>
        <w:tabs>
          <w:tab w:pos="849" w:val="left"/>
        </w:tabs>
        <w:ind w:left="1416"/>
        <w:jc w:val="both"/>
        <w:rPr>
          <w:bCs/>
        </w:rPr>
      </w:pPr>
      <w:r>
        <w:rPr>
          <w:bCs/>
        </w:rPr>
        <w:t xml:space="preserve">-pod rednim br. 291 (br. prijave 1) vjerovnik </w:t>
      </w:r>
      <w:r w:rsidR="000B7936">
        <w:rPr>
          <w:bCs/>
        </w:rPr>
        <w:t>Holenda Paula</w:t>
      </w:r>
      <w:r>
        <w:rPr>
          <w:bCs/>
        </w:rPr>
        <w:t>,</w:t>
      </w:r>
      <w:r w:rsidR="000B7936">
        <w:rPr>
          <w:bCs/>
        </w:rPr>
        <w:t>Zagreb,</w:t>
      </w:r>
      <w:r>
        <w:rPr>
          <w:bCs/>
        </w:rPr>
        <w:t xml:space="preserve"> na način da </w:t>
      </w:r>
      <w:r w:rsidR="006827D5">
        <w:rPr>
          <w:bCs/>
        </w:rPr>
        <w:t xml:space="preserve">nakon rubrike </w:t>
      </w:r>
      <w:r>
        <w:rPr>
          <w:bCs/>
        </w:rPr>
        <w:t xml:space="preserve">priznata tražbina u iznosu od </w:t>
      </w:r>
      <w:r w:rsidR="000B7936">
        <w:rPr>
          <w:bCs/>
        </w:rPr>
        <w:t>175.222,19</w:t>
      </w:r>
      <w:r>
        <w:rPr>
          <w:bCs/>
        </w:rPr>
        <w:t xml:space="preserve"> kn, treba dalje stajati isplata Agencije u iznosu od </w:t>
      </w:r>
      <w:r w:rsidR="000B7936">
        <w:rPr>
          <w:bCs/>
        </w:rPr>
        <w:t>13.587,95</w:t>
      </w:r>
      <w:r>
        <w:rPr>
          <w:bCs/>
        </w:rPr>
        <w:t xml:space="preserve"> kn, te preostala tražbina  u iznosu od </w:t>
      </w:r>
      <w:r w:rsidR="000B7936">
        <w:rPr>
          <w:bCs/>
        </w:rPr>
        <w:t>161.634,24</w:t>
      </w:r>
      <w:r>
        <w:rPr>
          <w:bCs/>
        </w:rPr>
        <w:t xml:space="preserve"> kn,</w:t>
      </w:r>
    </w:p>
    <w:p w:rsidRDefault="000B7936" w:rsidP="00197BC6" w:rsidR="000B7936">
      <w:pPr>
        <w:tabs>
          <w:tab w:pos="849" w:val="left"/>
        </w:tabs>
        <w:ind w:left="1416"/>
        <w:jc w:val="both"/>
        <w:rPr>
          <w:bCs/>
        </w:rPr>
      </w:pPr>
    </w:p>
    <w:p w:rsidRDefault="000B7936" w:rsidP="00197BC6" w:rsidR="000B7936">
      <w:pPr>
        <w:tabs>
          <w:tab w:pos="849" w:val="left"/>
        </w:tabs>
        <w:ind w:left="1416"/>
        <w:jc w:val="both"/>
        <w:rPr>
          <w:bCs/>
        </w:rPr>
      </w:pPr>
      <w:r>
        <w:rPr>
          <w:bCs/>
        </w:rPr>
        <w:t xml:space="preserve">-pod rednim br. 314 (br. prijave 150) vjerovnik Hasanović Zlatko, Jastrebarsko, na način da </w:t>
      </w:r>
      <w:r w:rsidR="006827D5">
        <w:rPr>
          <w:bCs/>
        </w:rPr>
        <w:t xml:space="preserve">nakon rubrike </w:t>
      </w:r>
      <w:r>
        <w:rPr>
          <w:bCs/>
        </w:rPr>
        <w:t xml:space="preserve">priznata tražbina u iznosu od 116.662,53 kn, treba dalje stajati isplata Agencije u iznosu od </w:t>
      </w:r>
      <w:r w:rsidR="00816955">
        <w:rPr>
          <w:bCs/>
        </w:rPr>
        <w:t>38.887,51</w:t>
      </w:r>
      <w:r>
        <w:rPr>
          <w:bCs/>
        </w:rPr>
        <w:t xml:space="preserve"> kn, te preostala tražbina  u iznosu od </w:t>
      </w:r>
      <w:r w:rsidR="00816955">
        <w:rPr>
          <w:bCs/>
        </w:rPr>
        <w:t>77.775,02</w:t>
      </w:r>
      <w:r>
        <w:rPr>
          <w:bCs/>
        </w:rPr>
        <w:t xml:space="preserve"> kn,</w:t>
      </w:r>
    </w:p>
    <w:p w:rsidRDefault="00E52C8D" w:rsidP="00197BC6" w:rsidR="00E52C8D">
      <w:pPr>
        <w:tabs>
          <w:tab w:pos="849" w:val="left"/>
        </w:tabs>
        <w:ind w:left="1416"/>
        <w:jc w:val="both"/>
        <w:rPr>
          <w:bCs/>
        </w:rPr>
      </w:pPr>
    </w:p>
    <w:p w:rsidRDefault="00B11707" w:rsidP="00197BC6" w:rsidR="00B11707">
      <w:pPr>
        <w:tabs>
          <w:tab w:pos="849" w:val="left"/>
        </w:tabs>
        <w:ind w:left="1416"/>
        <w:jc w:val="both"/>
        <w:rPr>
          <w:bCs/>
        </w:rPr>
      </w:pPr>
    </w:p>
    <w:p w:rsidRDefault="00816955" w:rsidP="007562B6" w:rsidR="00816955">
      <w:pPr>
        <w:tabs>
          <w:tab w:pos="849" w:val="left"/>
        </w:tabs>
        <w:ind w:left="360"/>
        <w:jc w:val="both"/>
        <w:rPr>
          <w:bCs/>
        </w:rPr>
      </w:pPr>
    </w:p>
    <w:p w:rsidRDefault="00197BC6" w:rsidP="00C97485" w:rsidR="000B7936">
      <w:pPr>
        <w:tabs>
          <w:tab w:pos="849" w:val="left"/>
        </w:tabs>
        <w:ind w:left="708"/>
        <w:jc w:val="both"/>
        <w:rPr>
          <w:bCs/>
        </w:rPr>
      </w:pPr>
      <w:r>
        <w:rPr>
          <w:bCs/>
        </w:rPr>
        <w:lastRenderedPageBreak/>
        <w:t>-u Rješenju Trgovačkog suda u Zagrebu  pod posl. br. St-847/12-168 od 11. ožujka 2014.g. kako slijedi:</w:t>
      </w:r>
    </w:p>
    <w:p w:rsidRDefault="00B11707" w:rsidP="00C97485" w:rsidR="00B11707">
      <w:pPr>
        <w:tabs>
          <w:tab w:pos="849" w:val="left"/>
        </w:tabs>
        <w:ind w:left="708"/>
        <w:jc w:val="both"/>
        <w:rPr>
          <w:bCs/>
        </w:rPr>
      </w:pPr>
    </w:p>
    <w:p w:rsidRDefault="00197BC6" w:rsidP="00197BC6" w:rsidR="00197BC6">
      <w:pPr>
        <w:tabs>
          <w:tab w:pos="849" w:val="left"/>
        </w:tabs>
        <w:ind w:left="1416"/>
        <w:jc w:val="both"/>
        <w:rPr>
          <w:bCs/>
        </w:rPr>
      </w:pPr>
      <w:r>
        <w:rPr>
          <w:bCs/>
        </w:rPr>
        <w:t>-</w:t>
      </w:r>
      <w:r w:rsidR="00C97485">
        <w:rPr>
          <w:bCs/>
        </w:rPr>
        <w:t>pod rednim br. 1 (br. prijave 136</w:t>
      </w:r>
      <w:r>
        <w:rPr>
          <w:bCs/>
        </w:rPr>
        <w:t>)</w:t>
      </w:r>
      <w:r w:rsidR="00B11707">
        <w:rPr>
          <w:bCs/>
        </w:rPr>
        <w:t>,</w:t>
      </w:r>
      <w:r>
        <w:rPr>
          <w:bCs/>
        </w:rPr>
        <w:t xml:space="preserve"> vjerovnik </w:t>
      </w:r>
      <w:r w:rsidR="00C97485">
        <w:rPr>
          <w:bCs/>
        </w:rPr>
        <w:t>Mutak Dragutin, Zagreb</w:t>
      </w:r>
      <w:r>
        <w:rPr>
          <w:bCs/>
        </w:rPr>
        <w:t xml:space="preserve">, na </w:t>
      </w:r>
      <w:r w:rsidR="00D73D72">
        <w:rPr>
          <w:bCs/>
        </w:rPr>
        <w:t>način da nakon rubrike</w:t>
      </w:r>
      <w:r>
        <w:rPr>
          <w:bCs/>
        </w:rPr>
        <w:t xml:space="preserve"> priznata tražbina u iznosu od </w:t>
      </w:r>
      <w:r w:rsidR="00C97485">
        <w:rPr>
          <w:bCs/>
        </w:rPr>
        <w:t>88.</w:t>
      </w:r>
      <w:r w:rsidR="00D73D72">
        <w:rPr>
          <w:bCs/>
        </w:rPr>
        <w:t>532,74</w:t>
      </w:r>
      <w:r>
        <w:rPr>
          <w:bCs/>
        </w:rPr>
        <w:t xml:space="preserve"> kn, treba dalje stajati isplata Agencije u iznosu od </w:t>
      </w:r>
      <w:r w:rsidR="00D73D72">
        <w:rPr>
          <w:bCs/>
        </w:rPr>
        <w:t>29.510,92</w:t>
      </w:r>
      <w:r>
        <w:rPr>
          <w:bCs/>
        </w:rPr>
        <w:t xml:space="preserve"> kn, te preostala tražbina  u iznosu od </w:t>
      </w:r>
      <w:r w:rsidR="00D73D72">
        <w:rPr>
          <w:bCs/>
        </w:rPr>
        <w:t>59.021,82</w:t>
      </w:r>
      <w:r>
        <w:rPr>
          <w:bCs/>
        </w:rPr>
        <w:t xml:space="preserve"> kn,</w:t>
      </w:r>
    </w:p>
    <w:p w:rsidRDefault="00D73D72" w:rsidP="00197BC6" w:rsidR="00D73D72">
      <w:pPr>
        <w:tabs>
          <w:tab w:pos="849" w:val="left"/>
        </w:tabs>
        <w:ind w:left="1416"/>
        <w:jc w:val="both"/>
        <w:rPr>
          <w:bCs/>
        </w:rPr>
      </w:pPr>
    </w:p>
    <w:p w:rsidRDefault="00197BC6" w:rsidP="003440F6" w:rsidR="00767E69">
      <w:pPr>
        <w:tabs>
          <w:tab w:pos="832" w:val="left"/>
          <w:tab w:pos="1225" w:val="left"/>
          <w:tab w:pos="3930" w:val="left"/>
        </w:tabs>
        <w:ind w:left="360"/>
        <w:jc w:val="both"/>
        <w:rPr>
          <w:bCs/>
        </w:rPr>
      </w:pPr>
      <w:r>
        <w:rPr>
          <w:bCs/>
        </w:rPr>
        <w:tab/>
      </w:r>
      <w:r w:rsidR="003440F6">
        <w:rPr>
          <w:bCs/>
        </w:rPr>
        <w:t>Dopunjuje</w:t>
      </w:r>
      <w:r w:rsidR="00767E69">
        <w:rPr>
          <w:bCs/>
        </w:rPr>
        <w:t xml:space="preserve"> se</w:t>
      </w:r>
      <w:r w:rsidR="003440F6">
        <w:rPr>
          <w:bCs/>
        </w:rPr>
        <w:t xml:space="preserve"> tablica vjerovnika prvog višeg isplatnog reda prethodno </w:t>
      </w:r>
      <w:r w:rsidR="00767E69">
        <w:rPr>
          <w:bCs/>
        </w:rPr>
        <w:t xml:space="preserve"> </w:t>
      </w:r>
      <w:r w:rsidR="003440F6">
        <w:rPr>
          <w:bCs/>
        </w:rPr>
        <w:t>citiranih</w:t>
      </w:r>
      <w:r w:rsidR="00767E69">
        <w:rPr>
          <w:bCs/>
        </w:rPr>
        <w:t xml:space="preserve"> rješenja o utvrđenim i osporenim tražbinama na način</w:t>
      </w:r>
      <w:r w:rsidR="003440F6">
        <w:rPr>
          <w:bCs/>
        </w:rPr>
        <w:t xml:space="preserve"> da se:</w:t>
      </w:r>
    </w:p>
    <w:p w:rsidRDefault="00767E69" w:rsidP="003440F6" w:rsidR="00197BC6">
      <w:pPr>
        <w:tabs>
          <w:tab w:pos="832" w:val="left"/>
          <w:tab w:pos="1225" w:val="left"/>
          <w:tab w:pos="3930" w:val="left"/>
        </w:tabs>
        <w:ind w:left="360"/>
        <w:jc w:val="both"/>
        <w:rPr>
          <w:bCs/>
        </w:rPr>
      </w:pPr>
      <w:r>
        <w:rPr>
          <w:bCs/>
        </w:rPr>
        <w:t>-pod  red. br. 350</w:t>
      </w:r>
      <w:r w:rsidR="00510DCE">
        <w:rPr>
          <w:bCs/>
        </w:rPr>
        <w:t>.</w:t>
      </w:r>
      <w:r>
        <w:rPr>
          <w:bCs/>
        </w:rPr>
        <w:t xml:space="preserve"> dodaje vjerovnik </w:t>
      </w:r>
      <w:r w:rsidRPr="00861EE2">
        <w:rPr>
          <w:bCs/>
        </w:rPr>
        <w:t>Agencija za osiguranje radničkih tražbina (AORT</w:t>
      </w:r>
      <w:r>
        <w:rPr>
          <w:bCs/>
        </w:rPr>
        <w:t xml:space="preserve">), Zagreb, Frankopanska 11, OIB  </w:t>
      </w:r>
      <w:r w:rsidRPr="0076581A">
        <w:rPr>
          <w:bCs/>
        </w:rPr>
        <w:t>04323472109</w:t>
      </w:r>
      <w:r>
        <w:rPr>
          <w:bCs/>
        </w:rPr>
        <w:t>,</w:t>
      </w:r>
      <w:r w:rsidR="003440F6">
        <w:rPr>
          <w:bCs/>
        </w:rPr>
        <w:t xml:space="preserve"> priznata tražbina  u iznosu od 187.751,35 kn</w:t>
      </w:r>
      <w:r w:rsidR="00C23F05">
        <w:rPr>
          <w:bCs/>
        </w:rPr>
        <w:t>.</w:t>
      </w:r>
    </w:p>
    <w:p w:rsidRDefault="00197BC6" w:rsidP="004213FB" w:rsidR="00197BC6">
      <w:pPr>
        <w:tabs>
          <w:tab w:pos="3930" w:val="left"/>
        </w:tabs>
        <w:ind w:left="360"/>
        <w:rPr>
          <w:bCs/>
        </w:rPr>
      </w:pPr>
    </w:p>
    <w:p w:rsidRDefault="004213FB" w:rsidP="00D73D72" w:rsidR="0040415D">
      <w:pPr>
        <w:tabs>
          <w:tab w:pos="3930" w:val="left"/>
        </w:tabs>
        <w:ind w:left="360"/>
        <w:jc w:val="center"/>
        <w:rPr>
          <w:bCs/>
        </w:rPr>
      </w:pPr>
      <w:r>
        <w:rPr>
          <w:bCs/>
        </w:rPr>
        <w:t>Obrazloženje</w:t>
      </w:r>
    </w:p>
    <w:p w:rsidRDefault="00F148EB" w:rsidP="00D73D72" w:rsidR="00F148EB">
      <w:pPr>
        <w:tabs>
          <w:tab w:pos="3930" w:val="left"/>
        </w:tabs>
        <w:ind w:left="360"/>
        <w:jc w:val="center"/>
        <w:rPr>
          <w:bCs/>
        </w:rPr>
      </w:pPr>
    </w:p>
    <w:p w:rsidRDefault="004213FB" w:rsidP="00F148EB" w:rsidR="00C23F05">
      <w:pPr>
        <w:tabs>
          <w:tab w:pos="940" w:val="left"/>
        </w:tabs>
        <w:ind w:left="360"/>
        <w:jc w:val="both"/>
        <w:rPr>
          <w:bCs/>
        </w:rPr>
      </w:pPr>
      <w:r>
        <w:rPr>
          <w:bCs/>
        </w:rPr>
        <w:tab/>
      </w:r>
      <w:r w:rsidR="000F3372">
        <w:rPr>
          <w:bCs/>
        </w:rPr>
        <w:t>U ovom stečajnom postupku nakon provedenog ispitnog ročišta dana 25. travnja 2013.g.</w:t>
      </w:r>
      <w:r w:rsidR="006122CB">
        <w:rPr>
          <w:bCs/>
        </w:rPr>
        <w:t>,</w:t>
      </w:r>
      <w:r w:rsidR="000F3372">
        <w:rPr>
          <w:bCs/>
        </w:rPr>
        <w:t xml:space="preserve"> te posebnog ispitnog ročišta dana 11. ožujka 2014.g., sud je  na temelju sastavljenih tablica ispitanih (utvrđenih) tražbina stečajnih vjerovnika prvog višeg isplatnog reda</w:t>
      </w:r>
      <w:r w:rsidR="00DC2581">
        <w:rPr>
          <w:bCs/>
        </w:rPr>
        <w:t xml:space="preserve"> donio rješenja</w:t>
      </w:r>
      <w:r w:rsidR="000F3372">
        <w:rPr>
          <w:bCs/>
        </w:rPr>
        <w:t xml:space="preserve"> koja su postala pravomoćna</w:t>
      </w:r>
      <w:r w:rsidR="00DC2581">
        <w:rPr>
          <w:bCs/>
        </w:rPr>
        <w:t>,</w:t>
      </w:r>
      <w:r w:rsidR="000F3372">
        <w:rPr>
          <w:bCs/>
        </w:rPr>
        <w:t xml:space="preserve"> a na temelju kojih je </w:t>
      </w:r>
      <w:r w:rsidR="00283ADA">
        <w:rPr>
          <w:bCs/>
        </w:rPr>
        <w:t>Agencije</w:t>
      </w:r>
      <w:r w:rsidR="000F3372" w:rsidRPr="00861EE2">
        <w:rPr>
          <w:bCs/>
        </w:rPr>
        <w:t xml:space="preserve"> za osiguranje radničkih tražbina (AORT</w:t>
      </w:r>
      <w:r w:rsidR="000F3372">
        <w:rPr>
          <w:bCs/>
        </w:rPr>
        <w:t xml:space="preserve">), Zagreb, Frankopanska 11, OIB  </w:t>
      </w:r>
      <w:r w:rsidR="000F3372" w:rsidRPr="0076581A">
        <w:rPr>
          <w:bCs/>
        </w:rPr>
        <w:t>04323472109</w:t>
      </w:r>
      <w:r w:rsidR="000F3372">
        <w:rPr>
          <w:bCs/>
        </w:rPr>
        <w:t>,</w:t>
      </w:r>
      <w:r w:rsidR="00DC2581">
        <w:rPr>
          <w:bCs/>
        </w:rPr>
        <w:t xml:space="preserve"> sukladno Zakonu o osiguranju potraživanja radnika u slučaju stečaja poslodavca (NN 83/08, 80/13, 82/15)</w:t>
      </w:r>
      <w:r w:rsidR="006122CB">
        <w:rPr>
          <w:bCs/>
        </w:rPr>
        <w:t>,</w:t>
      </w:r>
      <w:r w:rsidR="00720758">
        <w:rPr>
          <w:bCs/>
        </w:rPr>
        <w:t xml:space="preserve"> izvršila isplatu gore navedenih iznosa za pojedinog vjerovnika, te je zatim sukladno čl. 21. </w:t>
      </w:r>
      <w:r w:rsidR="00D21283">
        <w:rPr>
          <w:bCs/>
        </w:rPr>
        <w:t>citiranog zakona,</w:t>
      </w:r>
      <w:r w:rsidR="006A1E8A">
        <w:rPr>
          <w:bCs/>
        </w:rPr>
        <w:t>a  kako</w:t>
      </w:r>
      <w:r w:rsidR="00D21283">
        <w:rPr>
          <w:bCs/>
        </w:rPr>
        <w:t xml:space="preserve"> potraživanja koja je isplatila Agencija, te koja </w:t>
      </w:r>
      <w:r w:rsidR="00CA7CEE">
        <w:rPr>
          <w:bCs/>
        </w:rPr>
        <w:t xml:space="preserve"> danom isplate prelaze na Agenciju, a Agencija preuzima sva procesna prava stečajnog vjerovnika u odnosu na preuzeta potraživanja,  u tom smislu valjalo </w:t>
      </w:r>
      <w:r w:rsidR="00D020E8">
        <w:rPr>
          <w:bCs/>
        </w:rPr>
        <w:t xml:space="preserve">je </w:t>
      </w:r>
      <w:r w:rsidR="00CA7CEE">
        <w:rPr>
          <w:bCs/>
        </w:rPr>
        <w:t>i ispraviti tablice stečajnih vjerovnika prvog višeg isplatnog reda sukladno čl. 181. Stečajnog zakona (</w:t>
      </w:r>
      <w:r w:rsidR="00CA7CEE" w:rsidRPr="00CA7CEE">
        <w:rPr>
          <w:bCs/>
        </w:rPr>
        <w:t>Narodne novine broj: 44/96, 161/98, 29/99, 129/00, 123/03, 197/03, 187/04, 82/06, 116/10, 125/12, 133/12)</w:t>
      </w:r>
      <w:r w:rsidR="00D020E8">
        <w:rPr>
          <w:bCs/>
        </w:rPr>
        <w:t>, pa je doneseno ovog rješenje.</w:t>
      </w:r>
    </w:p>
    <w:p w:rsidRDefault="00C23F05" w:rsidP="00C23F05" w:rsidR="00C23F05">
      <w:pPr>
        <w:tabs>
          <w:tab w:pos="1120" w:val="left"/>
        </w:tabs>
        <w:ind w:left="360"/>
        <w:jc w:val="both"/>
        <w:rPr>
          <w:bCs/>
        </w:rPr>
      </w:pPr>
    </w:p>
    <w:p w:rsidRDefault="00216CFC" w:rsidP="003F4949" w:rsidR="003F4949">
      <w:pPr>
        <w:jc w:val="center"/>
      </w:pPr>
      <w:r>
        <w:t>U Zagrebu, 10</w:t>
      </w:r>
      <w:r w:rsidR="003F4949">
        <w:t xml:space="preserve">. </w:t>
      </w:r>
      <w:r w:rsidR="0002773C">
        <w:t>srpnja</w:t>
      </w:r>
      <w:r w:rsidR="00D127E8">
        <w:t xml:space="preserve"> 2018</w:t>
      </w:r>
      <w:r w:rsidR="003F4949">
        <w:t>.</w:t>
      </w:r>
    </w:p>
    <w:p w:rsidRDefault="004D099D" w:rsidP="003F4949" w:rsidR="004D099D">
      <w:pPr>
        <w:jc w:val="center"/>
      </w:pPr>
    </w:p>
    <w:p w:rsidRDefault="003F4949" w:rsidP="003F4949" w:rsidR="003F4949">
      <w:r>
        <w:tab/>
      </w:r>
    </w:p>
    <w:p w:rsidRDefault="003F4949" w:rsidP="003F4949" w:rsidR="003F4949">
      <w:r>
        <w:tab/>
      </w:r>
      <w:r>
        <w:tab/>
      </w:r>
      <w:r>
        <w:tab/>
      </w:r>
      <w:r>
        <w:tab/>
        <w:t xml:space="preserve">           </w:t>
      </w:r>
      <w:r w:rsidR="00704F5D">
        <w:t xml:space="preserve"> </w:t>
      </w:r>
      <w:r w:rsidR="00704F5D">
        <w:tab/>
      </w:r>
      <w:r w:rsidR="00704F5D">
        <w:tab/>
        <w:t xml:space="preserve">          </w:t>
      </w:r>
      <w:r w:rsidR="00704F5D">
        <w:tab/>
        <w:t xml:space="preserve">        S U D A C</w:t>
      </w:r>
    </w:p>
    <w:p w:rsidRDefault="00D127E8" w:rsidP="003F4949" w:rsidR="003F4949">
      <w:r>
        <w:tab/>
      </w:r>
      <w:r>
        <w:tab/>
      </w:r>
      <w:r>
        <w:tab/>
      </w:r>
      <w:r>
        <w:tab/>
      </w:r>
      <w:r>
        <w:tab/>
      </w:r>
      <w:r>
        <w:tab/>
      </w:r>
      <w:r>
        <w:tab/>
      </w:r>
      <w:r>
        <w:tab/>
        <w:t>LUCIJA BUTIGAN</w:t>
      </w:r>
      <w:r w:rsidR="00E52C8D">
        <w:t>,v.r.</w:t>
      </w:r>
    </w:p>
    <w:p w:rsidRDefault="004D099D" w:rsidP="003F4949" w:rsidR="004D099D"/>
    <w:p w:rsidRDefault="003F4949" w:rsidP="003F4949" w:rsidR="003F4949">
      <w:r>
        <w:t>UPUTA O PRAVNOM LIJEKU:</w:t>
      </w:r>
    </w:p>
    <w:p w:rsidRDefault="003F4949" w:rsidP="00704F5D" w:rsidR="003F4949">
      <w:pPr>
        <w:pStyle w:val="Tijeloteksta"/>
        <w:spacing w:after="120"/>
        <w:ind w:left="0"/>
        <w:rPr>
          <w:szCs w:val="24"/>
        </w:rPr>
      </w:pPr>
      <w:r>
        <w:rPr>
          <w:szCs w:val="24"/>
        </w:rPr>
        <w:t>Protiv ovog rješenja pravo na žalbu ima svaki vjerovnik u dijelu koji se tiče njegove prijavljene tražbine</w:t>
      </w:r>
      <w:r w:rsidR="00704F5D">
        <w:rPr>
          <w:szCs w:val="24"/>
        </w:rPr>
        <w:t>,</w:t>
      </w:r>
      <w:r>
        <w:rPr>
          <w:szCs w:val="24"/>
        </w:rPr>
        <w:t xml:space="preserve"> odnosno tražbine koju je osporio</w:t>
      </w:r>
      <w:r w:rsidR="0093436B">
        <w:rPr>
          <w:szCs w:val="24"/>
        </w:rPr>
        <w:t xml:space="preserve"> </w:t>
      </w:r>
      <w:r w:rsidR="00704F5D">
        <w:rPr>
          <w:szCs w:val="24"/>
        </w:rPr>
        <w:t xml:space="preserve">stečajni upravitelj (članak </w:t>
      </w:r>
      <w:r w:rsidR="0093436B">
        <w:rPr>
          <w:szCs w:val="24"/>
        </w:rPr>
        <w:t>177</w:t>
      </w:r>
      <w:r>
        <w:rPr>
          <w:szCs w:val="24"/>
        </w:rPr>
        <w:t xml:space="preserve">. stavak </w:t>
      </w:r>
      <w:r w:rsidR="0093436B">
        <w:rPr>
          <w:szCs w:val="24"/>
        </w:rPr>
        <w:t>4. i 5</w:t>
      </w:r>
      <w:r w:rsidR="00704F5D">
        <w:rPr>
          <w:szCs w:val="24"/>
        </w:rPr>
        <w:t>.</w:t>
      </w:r>
      <w:r>
        <w:rPr>
          <w:szCs w:val="24"/>
        </w:rPr>
        <w:t xml:space="preserve"> SZ-a). </w:t>
      </w:r>
      <w:r w:rsidR="0093436B">
        <w:rPr>
          <w:szCs w:val="24"/>
        </w:rPr>
        <w:t>Rok za žalbu je osam dana računajući od dana dostave ovog rješenja putem mrežne stranice e-oglasna ploča Trgovačkog suda u Zagrebu</w:t>
      </w:r>
      <w:r w:rsidR="005368EE">
        <w:rPr>
          <w:szCs w:val="24"/>
        </w:rPr>
        <w:t>.</w:t>
      </w:r>
      <w:r w:rsidR="00536F20">
        <w:rPr>
          <w:szCs w:val="24"/>
        </w:rPr>
        <w:t xml:space="preserve"> Žalba se podnosi Visokom trgovačkom sudu RH, putem ovog suda u 3 primjerka.</w:t>
      </w:r>
    </w:p>
    <w:p w:rsidRDefault="003571A3" w:rsidP="003571A3" w:rsidR="003571A3">
      <w:pPr>
        <w:pStyle w:val="Tijeloteksta-uvlaka3"/>
        <w:rPr>
          <w:lang w:eastAsia="en-US"/>
        </w:rPr>
      </w:pPr>
    </w:p>
    <w:p w:rsidRDefault="00E52C8D" w:rsidP="00E52C8D" w:rsidR="00E52C8D">
      <w:pPr>
        <w:pStyle w:val="Tijeloteksta-uvlaka3"/>
        <w:ind w:left="4248"/>
        <w:rPr>
          <w:sz w:val="24"/>
          <w:szCs w:val="24"/>
          <w:lang w:eastAsia="en-US"/>
        </w:rPr>
      </w:pPr>
      <w:r>
        <w:rPr>
          <w:sz w:val="24"/>
          <w:szCs w:val="24"/>
          <w:lang w:eastAsia="en-US"/>
        </w:rPr>
        <w:t>Za točnost otpravka-ovlašteni službenik</w:t>
      </w:r>
    </w:p>
    <w:p w:rsidRDefault="00E52C8D" w:rsidP="00E52C8D" w:rsidR="00E52C8D" w:rsidRPr="00A80390">
      <w:pPr>
        <w:pStyle w:val="Tijeloteksta-uvlaka3"/>
        <w:ind w:left="4248"/>
        <w:rPr>
          <w:sz w:val="24"/>
          <w:szCs w:val="24"/>
          <w:lang w:eastAsia="en-US"/>
        </w:rPr>
      </w:pPr>
      <w:r>
        <w:rPr>
          <w:sz w:val="24"/>
          <w:szCs w:val="24"/>
          <w:lang w:eastAsia="en-US"/>
        </w:rPr>
        <w:t xml:space="preserve">                Monika Grbac</w:t>
      </w:r>
    </w:p>
    <w:p w:rsidRDefault="00E52C8D" w:rsidP="00E52C8D" w:rsidR="00E52C8D">
      <w:pPr>
        <w:pStyle w:val="Tijeloteksta-uvlaka3"/>
        <w:ind w:left="643"/>
      </w:pPr>
    </w:p>
    <w:sectPr w:rsidSect="0002773C" w:rsidR="00E52C8D">
      <w:headerReference w:type="default" r:id="rId10"/>
      <w:pgSz w:h="16838" w:w="11906"/>
      <w:pgMar w:gutter="0" w:footer="708" w:header="708" w:left="1417" w:bottom="1560"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71A3" w:rsidP="003571A3" w:rsidR="003571A3">
      <w:r>
        <w:separator/>
      </w:r>
    </w:p>
  </w:endnote>
  <w:endnote w:id="0" w:type="continuationSeparator">
    <w:p w:rsidRDefault="003571A3" w:rsidP="003571A3" w:rsidR="00357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71A3" w:rsidP="003571A3" w:rsidR="003571A3">
      <w:r>
        <w:separator/>
      </w:r>
    </w:p>
  </w:footnote>
  <w:footnote w:id="0" w:type="continuationSeparator">
    <w:p w:rsidRDefault="003571A3" w:rsidP="003571A3" w:rsidR="00357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4622491"/>
      <w:docPartObj>
        <w:docPartGallery w:val="Page Numbers (Top of Page)"/>
        <w:docPartUnique/>
      </w:docPartObj>
    </w:sdtPr>
    <w:sdtEndPr/>
    <w:sdtContent>
      <w:p w:rsidRDefault="003571A3" w:rsidP="000456B9" w:rsidR="003571A3">
        <w:pPr>
          <w:tabs>
            <w:tab w:pos="6660" w:val="center"/>
          </w:tabs>
          <w:ind w:firstLine="708" w:left="3540"/>
        </w:pPr>
        <w:r>
          <w:fldChar w:fldCharType="begin"/>
        </w:r>
        <w:r>
          <w:instrText>PAGE   \* MERGEFORMAT</w:instrText>
        </w:r>
        <w:r>
          <w:fldChar w:fldCharType="separate"/>
        </w:r>
        <w:r w:rsidR="00E52C8D">
          <w:rPr>
            <w:noProof/>
          </w:rPr>
          <w:t>2</w:t>
        </w:r>
        <w:r>
          <w:fldChar w:fldCharType="end"/>
        </w:r>
        <w:r>
          <w:t xml:space="preserve"> </w:t>
        </w:r>
        <w:r w:rsidR="000456B9">
          <w:tab/>
        </w:r>
        <w:r w:rsidR="000456B9">
          <w:tab/>
        </w:r>
        <w:r w:rsidR="000456B9">
          <w:tab/>
        </w:r>
        <w:r w:rsidR="000456B9" w:rsidRPr="000456B9">
          <w:t>20 St-847/12</w:t>
        </w:r>
      </w:p>
      <w:p w:rsidRDefault="00E52C8D" w:rsidR="003571A3">
        <w:pPr>
          <w:pStyle w:val="Zaglavlje"/>
          <w:jc w:val="center"/>
        </w:pPr>
      </w:p>
    </w:sdtContent>
  </w:sdt>
  <w:p w:rsidRDefault="003571A3" w:rsidR="003571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47252B"/>
    <w:multiLevelType w:val="hybridMultilevel"/>
    <w:tmpl w:val="CC5C965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619856C7"/>
    <w:multiLevelType w:val="hybridMultilevel"/>
    <w:tmpl w:val="E6C232C0"/>
    <w:lvl w:tplc="409C0DE4" w:ilvl="0">
      <w:start w:val="1"/>
      <w:numFmt w:val="decimal"/>
      <w:lvlText w:val="%1."/>
      <w:lvlJc w:val="left"/>
      <w:pPr>
        <w:ind w:hanging="360" w:left="643"/>
      </w:pPr>
      <w:rPr>
        <w:rFonts w:hint="default"/>
        <w:sz w:val="24"/>
        <w:szCs w:val="24"/>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abstractNum w:abstractNumId="2">
    <w:nsid w:val="633A70F9"/>
    <w:multiLevelType w:val="hybridMultilevel"/>
    <w:tmpl w:val="BABAE5FC"/>
    <w:lvl w:tplc="9FD2D3B0" w:ilvl="0">
      <w:start w:val="1"/>
      <w:numFmt w:val="upperRoman"/>
      <w:lvlText w:val="%1."/>
      <w:lvlJc w:val="left"/>
      <w:pPr>
        <w:ind w:hanging="720" w:left="4455"/>
      </w:pPr>
      <w:rPr>
        <w:rFonts w:hint="default"/>
      </w:rPr>
    </w:lvl>
    <w:lvl w:tentative="true" w:tplc="041A0019" w:ilvl="1">
      <w:start w:val="1"/>
      <w:numFmt w:val="lowerLetter"/>
      <w:lvlText w:val="%2."/>
      <w:lvlJc w:val="left"/>
      <w:pPr>
        <w:ind w:hanging="360" w:left="4815"/>
      </w:pPr>
    </w:lvl>
    <w:lvl w:tentative="true" w:tplc="041A001B" w:ilvl="2">
      <w:start w:val="1"/>
      <w:numFmt w:val="lowerRoman"/>
      <w:lvlText w:val="%3."/>
      <w:lvlJc w:val="right"/>
      <w:pPr>
        <w:ind w:hanging="180" w:left="5535"/>
      </w:pPr>
    </w:lvl>
    <w:lvl w:tentative="true" w:tplc="041A000F" w:ilvl="3">
      <w:start w:val="1"/>
      <w:numFmt w:val="decimal"/>
      <w:lvlText w:val="%4."/>
      <w:lvlJc w:val="left"/>
      <w:pPr>
        <w:ind w:hanging="360" w:left="6255"/>
      </w:pPr>
    </w:lvl>
    <w:lvl w:tentative="true" w:tplc="041A0019" w:ilvl="4">
      <w:start w:val="1"/>
      <w:numFmt w:val="lowerLetter"/>
      <w:lvlText w:val="%5."/>
      <w:lvlJc w:val="left"/>
      <w:pPr>
        <w:ind w:hanging="360" w:left="6975"/>
      </w:pPr>
    </w:lvl>
    <w:lvl w:tentative="true" w:tplc="041A001B" w:ilvl="5">
      <w:start w:val="1"/>
      <w:numFmt w:val="lowerRoman"/>
      <w:lvlText w:val="%6."/>
      <w:lvlJc w:val="right"/>
      <w:pPr>
        <w:ind w:hanging="180" w:left="7695"/>
      </w:pPr>
    </w:lvl>
    <w:lvl w:tentative="true" w:tplc="041A000F" w:ilvl="6">
      <w:start w:val="1"/>
      <w:numFmt w:val="decimal"/>
      <w:lvlText w:val="%7."/>
      <w:lvlJc w:val="left"/>
      <w:pPr>
        <w:ind w:hanging="360" w:left="8415"/>
      </w:pPr>
    </w:lvl>
    <w:lvl w:tentative="true" w:tplc="041A0019" w:ilvl="7">
      <w:start w:val="1"/>
      <w:numFmt w:val="lowerLetter"/>
      <w:lvlText w:val="%8."/>
      <w:lvlJc w:val="left"/>
      <w:pPr>
        <w:ind w:hanging="360" w:left="9135"/>
      </w:pPr>
    </w:lvl>
    <w:lvl w:tentative="true" w:tplc="041A001B" w:ilvl="8">
      <w:start w:val="1"/>
      <w:numFmt w:val="lowerRoman"/>
      <w:lvlText w:val="%9."/>
      <w:lvlJc w:val="right"/>
      <w:pPr>
        <w:ind w:hanging="180" w:left="985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4949"/>
    <w:rsid w:val="0002773C"/>
    <w:rsid w:val="00040B96"/>
    <w:rsid w:val="000456B9"/>
    <w:rsid w:val="000B7936"/>
    <w:rsid w:val="000D0B25"/>
    <w:rsid w:val="000F3372"/>
    <w:rsid w:val="001411C9"/>
    <w:rsid w:val="00197BC6"/>
    <w:rsid w:val="00216CFC"/>
    <w:rsid w:val="00283ADA"/>
    <w:rsid w:val="00286F88"/>
    <w:rsid w:val="002B4A0D"/>
    <w:rsid w:val="003440F6"/>
    <w:rsid w:val="003463FC"/>
    <w:rsid w:val="003467A5"/>
    <w:rsid w:val="00355120"/>
    <w:rsid w:val="003571A3"/>
    <w:rsid w:val="003852E0"/>
    <w:rsid w:val="003A5E32"/>
    <w:rsid w:val="003B7FD2"/>
    <w:rsid w:val="003F4949"/>
    <w:rsid w:val="0040415D"/>
    <w:rsid w:val="004213FB"/>
    <w:rsid w:val="00447C6C"/>
    <w:rsid w:val="004C5071"/>
    <w:rsid w:val="004C77A7"/>
    <w:rsid w:val="004D099D"/>
    <w:rsid w:val="004D74B1"/>
    <w:rsid w:val="00510DCE"/>
    <w:rsid w:val="005368EE"/>
    <w:rsid w:val="00536F20"/>
    <w:rsid w:val="005873F8"/>
    <w:rsid w:val="005A7E25"/>
    <w:rsid w:val="005C1285"/>
    <w:rsid w:val="006122CB"/>
    <w:rsid w:val="006570C1"/>
    <w:rsid w:val="00682048"/>
    <w:rsid w:val="006827D5"/>
    <w:rsid w:val="006A1E8A"/>
    <w:rsid w:val="00704F5D"/>
    <w:rsid w:val="00720758"/>
    <w:rsid w:val="00743C49"/>
    <w:rsid w:val="007562B6"/>
    <w:rsid w:val="0076581A"/>
    <w:rsid w:val="00767E69"/>
    <w:rsid w:val="007749AE"/>
    <w:rsid w:val="00816955"/>
    <w:rsid w:val="00861EE2"/>
    <w:rsid w:val="00875A4A"/>
    <w:rsid w:val="008C52E0"/>
    <w:rsid w:val="008E122E"/>
    <w:rsid w:val="00905D9A"/>
    <w:rsid w:val="0093436B"/>
    <w:rsid w:val="009C704E"/>
    <w:rsid w:val="00A050E0"/>
    <w:rsid w:val="00A3314C"/>
    <w:rsid w:val="00A36D64"/>
    <w:rsid w:val="00A81EFF"/>
    <w:rsid w:val="00AC7FCC"/>
    <w:rsid w:val="00AE28D6"/>
    <w:rsid w:val="00B04979"/>
    <w:rsid w:val="00B11707"/>
    <w:rsid w:val="00B231D2"/>
    <w:rsid w:val="00B44138"/>
    <w:rsid w:val="00BE2485"/>
    <w:rsid w:val="00BF5653"/>
    <w:rsid w:val="00C007C5"/>
    <w:rsid w:val="00C23F05"/>
    <w:rsid w:val="00C97485"/>
    <w:rsid w:val="00CA7CEE"/>
    <w:rsid w:val="00CD06BF"/>
    <w:rsid w:val="00CE08C8"/>
    <w:rsid w:val="00D020E8"/>
    <w:rsid w:val="00D127E8"/>
    <w:rsid w:val="00D21283"/>
    <w:rsid w:val="00D33877"/>
    <w:rsid w:val="00D56DFC"/>
    <w:rsid w:val="00D73D72"/>
    <w:rsid w:val="00D7439A"/>
    <w:rsid w:val="00DC2581"/>
    <w:rsid w:val="00E24D49"/>
    <w:rsid w:val="00E41C51"/>
    <w:rsid w:val="00E52C8D"/>
    <w:rsid w:val="00E54EC6"/>
    <w:rsid w:val="00EB550F"/>
    <w:rsid w:val="00ED6F56"/>
    <w:rsid w:val="00F148EB"/>
    <w:rsid w:val="00F15A11"/>
    <w:rsid w:val="00F7721C"/>
    <w:rsid w:val="00FA212E"/>
    <w:rsid w:val="00FE65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4949"/>
    <w:rPr>
      <w:rFonts w:cs="Times New Roman" w:eastAsia="Times New Roman"/>
      <w:szCs w:val="24"/>
      <w:lang w:eastAsia="hr-HR"/>
    </w:rPr>
  </w:style>
  <w:style w:styleId="Naslov1" w:type="paragraph">
    <w:name w:val="heading 1"/>
    <w:basedOn w:val="Normal"/>
    <w:next w:val="Normal"/>
    <w:link w:val="Naslov1Char"/>
    <w:qFormat/>
    <w:rsid w:val="003F4949"/>
    <w:pPr>
      <w:keepNext/>
      <w:jc w:val="center"/>
      <w:outlineLvl w:val="0"/>
    </w:pPr>
    <w:rPr>
      <w:rFonts w:cs="Arial" w:hAnsi="Arial" w:ascii="Arial"/>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F4949"/>
    <w:rPr>
      <w:rFonts w:cs="Arial" w:eastAsia="Times New Roman" w:hAnsi="Arial" w:ascii="Arial"/>
      <w:b/>
      <w:sz w:val="22"/>
      <w:szCs w:val="24"/>
      <w:lang w:eastAsia="hr-HR"/>
    </w:rPr>
  </w:style>
  <w:style w:customStyle="true" w:styleId="TijelotekstaChar" w:type="character">
    <w:name w:val="Tijelo teksta Char"/>
    <w:aliases w:val="Body Text Indent 2 Char,uvlaka 3 Char,uvlaka 2 Char"/>
    <w:basedOn w:val="Zadanifontodlomka"/>
    <w:link w:val="Tijeloteksta"/>
    <w:locked/>
    <w:rsid w:val="003F4949"/>
  </w:style>
  <w:style w:styleId="Tijeloteksta" w:type="paragraph">
    <w:name w:val="Body Text"/>
    <w:aliases w:val="Body Text Indent 2,uvlaka 3,uvlaka 2"/>
    <w:basedOn w:val="Normal"/>
    <w:next w:val="Tijeloteksta-uvlaka3"/>
    <w:link w:val="TijelotekstaChar"/>
    <w:unhideWhenUsed/>
    <w:rsid w:val="003F4949"/>
    <w:pPr>
      <w:overflowPunct w:val="false"/>
      <w:autoSpaceDE w:val="false"/>
      <w:autoSpaceDN w:val="false"/>
      <w:adjustRightInd w:val="false"/>
      <w:ind w:left="142"/>
      <w:jc w:val="both"/>
    </w:pPr>
    <w:rPr>
      <w:rFonts w:cstheme="minorBidi" w:eastAsiaTheme="minorHAnsi"/>
      <w:szCs w:val="22"/>
      <w:lang w:eastAsia="en-US"/>
    </w:rPr>
  </w:style>
  <w:style w:customStyle="true" w:styleId="TijelotekstaChar1" w:type="character">
    <w:name w:val="Tijelo teksta Char1"/>
    <w:basedOn w:val="Zadanifontodlomka"/>
    <w:uiPriority w:val="99"/>
    <w:semiHidden/>
    <w:rsid w:val="003F4949"/>
    <w:rPr>
      <w:rFonts w:cs="Times New Roman" w:eastAsia="Times New Roman"/>
      <w:szCs w:val="24"/>
      <w:lang w:eastAsia="hr-HR"/>
    </w:rPr>
  </w:style>
  <w:style w:styleId="Odlomakpopisa" w:type="paragraph">
    <w:name w:val="List Paragraph"/>
    <w:basedOn w:val="Normal"/>
    <w:uiPriority w:val="34"/>
    <w:qFormat/>
    <w:rsid w:val="003F4949"/>
    <w:pPr>
      <w:ind w:left="708"/>
    </w:pPr>
    <w:rPr>
      <w:sz w:val="20"/>
      <w:szCs w:val="20"/>
      <w:lang w:val="en-AU"/>
    </w:rPr>
  </w:style>
  <w:style w:customStyle="true" w:styleId="TableContents" w:type="paragraph">
    <w:name w:val="Table Contents"/>
    <w:basedOn w:val="Normal"/>
    <w:rsid w:val="003F4949"/>
    <w:pPr>
      <w:widowControl w:val="false"/>
      <w:suppressLineNumbers/>
      <w:suppressAutoHyphens/>
      <w:autoSpaceDN w:val="false"/>
    </w:pPr>
    <w:rPr>
      <w:rFonts w:cs="Tahoma"/>
      <w:kern w:val="3"/>
    </w:rPr>
  </w:style>
  <w:style w:styleId="Tijeloteksta-uvlaka3" w:type="paragraph">
    <w:name w:val="Body Text Indent 3"/>
    <w:basedOn w:val="Normal"/>
    <w:link w:val="Tijeloteksta-uvlaka3Char"/>
    <w:uiPriority w:val="99"/>
    <w:unhideWhenUsed/>
    <w:rsid w:val="003F4949"/>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3F4949"/>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3F49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4949"/>
    <w:rPr>
      <w:rFonts w:cs="Tahoma" w:eastAsia="Times New Roman" w:hAnsi="Tahoma" w:ascii="Tahoma"/>
      <w:sz w:val="16"/>
      <w:szCs w:val="16"/>
      <w:lang w:eastAsia="hr-HR"/>
    </w:rPr>
  </w:style>
  <w:style w:styleId="Reetkatablice" w:type="table">
    <w:name w:val="Table Grid"/>
    <w:basedOn w:val="Obinatablica"/>
    <w:uiPriority w:val="39"/>
    <w:rsid w:val="00D127E8"/>
    <w:rPr>
      <w:rFonts w:hAnsiTheme="minorHAnsi" w:asciiTheme="minorHAnsi"/>
      <w:sz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571A3"/>
    <w:pPr>
      <w:tabs>
        <w:tab w:pos="4536" w:val="center"/>
        <w:tab w:pos="9072" w:val="right"/>
      </w:tabs>
    </w:pPr>
  </w:style>
  <w:style w:customStyle="true" w:styleId="ZaglavljeChar" w:type="character">
    <w:name w:val="Zaglavlje Char"/>
    <w:basedOn w:val="Zadanifontodlomka"/>
    <w:link w:val="Zaglavlje"/>
    <w:uiPriority w:val="99"/>
    <w:rsid w:val="003571A3"/>
    <w:rPr>
      <w:rFonts w:cs="Times New Roman" w:eastAsia="Times New Roman"/>
      <w:szCs w:val="24"/>
      <w:lang w:eastAsia="hr-HR"/>
    </w:rPr>
  </w:style>
  <w:style w:styleId="Podnoje" w:type="paragraph">
    <w:name w:val="footer"/>
    <w:basedOn w:val="Normal"/>
    <w:link w:val="PodnojeChar"/>
    <w:uiPriority w:val="99"/>
    <w:unhideWhenUsed/>
    <w:rsid w:val="003571A3"/>
    <w:pPr>
      <w:tabs>
        <w:tab w:pos="4536" w:val="center"/>
        <w:tab w:pos="9072" w:val="right"/>
      </w:tabs>
    </w:pPr>
  </w:style>
  <w:style w:customStyle="true" w:styleId="PodnojeChar" w:type="character">
    <w:name w:val="Podnožje Char"/>
    <w:basedOn w:val="Zadanifontodlomka"/>
    <w:link w:val="Podnoje"/>
    <w:uiPriority w:val="99"/>
    <w:rsid w:val="003571A3"/>
    <w:rPr>
      <w:rFonts w:cs="Times New Roman" w:eastAsia="Times New Roman"/>
      <w:szCs w:val="24"/>
      <w:lang w:eastAsia="hr-HR"/>
    </w:rPr>
  </w:style>
  <w:style w:styleId="Bezproreda" w:type="paragraph">
    <w:name w:val="No Spacing"/>
    <w:uiPriority w:val="99"/>
    <w:qFormat/>
    <w:rsid w:val="00FE6520"/>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E52C8D"/>
    <w:rPr>
      <w:color w:val="808080"/>
      <w:bdr w:space="0" w:sz="0" w:color="auto" w:val="none"/>
      <w:shd w:fill="auto" w:color="auto" w:val="clear"/>
    </w:rPr>
  </w:style>
  <w:style w:customStyle="true" w:styleId="eSPISCCParagraphDefaultFont" w:type="character">
    <w:name w:val="eSPIS_CC_Paragraph Default Font"/>
    <w:basedOn w:val="Zadanifontodlomka"/>
    <w:rsid w:val="00E52C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2C8D"/>
    <w:rPr>
      <w:bdr w:space="0" w:sz="0" w:color="auto" w:val="none"/>
      <w:shd w:fill="FFFFCC" w:color="auto" w:val="clear"/>
      <w:lang w:val="hr-HR"/>
    </w:rPr>
  </w:style>
  <w:style w:customStyle="true" w:styleId="PozadinaSvijetloCrvena" w:type="character">
    <w:name w:val="Pozadina_SvijetloCrvena"/>
    <w:basedOn w:val="eSPISCCParagraphDefaultFont"/>
    <w:rsid w:val="00E52C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2C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4949"/>
    <w:rPr>
      <w:rFonts w:cs="Times New Roman" w:eastAsia="Times New Roman"/>
      <w:szCs w:val="24"/>
      <w:lang w:eastAsia="hr-HR"/>
    </w:rPr>
  </w:style>
  <w:style w:styleId="Naslov1" w:type="paragraph">
    <w:name w:val="heading 1"/>
    <w:basedOn w:val="Normal"/>
    <w:next w:val="Normal"/>
    <w:link w:val="Naslov1Char"/>
    <w:qFormat/>
    <w:rsid w:val="003F4949"/>
    <w:pPr>
      <w:keepNext/>
      <w:jc w:val="center"/>
      <w:outlineLvl w:val="0"/>
    </w:pPr>
    <w:rPr>
      <w:rFonts w:ascii="Arial" w:cs="Arial" w:hAnsi="Arial"/>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F4949"/>
    <w:rPr>
      <w:rFonts w:ascii="Arial" w:cs="Arial" w:eastAsia="Times New Roman" w:hAnsi="Arial"/>
      <w:b/>
      <w:sz w:val="22"/>
      <w:szCs w:val="24"/>
      <w:lang w:eastAsia="hr-HR"/>
    </w:rPr>
  </w:style>
  <w:style w:customStyle="1" w:styleId="TijelotekstaChar" w:type="character">
    <w:name w:val="Tijelo teksta Char"/>
    <w:aliases w:val="Body Text Indent 2 Char,uvlaka 3 Char,uvlaka 2 Char"/>
    <w:basedOn w:val="Zadanifontodlomka"/>
    <w:link w:val="Tijeloteksta"/>
    <w:locked/>
    <w:rsid w:val="003F4949"/>
  </w:style>
  <w:style w:styleId="Tijeloteksta" w:type="paragraph">
    <w:name w:val="Body Text"/>
    <w:aliases w:val="Body Text Indent 2,uvlaka 3,uvlaka 2"/>
    <w:basedOn w:val="Normal"/>
    <w:next w:val="Tijeloteksta-uvlaka3"/>
    <w:link w:val="TijelotekstaChar"/>
    <w:unhideWhenUsed/>
    <w:rsid w:val="003F4949"/>
    <w:pPr>
      <w:overflowPunct w:val="0"/>
      <w:autoSpaceDE w:val="0"/>
      <w:autoSpaceDN w:val="0"/>
      <w:adjustRightInd w:val="0"/>
      <w:ind w:left="142"/>
      <w:jc w:val="both"/>
    </w:pPr>
    <w:rPr>
      <w:rFonts w:cstheme="minorBidi" w:eastAsiaTheme="minorHAnsi"/>
      <w:szCs w:val="22"/>
      <w:lang w:eastAsia="en-US"/>
    </w:rPr>
  </w:style>
  <w:style w:customStyle="1" w:styleId="TijelotekstaChar1" w:type="character">
    <w:name w:val="Tijelo teksta Char1"/>
    <w:basedOn w:val="Zadanifontodlomka"/>
    <w:uiPriority w:val="99"/>
    <w:semiHidden/>
    <w:rsid w:val="003F4949"/>
    <w:rPr>
      <w:rFonts w:cs="Times New Roman" w:eastAsia="Times New Roman"/>
      <w:szCs w:val="24"/>
      <w:lang w:eastAsia="hr-HR"/>
    </w:rPr>
  </w:style>
  <w:style w:styleId="Odlomakpopisa" w:type="paragraph">
    <w:name w:val="List Paragraph"/>
    <w:basedOn w:val="Normal"/>
    <w:uiPriority w:val="34"/>
    <w:qFormat/>
    <w:rsid w:val="003F4949"/>
    <w:pPr>
      <w:ind w:left="708"/>
    </w:pPr>
    <w:rPr>
      <w:sz w:val="20"/>
      <w:szCs w:val="20"/>
      <w:lang w:val="en-AU"/>
    </w:rPr>
  </w:style>
  <w:style w:customStyle="1" w:styleId="TableContents" w:type="paragraph">
    <w:name w:val="Table Contents"/>
    <w:basedOn w:val="Normal"/>
    <w:rsid w:val="003F4949"/>
    <w:pPr>
      <w:widowControl w:val="0"/>
      <w:suppressLineNumbers/>
      <w:suppressAutoHyphens/>
      <w:autoSpaceDN w:val="0"/>
    </w:pPr>
    <w:rPr>
      <w:rFonts w:cs="Tahoma"/>
      <w:kern w:val="3"/>
    </w:rPr>
  </w:style>
  <w:style w:styleId="Tijeloteksta-uvlaka3" w:type="paragraph">
    <w:name w:val="Body Text Indent 3"/>
    <w:basedOn w:val="Normal"/>
    <w:link w:val="Tijeloteksta-uvlaka3Char"/>
    <w:uiPriority w:val="99"/>
    <w:unhideWhenUsed/>
    <w:rsid w:val="003F4949"/>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3F4949"/>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3F4949"/>
    <w:rPr>
      <w:rFonts w:ascii="Tahoma" w:cs="Tahoma" w:hAnsi="Tahoma"/>
      <w:sz w:val="16"/>
      <w:szCs w:val="16"/>
    </w:rPr>
  </w:style>
  <w:style w:customStyle="1" w:styleId="TekstbaloniaChar" w:type="character">
    <w:name w:val="Tekst balončića Char"/>
    <w:basedOn w:val="Zadanifontodlomka"/>
    <w:link w:val="Tekstbalonia"/>
    <w:uiPriority w:val="99"/>
    <w:semiHidden/>
    <w:rsid w:val="003F4949"/>
    <w:rPr>
      <w:rFonts w:ascii="Tahoma" w:cs="Tahoma" w:eastAsia="Times New Roman" w:hAnsi="Tahoma"/>
      <w:sz w:val="16"/>
      <w:szCs w:val="16"/>
      <w:lang w:eastAsia="hr-HR"/>
    </w:rPr>
  </w:style>
  <w:style w:styleId="Reetkatablice" w:type="table">
    <w:name w:val="Table Grid"/>
    <w:basedOn w:val="Obinatablica"/>
    <w:uiPriority w:val="39"/>
    <w:rsid w:val="00D127E8"/>
    <w:rPr>
      <w:rFonts w:asciiTheme="minorHAnsi" w:hAnsiTheme="minorHAnsi"/>
      <w:sz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571A3"/>
    <w:pPr>
      <w:tabs>
        <w:tab w:pos="4536" w:val="center"/>
        <w:tab w:pos="9072" w:val="right"/>
      </w:tabs>
    </w:pPr>
  </w:style>
  <w:style w:customStyle="1" w:styleId="ZaglavljeChar" w:type="character">
    <w:name w:val="Zaglavlje Char"/>
    <w:basedOn w:val="Zadanifontodlomka"/>
    <w:link w:val="Zaglavlje"/>
    <w:uiPriority w:val="99"/>
    <w:rsid w:val="003571A3"/>
    <w:rPr>
      <w:rFonts w:cs="Times New Roman" w:eastAsia="Times New Roman"/>
      <w:szCs w:val="24"/>
      <w:lang w:eastAsia="hr-HR"/>
    </w:rPr>
  </w:style>
  <w:style w:styleId="Podnoje" w:type="paragraph">
    <w:name w:val="footer"/>
    <w:basedOn w:val="Normal"/>
    <w:link w:val="PodnojeChar"/>
    <w:uiPriority w:val="99"/>
    <w:unhideWhenUsed/>
    <w:rsid w:val="003571A3"/>
    <w:pPr>
      <w:tabs>
        <w:tab w:pos="4536" w:val="center"/>
        <w:tab w:pos="9072" w:val="right"/>
      </w:tabs>
    </w:pPr>
  </w:style>
  <w:style w:customStyle="1" w:styleId="PodnojeChar" w:type="character">
    <w:name w:val="Podnožje Char"/>
    <w:basedOn w:val="Zadanifontodlomka"/>
    <w:link w:val="Podnoje"/>
    <w:uiPriority w:val="99"/>
    <w:rsid w:val="003571A3"/>
    <w:rPr>
      <w:rFonts w:cs="Times New Roman" w:eastAsia="Times New Roman"/>
      <w:szCs w:val="24"/>
      <w:lang w:eastAsia="hr-HR"/>
    </w:rPr>
  </w:style>
  <w:style w:styleId="Bezproreda" w:type="paragraph">
    <w:name w:val="No Spacing"/>
    <w:uiPriority w:val="99"/>
    <w:qFormat/>
    <w:rsid w:val="00FE6520"/>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E52C8D"/>
    <w:rPr>
      <w:color w:val="808080"/>
      <w:bdr w:color="auto" w:space="0" w:sz="0" w:val="none"/>
      <w:shd w:color="auto" w:fill="auto" w:val="clear"/>
    </w:rPr>
  </w:style>
  <w:style w:customStyle="1" w:styleId="eSPISCCParagraphDefaultFont" w:type="character">
    <w:name w:val="eSPIS_CC_Paragraph Default Font"/>
    <w:basedOn w:val="Zadanifontodlomka"/>
    <w:rsid w:val="00E52C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2C8D"/>
    <w:rPr>
      <w:bdr w:color="auto" w:space="0" w:sz="0" w:val="none"/>
      <w:shd w:color="auto" w:fill="FFFFCC" w:val="clear"/>
      <w:lang w:val="hr-HR"/>
    </w:rPr>
  </w:style>
  <w:style w:customStyle="1" w:styleId="PozadinaSvijetloCrvena" w:type="character">
    <w:name w:val="Pozadina_SvijetloCrvena"/>
    <w:basedOn w:val="eSPISCCParagraphDefaultFont"/>
    <w:rsid w:val="00E52C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2C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76417">
      <w:bodyDiv w:val="true"/>
      <w:marLeft w:val="0"/>
      <w:marRight w:val="0"/>
      <w:marTop w:val="0"/>
      <w:marBottom w:val="0"/>
      <w:divBdr>
        <w:top w:space="0" w:sz="0" w:color="auto" w:val="none"/>
        <w:left w:space="0" w:sz="0" w:color="auto" w:val="none"/>
        <w:bottom w:space="0" w:sz="0" w:color="auto" w:val="none"/>
        <w:right w:space="0" w:sz="0" w:color="auto" w:val="none"/>
      </w:divBdr>
    </w:div>
    <w:div w:id="806973895">
      <w:bodyDiv w:val="true"/>
      <w:marLeft w:val="0"/>
      <w:marRight w:val="0"/>
      <w:marTop w:val="0"/>
      <w:marBottom w:val="0"/>
      <w:divBdr>
        <w:top w:space="0" w:sz="0" w:color="auto" w:val="none"/>
        <w:left w:space="0" w:sz="0" w:color="auto" w:val="none"/>
        <w:bottom w:space="0" w:sz="0" w:color="auto" w:val="none"/>
        <w:right w:space="0" w:sz="0" w:color="auto" w:val="none"/>
      </w:divBdr>
    </w:div>
    <w:div w:id="876235556">
      <w:bodyDiv w:val="true"/>
      <w:marLeft w:val="0"/>
      <w:marRight w:val="0"/>
      <w:marTop w:val="0"/>
      <w:marBottom w:val="0"/>
      <w:divBdr>
        <w:top w:space="0" w:sz="0" w:color="auto" w:val="none"/>
        <w:left w:space="0" w:sz="0" w:color="auto" w:val="none"/>
        <w:bottom w:space="0" w:sz="0" w:color="auto" w:val="none"/>
        <w:right w:space="0" w:sz="0" w:color="auto" w:val="none"/>
      </w:divBdr>
    </w:div>
    <w:div w:id="990980717">
      <w:bodyDiv w:val="true"/>
      <w:marLeft w:val="0"/>
      <w:marRight w:val="0"/>
      <w:marTop w:val="0"/>
      <w:marBottom w:val="0"/>
      <w:divBdr>
        <w:top w:space="0" w:sz="0" w:color="auto" w:val="none"/>
        <w:left w:space="0" w:sz="0" w:color="auto" w:val="none"/>
        <w:bottom w:space="0" w:sz="0" w:color="auto" w:val="none"/>
        <w:right w:space="0" w:sz="0" w:color="auto" w:val="none"/>
      </w:divBdr>
    </w:div>
    <w:div w:id="1370371337">
      <w:bodyDiv w:val="true"/>
      <w:marLeft w:val="0"/>
      <w:marRight w:val="0"/>
      <w:marTop w:val="0"/>
      <w:marBottom w:val="0"/>
      <w:divBdr>
        <w:top w:space="0" w:sz="0" w:color="auto" w:val="none"/>
        <w:left w:space="0" w:sz="0" w:color="auto" w:val="none"/>
        <w:bottom w:space="0" w:sz="0" w:color="auto" w:val="none"/>
        <w:right w:space="0" w:sz="0" w:color="auto" w:val="none"/>
      </w:divBdr>
    </w:div>
    <w:div w:id="1645046574">
      <w:bodyDiv w:val="true"/>
      <w:marLeft w:val="0"/>
      <w:marRight w:val="0"/>
      <w:marTop w:val="0"/>
      <w:marBottom w:val="0"/>
      <w:divBdr>
        <w:top w:space="0" w:sz="0" w:color="auto" w:val="none"/>
        <w:left w:space="0" w:sz="0" w:color="auto" w:val="none"/>
        <w:bottom w:space="0" w:sz="0" w:color="auto" w:val="none"/>
        <w:right w:space="0" w:sz="0" w:color="auto" w:val="none"/>
      </w:divBdr>
    </w:div>
    <w:div w:id="1905333026">
      <w:bodyDiv w:val="true"/>
      <w:marLeft w:val="0"/>
      <w:marRight w:val="0"/>
      <w:marTop w:val="0"/>
      <w:marBottom w:val="0"/>
      <w:divBdr>
        <w:top w:space="0" w:sz="0" w:color="auto" w:val="none"/>
        <w:left w:space="0" w:sz="0" w:color="auto" w:val="none"/>
        <w:bottom w:space="0" w:sz="0" w:color="auto" w:val="none"/>
        <w:right w:space="0" w:sz="0" w:color="auto" w:val="none"/>
      </w:divBdr>
    </w:div>
    <w:div w:id="1973095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St-847/2012-420</izvorni_sadrzaj>
    <derivirana_varijabla naziv="DomainObject.Oznaka_1">St-847/2012-420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St-847/2012-420</izvorni_sadrzaj>
    <derivirana_varijabla naziv="DomainObject.PoslovniBrojDokumenta_1">St-847/2012-420</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665</properties:Words>
  <properties:Characters>3589</properties:Characters>
  <properties:Lines>95</properties:Lines>
  <properties:Paragraphs>28</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2018-07-10T09:36:00Z</dcterms:created>
  <dc:creator>Monika Grbac</dc:creator>
  <cp:lastModifiedBy>Monika Grbac</cp:lastModifiedBy>
  <cp:lastPrinted>2018-07-10T12:31:00Z</cp:lastPrinted>
  <dcterms:modified xmlns:xsi="http://www.w3.org/2001/XMLSchema-instance" xsi:type="dcterms:W3CDTF">2018-07-10T12:32:00Z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St-847/2012-420 / Odluka - Rješenje - ispravak rješenja (st-847-12 GAMONT.docx)</vt:lpwstr>
  </prop:property>
  <prop:property name="CC_coloring" pid="4" fmtid="{D5CDD505-2E9C-101B-9397-08002B2CF9AE}">
    <vt:bool>false</vt:bool>
  </prop:property>
  <prop:property name="BrojStranica" pid="5" fmtid="{D5CDD505-2E9C-101B-9397-08002B2CF9AE}">
    <vt:i4>2</vt:i4>
  </prop:property>
</prop:Properties>
</file>