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DE7" w:rsidRPr="007A4DE7">
        <w:trPr>
          <w:trHeight w:val="2231"/>
        </w:trPr>
        <w:tc>
          <w:tcPr>
            <w:tcW w:type="dxa" w:w="3369"/>
            <w:vAlign w:val="center"/>
          </w:tcPr>
          <w:p w:rsidRDefault="007A4DE7" w:rsidP="00A66C00" w:rsidR="007A4DE7" w:rsidRPr="007A4DE7">
            <w:pPr>
              <w:spacing w:before="100"/>
              <w:jc w:val="center"/>
              <w:rPr>
                <w:noProof w:val="false"/>
                <w:lang w:val="hr-HR"/>
              </w:rPr>
            </w:pPr>
            <w:bookmarkStart w:name="_GoBack" w:id="0"/>
            <w:bookmarkEnd w:id="0"/>
            <w:r w:rsidRPr="007A4DE7">
              <w:rPr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DE7" w:rsidP="00A66C00" w:rsidR="007A4DE7" w:rsidRPr="007A4DE7">
            <w:pPr>
              <w:spacing w:before="100"/>
              <w:rPr>
                <w:noProof w:val="false"/>
                <w:sz w:val="24"/>
                <w:szCs w:val="24"/>
                <w:lang w:val="hr-HR"/>
              </w:rPr>
            </w:pPr>
            <w:r w:rsidRPr="007A4DE7">
              <w:rPr>
                <w:noProof w:val="false"/>
                <w:sz w:val="24"/>
                <w:szCs w:val="24"/>
                <w:lang w:val="hr-HR"/>
              </w:rPr>
              <w:t>REPUBLIKA HRVATSKA</w:t>
            </w:r>
          </w:p>
          <w:p w:rsidRDefault="007A4DE7" w:rsidP="00A66C00" w:rsidR="007A4DE7" w:rsidRPr="007A4DE7">
            <w:pPr>
              <w:rPr>
                <w:noProof w:val="false"/>
                <w:sz w:val="24"/>
                <w:szCs w:val="24"/>
                <w:lang w:val="hr-HR"/>
              </w:rPr>
            </w:pPr>
            <w:r w:rsidRPr="007A4DE7">
              <w:rPr>
                <w:noProof w:val="false"/>
                <w:sz w:val="24"/>
                <w:szCs w:val="24"/>
                <w:lang w:val="hr-HR"/>
              </w:rPr>
              <w:t>TRGOVAČKI SUD U SPLITU</w:t>
            </w:r>
          </w:p>
          <w:p w:rsidRDefault="007A4DE7" w:rsidP="00DA5B9D" w:rsidR="007A4DE7" w:rsidRPr="007A4DE7">
            <w:pPr>
              <w:rPr>
                <w:noProof w:val="false"/>
                <w:lang w:val="hr-HR"/>
              </w:rPr>
            </w:pPr>
            <w:r w:rsidRPr="007A4DE7">
              <w:rPr>
                <w:noProof w:val="false"/>
                <w:sz w:val="24"/>
                <w:szCs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7A4DE7" w:rsidP="00DA5B9D" w:rsidR="007A4DE7" w:rsidRPr="007A4DE7">
            <w:pPr>
              <w:jc w:val="both"/>
              <w:rPr>
                <w:noProof w:val="false"/>
                <w:lang w:val="hr-HR"/>
              </w:rPr>
            </w:pPr>
          </w:p>
          <w:p w:rsidRDefault="007A4DE7" w:rsidP="00DA5B9D" w:rsidR="007A4DE7" w:rsidRPr="007A4DE7">
            <w:pPr>
              <w:jc w:val="both"/>
              <w:rPr>
                <w:noProof w:val="false"/>
                <w:lang w:val="hr-HR"/>
              </w:rPr>
            </w:pPr>
          </w:p>
          <w:p w:rsidRDefault="007A4DE7" w:rsidP="00DA5B9D" w:rsidR="007A4DE7" w:rsidRPr="007A4DE7">
            <w:pPr>
              <w:jc w:val="both"/>
              <w:rPr>
                <w:noProof w:val="false"/>
                <w:lang w:val="hr-HR"/>
              </w:rPr>
            </w:pPr>
          </w:p>
          <w:p w:rsidRDefault="007A4DE7" w:rsidP="00DA5B9D" w:rsidR="007A4DE7" w:rsidRPr="007A4DE7">
            <w:pPr>
              <w:jc w:val="right"/>
              <w:rPr>
                <w:noProof w:val="false"/>
                <w:lang w:val="hr-HR"/>
              </w:rPr>
            </w:pPr>
          </w:p>
          <w:p w:rsidRDefault="007A4DE7" w:rsidP="00DA5B9D" w:rsidR="007A4DE7" w:rsidRPr="007A4DE7">
            <w:pPr>
              <w:jc w:val="right"/>
              <w:rPr>
                <w:noProof w:val="false"/>
                <w:lang w:val="hr-HR"/>
              </w:rPr>
            </w:pPr>
          </w:p>
          <w:p w:rsidRDefault="007A4DE7" w:rsidP="00DA5B9D" w:rsidR="007A4DE7" w:rsidRPr="007A4DE7">
            <w:pPr>
              <w:jc w:val="right"/>
              <w:rPr>
                <w:noProof w:val="false"/>
                <w:lang w:val="hr-HR"/>
              </w:rPr>
            </w:pPr>
          </w:p>
          <w:p w:rsidRDefault="007A4DE7" w:rsidP="00DA5B9D" w:rsidR="007A4DE7" w:rsidRPr="007A4DE7">
            <w:pPr>
              <w:jc w:val="right"/>
              <w:rPr>
                <w:noProof w:val="false"/>
                <w:lang w:val="hr-HR"/>
              </w:rPr>
            </w:pPr>
          </w:p>
          <w:p w:rsidRDefault="007A4DE7" w:rsidP="00DA5B9D" w:rsidR="007A4DE7" w:rsidRPr="007A4DE7">
            <w:pPr>
              <w:jc w:val="right"/>
              <w:rPr>
                <w:noProof w:val="false"/>
                <w:sz w:val="24"/>
                <w:lang w:val="hr-HR"/>
              </w:rPr>
            </w:pPr>
          </w:p>
          <w:p w:rsidRDefault="007A4DE7" w:rsidP="007A4DE7" w:rsidR="007A4DE7" w:rsidRPr="007A4DE7">
            <w:pPr>
              <w:jc w:val="right"/>
              <w:rPr>
                <w:noProof w:val="false"/>
                <w:sz w:val="24"/>
                <w:szCs w:val="24"/>
                <w:lang w:val="hr-HR"/>
              </w:rPr>
            </w:pPr>
            <w:r w:rsidRPr="007A4DE7">
              <w:rPr>
                <w:noProof w:val="false"/>
                <w:sz w:val="24"/>
                <w:szCs w:val="24"/>
                <w:lang w:val="hr-HR"/>
              </w:rPr>
              <w:t>Poslovni broj: 11.St-2040/2016</w:t>
            </w:r>
          </w:p>
        </w:tc>
      </w:tr>
    </w:tbl>
    <w:p w14:textId="60220fd" w14:paraId="60220fd" w:rsidRDefault="007361F4" w:rsidP="007361F4" w:rsidR="007361F4" w:rsidRPr="007A4DE7">
      <w:pPr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7361F4" w:rsidP="007361F4" w:rsidR="007361F4" w:rsidRPr="007A4DE7">
      <w:pPr>
        <w:spacing w:before="16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R E P U B L I K A  H R V A T S K A</w:t>
      </w:r>
    </w:p>
    <w:p w:rsidRDefault="007361F4" w:rsidP="007361F4" w:rsidR="007361F4" w:rsidRPr="007A4DE7">
      <w:pPr>
        <w:spacing w:before="16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J E Š E N J E </w:t>
      </w:r>
    </w:p>
    <w:p w:rsidRDefault="007361F4" w:rsidP="007361F4" w:rsidR="007361F4" w:rsidRPr="007A4DE7">
      <w:pPr>
        <w:pStyle w:val="Tijeloteksta"/>
        <w:spacing w:before="160"/>
      </w:pPr>
      <w:r w:rsidRPr="007A4DE7">
        <w:tab/>
        <w:t xml:space="preserve">Trgovački sud u Splitu, po sutkinji Ani Golub Gruić, </w:t>
      </w:r>
      <w:r w:rsidR="007A4DE7" w:rsidRPr="007A4DE7">
        <w:t>u stečajnom postupku nad dužnikom ARHITEKTONSKO – GRAĐEVNI KAMEN DINARIT d.o.o. u stečaju, OIB: 92671429499, Vrlika, Radna zona Kosore bb</w:t>
      </w:r>
      <w:r w:rsidRPr="007A4DE7">
        <w:t xml:space="preserve">, odlučujući o prijavi tražbine </w:t>
      </w:r>
      <w:r w:rsidR="007A4DE7" w:rsidRPr="007A4DE7">
        <w:t>vjerovnika Željka Ćurka</w:t>
      </w:r>
      <w:r w:rsidRPr="007A4DE7">
        <w:rPr>
          <w:rFonts w:eastAsia="Calibri"/>
          <w:lang w:eastAsia="en-US"/>
        </w:rPr>
        <w:t xml:space="preserve">, </w:t>
      </w:r>
      <w:r w:rsidR="007A4DE7" w:rsidRPr="007A4DE7">
        <w:rPr>
          <w:rFonts w:eastAsia="Calibri"/>
          <w:lang w:eastAsia="en-US"/>
        </w:rPr>
        <w:t>zastupanog po punomoćniku Milanu Veiću, odvjetniku u Splitu, 20. prosinca</w:t>
      </w:r>
      <w:r w:rsidRPr="007A4DE7">
        <w:t xml:space="preserve"> 2017.</w:t>
      </w:r>
    </w:p>
    <w:p w:rsidRDefault="007361F4" w:rsidP="007A4DE7" w:rsidR="007361F4">
      <w:pPr>
        <w:spacing w:after="320" w:before="32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i j e š i o  j e </w:t>
      </w:r>
    </w:p>
    <w:p w:rsidRDefault="00810E35" w:rsidP="007361F4" w:rsidR="007A4DE7" w:rsidRPr="007A4DE7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7361F4"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Odbacuje se prijava tražbine vjerovnika </w:t>
      </w:r>
      <w:r w:rsidR="007A4DE7"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Željka Ćurka, OIB: 7405089683, u iznosu od 682.798,00 kn, kao tražbina II. višeg isplatnog reda.</w:t>
      </w:r>
    </w:p>
    <w:p w:rsidRDefault="00623214" w:rsidP="007A4DE7" w:rsidR="00C7495B" w:rsidRPr="007A4DE7">
      <w:pPr>
        <w:spacing w:after="200" w:before="3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7A4DE7" w:rsidP="007A4DE7" w:rsidR="007A4DE7" w:rsidRPr="007A4DE7">
      <w:pPr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Rješenjem 11.St-2040/2016 od 5. srpnja 2017. otvoren je stečajni postupak nad dužnikom, trgovačkim društvom ARHITEKTONSKO – GRAĐEVNI KAMEN DINARIT d.o.o., OIB: 92671429499, Vrlika, Radna zona Kosore bb. Istim rješenjem za stečajnog upravitelja imenovan je Ivo Bučan.</w:t>
      </w:r>
    </w:p>
    <w:p w:rsidRDefault="007A4DE7" w:rsidP="007A4DE7" w:rsidR="007A4DE7" w:rsidRPr="007A4DE7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Na ispitnom ročištu, održanom kod ovog suda 13. listopada 2017., ispitane su tražbine stečajnih vjerovnika I. i II. višeg isplatnog reda, a koje su prijavljene u roku iz rješenja 11. St-2040/2016 od 5. srpnja 2017., između ostalih, i prijava tražbine Željka Ćurka u iznosu od 682.798,00 kn kao tražbina II. višeg isplatnog reda.</w:t>
      </w:r>
    </w:p>
    <w:p w:rsidRDefault="007A4DE7" w:rsidP="007A4DE7" w:rsidR="007A4DE7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Predmetnu tražbi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nu osporio je stečajni upr</w:t>
      </w: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avitelj uz obrazloženje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 je riječ o tražbini nižeg isplatnog reda – zajmu kojim se nadomješta kapital. Utvrdivši da se osporena tražbina ne temelji na ovršnoj ispravi, ovaj sud je rješenjem St-2040/2016 od 13. listopada 2017. </w:t>
      </w:r>
      <w:r w:rsidR="002B1BC0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utvrdio da se osporava tražbina vjerovnika Željka Ćurka kao tražbina II. višeg isplatnog reda u iznosu od 682.798,00 kn (točka III. izreke rješenja) i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uputio vjerovnika Željka Ćurka da u roku od 8 dana od dana pravomoćnosti t</w:t>
      </w:r>
      <w:r w:rsidRPr="007A4DE7">
        <w:rPr>
          <w:rFonts w:cs="Times New Roman" w:hAnsi="Times New Roman" w:ascii="Times New Roman"/>
          <w:noProof w:val="false"/>
          <w:sz w:val="24"/>
          <w:szCs w:val="24"/>
          <w:lang w:val="hr-HR"/>
        </w:rPr>
        <w:t>og rješenja, odnosno primitka drugostupanjske odluke, pokrene parnicu protiv stečajnog dužnika radi utvrđivanja osporene tražbine, odnosno predloži nastavak parnice ukoliko je u vrijeme otvaranja stečajnog postupka već pokrenut parnični postupak u odnosu na osporenu tražbinu, jer će se inače smatrati da je odustao od prava na vođenje parnice</w:t>
      </w:r>
      <w:r w:rsidR="002B1BC0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(točka IV. izreke rješenja).</w:t>
      </w:r>
    </w:p>
    <w:p w:rsidRDefault="007A4DE7" w:rsidP="002B1BC0" w:rsidR="008D397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Odlučujući o žalbi Željka Ćurka protiv predmetne odluke Visoki trgovački sud Republike Hrvatske je rješenjem Pž-6860/2017-2 od 15. studenog 2017. uvažio predmetnu žalbu</w:t>
      </w:r>
      <w:r w:rsidR="00C2054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ukinuo pobijanu odluku u točki III. i IV. njene izreke i predmet vratio prvostupan</w:t>
      </w:r>
      <w:r w:rsidR="002B1BC0">
        <w:rPr>
          <w:rFonts w:cs="Times New Roman" w:hAnsi="Times New Roman" w:ascii="Times New Roman"/>
          <w:noProof w:val="false"/>
          <w:sz w:val="24"/>
          <w:szCs w:val="24"/>
          <w:lang w:val="hr-HR"/>
        </w:rPr>
        <w:t>jskom sudu na ponovan postupak.</w:t>
      </w:r>
    </w:p>
    <w:p w:rsidRDefault="00F13F08" w:rsidP="00DF54CD" w:rsidR="00F13F08">
      <w:pPr>
        <w:spacing w:beforeLines="100" w:before="24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lastRenderedPageBreak/>
        <w:t>U obrazloženju ukidne odluke VTSRH, navodi se kako slijedi:</w:t>
      </w:r>
    </w:p>
    <w:p w:rsidRDefault="002B1BC0" w:rsidP="00DF54CD" w:rsidR="008D397D">
      <w:pPr>
        <w:spacing w:beforeLines="100" w:before="24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Iz stanja u spisu proizlazi da je </w:t>
      </w:r>
      <w:r w:rsid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Željko Ćurko</w:t>
      </w: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inače član stečajnog dužnika, prijavio svoju tražbinu stečajnom upravitelju na temelju Ugovora o kratkoročnoj pozajmici stečajnom dužniku broj 2008-01 od 3. lipnja 2008. (kojom pozajmljuje stečajnom dužniku iznos od 461.350,00 kn s ugovorenom kamatom od 6% godišnje) i Aneksa tom ugovoru broj 1-5 (kojim su produživani rokovi otplate). Aneks broj 5 sklopljen je 2. siječnja 2017., a povrat zajma ugovoren je za dvije godine od dana potpisa to</w:t>
      </w:r>
      <w:r w:rsid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g Aneksa (2. siječnja 2019.). Željko Ćurko</w:t>
      </w: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(član društva stečajnog dužnika) prijavio je tražbinu u ukupnom iznosu od 682.798,00 kn (glavnica u iznosu od 461.350,00 kn i ugovorena kamata u iznosu od 221.448,00 kn).</w:t>
      </w:r>
    </w:p>
    <w:p w:rsidRDefault="008D397D" w:rsidP="00DF54CD" w:rsidR="008D397D">
      <w:pPr>
        <w:spacing w:beforeLines="100" w:before="24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Stečajni upravitelj ispitao je</w:t>
      </w:r>
      <w:r w:rsidR="002B1BC0"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tražbinu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Željka Ćurka </w:t>
      </w:r>
      <w:r w:rsidR="002B1BC0"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 ocijenio da se radi o tražbini koja predstavlja zajam kojim se nadomješta kapital, odnosno o tražbini nižeg isplatnog reda, a na ispitnom ročištu predmetnu tražbinu osporio je kao tražbinu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II.</w:t>
      </w:r>
      <w:r w:rsidR="002B1BC0"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višeg isplatnog reda.</w:t>
      </w:r>
    </w:p>
    <w:p w:rsidRDefault="002B1BC0" w:rsidP="00DF54CD" w:rsidR="00DF54CD">
      <w:pPr>
        <w:spacing w:beforeLines="100" w:before="24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Odredbom članka 408. stavka 1. Zakona o trgovačkim društvima („Narodne novine“ broj 111/93, 34/99, 121/99, 52/00, 118/03, 107/07, 146/07, 137/09, 125/11, 111/12, 68/13 i 110/15; dalje: ZTD) propisano je da član koji društvu u vrijeme kad je ono u krizi, umjesto da mu pribavi vlastiti kapital, kada bi mu ga inače uredni gospodarstvenici trebali pribaviti, dade zajam, može u stečajnom postupku ostvarivati zahtjev za povrat zajma samo kao stečajni </w:t>
      </w:r>
      <w:r w:rsid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vjerovnik nižeg isplatnog reda.</w:t>
      </w:r>
    </w:p>
    <w:p w:rsidRDefault="002B1BC0" w:rsidP="00DF54CD" w:rsidR="008D397D" w:rsidRPr="00810E35">
      <w:pPr>
        <w:spacing w:beforeLines="100" w:before="240"/>
        <w:ind w:firstLine="709"/>
        <w:rPr>
          <w:rFonts w:cs="Times New Roman" w:hAnsi="Times New Roman" w:ascii="Times New Roman"/>
          <w:b/>
          <w:i/>
          <w:noProof w:val="false"/>
          <w:color w:val="FF0000"/>
          <w:sz w:val="32"/>
          <w:szCs w:val="32"/>
          <w:lang w:val="hr-HR"/>
        </w:rPr>
      </w:pP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Iz stanja u spisu proizlazi da je prijedlog za otvaranje stečajnog postupka podnesen 30. listopada 2015., a da je stečajni dužnik na dan 1. rujna 2015. u Očevidniku redoslijeda osnova za plaćanje imao evidentirane neizvršene osnove za plaćanje u neprekinutom razdoblju od 1821 dan. Stečajni postupak otvoren je 5. </w:t>
      </w:r>
      <w:r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srpnja 2017. Slijedom ovih činjenica, pravilan je zaključak stečajnog upravitelja da predmetni zajam koji je jedini član stečajnog dužnika dao društvu predstavlja zajam kojim se nadomješta kapital</w:t>
      </w:r>
      <w:r w:rsidR="00810E35" w:rsidRPr="00810E35">
        <w:rPr>
          <w:rFonts w:cs="Times New Roman" w:hAnsi="Times New Roman" w:ascii="Times New Roman"/>
          <w:i/>
          <w:noProof w:val="false"/>
          <w:sz w:val="32"/>
          <w:szCs w:val="32"/>
          <w:lang w:val="hr-HR"/>
        </w:rPr>
        <w:t>.</w:t>
      </w:r>
    </w:p>
    <w:p w:rsidRDefault="002B1BC0" w:rsidP="00DF54CD" w:rsidR="008D397D">
      <w:pPr>
        <w:spacing w:beforeLines="100" w:before="24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Odredbom članka 138. stavka 2. </w:t>
      </w:r>
      <w:r w:rsidR="008D397D" w:rsidRP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Stečajnog zakona („Narodne novine“ 71/15 i 104/17; dalje SZ)</w:t>
      </w: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propisano je da u tražbine</w:t>
      </w:r>
      <w:r w:rsid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drugog</w:t>
      </w:r>
      <w:r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višeg isplatnog reda ulaze sve ostale tražbine prema dužniku, osim onih koje su razvrstane u niže isplatne redove.</w:t>
      </w:r>
    </w:p>
    <w:p w:rsidRDefault="00552C7D" w:rsidP="00DF54CD" w:rsidR="008D397D" w:rsidRPr="00F13F08">
      <w:pPr>
        <w:spacing w:beforeLines="100" w:before="24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Sukladno </w:t>
      </w:r>
      <w:r w:rsidR="00C20545"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uputi</w:t>
      </w:r>
      <w:r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13F08"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VTSRH iz obrazloženja ukidne odluke, ovaj sud utvrđuje da </w:t>
      </w:r>
      <w:r w:rsidR="002B1BC0"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stečajni upravitelj, koji je pravilno utvrdio da tražbina</w:t>
      </w:r>
      <w:r w:rsidR="008D397D"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Željka Ćurka</w:t>
      </w:r>
      <w:r w:rsidR="002B1BC0" w:rsidRPr="00810E3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predstavlja tražbinu nižeg isplatnog reda, nije mogao tu prijavu</w:t>
      </w:r>
      <w:r w:rsidR="002B1BC0"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ispitati</w:t>
      </w:r>
      <w:r w:rsidR="00A661E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2B1BC0" w:rsidRPr="002B1BC0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osporiti ju kao tražbinu </w:t>
      </w:r>
      <w:r w:rsid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II. višeg isplatnog reda </w:t>
      </w:r>
      <w:r w:rsidR="00F13F0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već je tu tražbinu</w:t>
      </w:r>
      <w:r w:rsid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primjenom odredbi članaka 137., 138. i 139. SZ-a </w:t>
      </w:r>
      <w:r w:rsidR="00F13F0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valjalo odbaciti. Slijedom navedenog, </w:t>
      </w:r>
      <w:r w:rsidR="008D39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odlučeno kao u izreci ovog rješenja.</w:t>
      </w:r>
    </w:p>
    <w:p w:rsidRDefault="007361F4" w:rsidP="008D397D" w:rsidR="007361F4" w:rsidRPr="007A4DE7">
      <w:pPr>
        <w:spacing w:afterAutospacing="true" w:after="100" w:beforeAutospacing="true" w:before="100"/>
        <w:jc w:val="center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7A4DE7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U Splitu </w:t>
      </w:r>
      <w:r w:rsidR="008D397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20. prosinca</w:t>
      </w:r>
      <w:r w:rsidRPr="007A4DE7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2017.</w:t>
      </w:r>
    </w:p>
    <w:p w:rsidRDefault="008D397D" w:rsidP="007361F4" w:rsidR="007361F4" w:rsidRPr="007A4DE7">
      <w:pPr>
        <w:spacing w:before="160"/>
        <w:ind w:left="6372"/>
        <w:jc w:val="center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8D397D" w:rsidP="006431BC" w:rsidR="00F57A2F">
      <w:pPr>
        <w:ind w:left="6372"/>
        <w:jc w:val="center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7A4DE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Ana Golub Gruić</w:t>
      </w:r>
      <w:r w:rsidR="00F57A2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,v.r.</w:t>
      </w:r>
    </w:p>
    <w:p w:rsidRDefault="00F57A2F" w:rsidP="00F57A2F" w:rsidR="00F57A2F">
      <w:pPr>
        <w:jc w:val="right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 točnost otpravka-ovlašteni službenik</w:t>
      </w:r>
    </w:p>
    <w:p w:rsidRDefault="00F57A2F" w:rsidP="006431BC" w:rsidR="0052594C" w:rsidRPr="007A4DE7">
      <w:pPr>
        <w:ind w:left="6372"/>
        <w:jc w:val="center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Ivana Hajder</w:t>
      </w:r>
      <w:r w:rsidR="008D397D" w:rsidRPr="007A4DE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7361F4" w:rsidP="007361F4" w:rsidR="007361F4" w:rsidRPr="007A4DE7">
      <w:pPr>
        <w:rPr>
          <w:rFonts w:cs="Times New Roman" w:eastAsia="Times New Roman" w:hAnsi="Times New Roman" w:ascii="Times New Roman"/>
          <w:noProof w:val="false"/>
          <w:sz w:val="24"/>
          <w:szCs w:val="24"/>
          <w:u w:val="single"/>
          <w:lang w:eastAsia="hr-HR" w:val="hr-HR"/>
        </w:rPr>
      </w:pPr>
    </w:p>
    <w:p w:rsidRDefault="008D397D" w:rsidP="00F57A2F" w:rsidR="007361F4" w:rsidRPr="00F57A2F">
      <w:pP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7A4DE7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Pouka o pravnom lijeku</w:t>
      </w:r>
      <w:r w:rsidR="007361F4" w:rsidRPr="007A4DE7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CC525B" w:rsidR="007361F4" w:rsidRPr="00F57A2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1E2" w:rsidP="00C7495B" w:rsidR="009421E2">
      <w:r>
        <w:separator/>
      </w:r>
    </w:p>
  </w:endnote>
  <w:endnote w:id="0" w:type="continuationSeparator">
    <w:p w:rsidRDefault="009421E2" w:rsidP="00C7495B" w:rsidR="00942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1E2" w:rsidP="00C7495B" w:rsidR="009421E2">
      <w:r>
        <w:separator/>
      </w:r>
    </w:p>
  </w:footnote>
  <w:footnote w:id="0" w:type="continuationSeparator">
    <w:p w:rsidRDefault="009421E2" w:rsidP="00C7495B" w:rsidR="009421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C24" w:rsidP="007A4DE7" w:rsidR="00C7495B" w:rsidRPr="007A4DE7">
    <w:pPr>
      <w:pStyle w:val="Zaglavlje"/>
      <w:ind w:firstLine="1416"/>
      <w:jc w:val="right"/>
      <w:rPr>
        <w:rFonts w:cs="Times New Roman" w:hAnsi="Times New Roman" w:ascii="Times New Roman"/>
        <w:sz w:val="24"/>
        <w:szCs w:val="24"/>
      </w:rPr>
    </w:pPr>
    <w:sdt>
      <w:sdtPr>
        <w:rPr>
          <w:rFonts w:cs="Times New Roman" w:hAnsi="Times New Roman" w:ascii="Times New Roman"/>
          <w:sz w:val="24"/>
          <w:szCs w:val="24"/>
        </w:rPr>
        <w:id w:val="934177696"/>
        <w:docPartObj>
          <w:docPartGallery w:val="Page Numbers (Top of Page)"/>
          <w:docPartUnique/>
        </w:docPartObj>
      </w:sdtPr>
      <w:sdtEndPr/>
      <w:sdtContent>
        <w:r w:rsidR="00B449EE" w:rsidRPr="00CC525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CC525B" w:rsidRPr="00CC525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B449EE" w:rsidRPr="00CC525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Pr="00E32C24">
          <w:rPr>
            <w:rFonts w:cs="Times New Roman" w:hAnsi="Times New Roman" w:ascii="Times New Roman"/>
            <w:sz w:val="24"/>
            <w:szCs w:val="24"/>
            <w:lang w:val="hr-HR"/>
          </w:rPr>
          <w:t>2</w:t>
        </w:r>
        <w:r w:rsidR="00B449EE" w:rsidRPr="00CC525B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7A4DE7">
      <w:rPr>
        <w:rFonts w:cs="Times New Roman" w:hAnsi="Times New Roman" w:ascii="Times New Roman"/>
        <w:sz w:val="24"/>
        <w:szCs w:val="24"/>
      </w:rPr>
      <w:tab/>
      <w:t>Poslovni broj: 11.St-204</w:t>
    </w:r>
    <w:r w:rsidR="00CC525B" w:rsidRPr="00CC525B">
      <w:rPr>
        <w:rFonts w:cs="Times New Roman" w:hAnsi="Times New Roman" w:ascii="Times New Roman"/>
        <w:sz w:val="24"/>
        <w:szCs w:val="24"/>
      </w:rPr>
      <w:t>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25B" w:rsidP="00CC525B" w:rsidR="00CC525B" w:rsidRPr="00CC525B">
    <w:pPr>
      <w:pStyle w:val="Zaglavlje"/>
      <w:tabs>
        <w:tab w:pos="4536" w:val="clear"/>
        <w:tab w:pos="9072" w:val="clear"/>
        <w:tab w:pos="5740" w:val="left"/>
      </w:tabs>
      <w:jc w:val="right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BD1321"/>
    <w:multiLevelType w:val="hybridMultilevel"/>
    <w:tmpl w:val="14F6607E"/>
    <w:lvl w:tplc="E0CEC2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44416A3"/>
    <w:multiLevelType w:val="hybridMultilevel"/>
    <w:tmpl w:val="4C4A1AC6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95B"/>
    <w:rsid w:val="00005B1F"/>
    <w:rsid w:val="000447B4"/>
    <w:rsid w:val="000540EC"/>
    <w:rsid w:val="00067B03"/>
    <w:rsid w:val="000C7202"/>
    <w:rsid w:val="000F03FC"/>
    <w:rsid w:val="00135715"/>
    <w:rsid w:val="00141BEE"/>
    <w:rsid w:val="00142D14"/>
    <w:rsid w:val="0016280F"/>
    <w:rsid w:val="00182447"/>
    <w:rsid w:val="001A7802"/>
    <w:rsid w:val="002138E1"/>
    <w:rsid w:val="002250FF"/>
    <w:rsid w:val="0023505A"/>
    <w:rsid w:val="00236DDC"/>
    <w:rsid w:val="00246E79"/>
    <w:rsid w:val="002B1BC0"/>
    <w:rsid w:val="002B2996"/>
    <w:rsid w:val="002C0C6D"/>
    <w:rsid w:val="002E1FB4"/>
    <w:rsid w:val="002F02E4"/>
    <w:rsid w:val="00344589"/>
    <w:rsid w:val="00347EBB"/>
    <w:rsid w:val="003912D7"/>
    <w:rsid w:val="003F7AA6"/>
    <w:rsid w:val="0043005F"/>
    <w:rsid w:val="0049028F"/>
    <w:rsid w:val="004E2479"/>
    <w:rsid w:val="00514924"/>
    <w:rsid w:val="00515014"/>
    <w:rsid w:val="0052594C"/>
    <w:rsid w:val="00552C7D"/>
    <w:rsid w:val="005A033F"/>
    <w:rsid w:val="00617F09"/>
    <w:rsid w:val="00623214"/>
    <w:rsid w:val="006431BC"/>
    <w:rsid w:val="00667882"/>
    <w:rsid w:val="00685F4A"/>
    <w:rsid w:val="006A5E0B"/>
    <w:rsid w:val="006B7DC1"/>
    <w:rsid w:val="006E7BA8"/>
    <w:rsid w:val="0072345C"/>
    <w:rsid w:val="007361F4"/>
    <w:rsid w:val="00746902"/>
    <w:rsid w:val="0076746E"/>
    <w:rsid w:val="0077057C"/>
    <w:rsid w:val="007A4DE7"/>
    <w:rsid w:val="007D6B58"/>
    <w:rsid w:val="007E1152"/>
    <w:rsid w:val="00810E35"/>
    <w:rsid w:val="0084621D"/>
    <w:rsid w:val="00853B6C"/>
    <w:rsid w:val="00893640"/>
    <w:rsid w:val="00897CE4"/>
    <w:rsid w:val="008B5759"/>
    <w:rsid w:val="008D397D"/>
    <w:rsid w:val="00925CCB"/>
    <w:rsid w:val="00933E02"/>
    <w:rsid w:val="009421E2"/>
    <w:rsid w:val="009622FF"/>
    <w:rsid w:val="009E0B17"/>
    <w:rsid w:val="00A06758"/>
    <w:rsid w:val="00A23733"/>
    <w:rsid w:val="00A401D4"/>
    <w:rsid w:val="00A661E4"/>
    <w:rsid w:val="00A672DA"/>
    <w:rsid w:val="00AB08DA"/>
    <w:rsid w:val="00AE5C54"/>
    <w:rsid w:val="00B2201B"/>
    <w:rsid w:val="00B449EE"/>
    <w:rsid w:val="00B70EA0"/>
    <w:rsid w:val="00B853A0"/>
    <w:rsid w:val="00B94726"/>
    <w:rsid w:val="00BB4798"/>
    <w:rsid w:val="00BC29DE"/>
    <w:rsid w:val="00C120A1"/>
    <w:rsid w:val="00C20545"/>
    <w:rsid w:val="00C25BB4"/>
    <w:rsid w:val="00C25CA2"/>
    <w:rsid w:val="00C511BD"/>
    <w:rsid w:val="00C7495B"/>
    <w:rsid w:val="00CC36E3"/>
    <w:rsid w:val="00CC525B"/>
    <w:rsid w:val="00CD1C5E"/>
    <w:rsid w:val="00D45DA4"/>
    <w:rsid w:val="00D56B35"/>
    <w:rsid w:val="00DA5960"/>
    <w:rsid w:val="00DB62C4"/>
    <w:rsid w:val="00DE72C6"/>
    <w:rsid w:val="00DF54CD"/>
    <w:rsid w:val="00E32C24"/>
    <w:rsid w:val="00E60D53"/>
    <w:rsid w:val="00EC0542"/>
    <w:rsid w:val="00ED2E48"/>
    <w:rsid w:val="00EF0E58"/>
    <w:rsid w:val="00F13F08"/>
    <w:rsid w:val="00F57A2F"/>
    <w:rsid w:val="00F914C5"/>
    <w:rsid w:val="00FC2198"/>
    <w:rsid w:val="00FF4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495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495B"/>
    <w:rPr>
      <w:noProof/>
      <w:lang w:val="cs-CZ"/>
    </w:rPr>
  </w:style>
  <w:style w:styleId="Tijeloteksta" w:type="paragraph">
    <w:name w:val="Body Text"/>
    <w:aliases w:val=" uvlaka 3,  uvlaka 2,uvlaka 3,uvlaka 2"/>
    <w:basedOn w:val="Normal"/>
    <w:link w:val="TijelotekstaChar"/>
    <w:rsid w:val="007361F4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361F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1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1F4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7A4DE7"/>
    <w:pPr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A661E4"/>
    <w:pPr>
      <w:spacing w:after="240"/>
      <w:contextualSpacing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C2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2C24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2C2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2C2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495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495B"/>
    <w:rPr>
      <w:noProof/>
      <w:lang w:val="cs-CZ"/>
    </w:rPr>
  </w:style>
  <w:style w:styleId="Tijeloteksta" w:type="paragraph">
    <w:name w:val="Body Text"/>
    <w:aliases w:val=" uvlaka 3,  uvlaka 2,uvlaka 3,uvlaka 2"/>
    <w:basedOn w:val="Normal"/>
    <w:link w:val="TijelotekstaChar"/>
    <w:rsid w:val="007361F4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361F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1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1F4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7A4DE7"/>
    <w:pPr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A661E4"/>
    <w:pPr>
      <w:spacing w:after="240"/>
      <w:contextualSpacing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C2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2C2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2C2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2C2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11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01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79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ARHITEKTONSKO - GRAĐEVNI KAMEN DINARIT za eksploataciju i obradu kamena, društvo s ograničenom odgovornošću</izvorni_sadrzaj>
    <derivirana_varijabla naziv="DomainObject.Predmet.ProtustrankaFormated_1">  ARHITEKTONSKO - GRAĐEVNI KAMEN DINARIT za eksploataciju i obradu kamena, društvo s ograničenom odgovornošću</derivirana_varijabla>
  </DomainObject.Predmet.ProtustrankaFormated>
  <DomainObject.Predmet.ProtustrankaFormatedOIB>
    <izvorni_sadrzaj>  ARHITEKTONSKO - GRAĐEVNI KAMEN DINARIT za eksploataciju i obradu kamena, društvo s ograničenom odgovornošću, OIB 92671429499</izvorni_sadrzaj>
    <derivirana_varijabla naziv="DomainObject.Predmet.ProtustrankaFormatedOIB_1">  ARHITEKTONSKO - GRAĐEVNI KAMEN DINARIT za eksploataciju i obradu kamena, društvo s ograničenom odgovornošću,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odgovornošću, Radna Zona Kosore/bb, 21236 Vrlika</izvorni_sadrzaj>
    <derivirana_varijabla naziv="DomainObject.Predmet.ProtustrankaFormatedWithAdress_1"> ARHITEKTONSKO - GRAĐEVNI KAMEN DINARIT za eksploataciju i obradu kamena, društvo s ograničenom odgovornošću, Radna Zona Kosore/bb,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odgovornošću, OIB 92671429499, Radna Zona Kosore/bb, 21236 Vrlika</izvorni_sadrzaj>
    <derivirana_varijabla naziv="DomainObject.Predmet.ProtustrankaFormatedWithAdressOIB_1"> ARHITEKTONSKO - GRAĐEVNI KAMEN DINARIT za eksploataciju i obradu kamena, društvo s ograničenom odgovornošću, OIB 92671429499, Radna Zona Kosore/bb,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Radna Zona Kosore/bb, 21236 Vrlika</izvorni_sadrzaj>
    <derivirana_varijabla naziv="DomainObject.Predmet.ProtustrankaWithAdress_1">ARHITEKTONSKO - GRAĐEVNI KAMEN DINARIT za eksploataciju i obradu kamena, društvo s ograničenom odgovornošću Radna Zona Kosore/bb, 21236 Vrlika</derivirana_varijabla>
  </DomainObject.Predmet.ProtustrankaWithAdress>
  <DomainObject.Predmet.ProtustrankaWith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WithAdressOIB_1">ARHITEKTONSKO - GRAĐEVNI KAMEN DINARIT za eksploataciju i obradu kamena, društvo s ograničenom odgovornošću, OIB 92671429499, Radna Zona Kosore/bb, 21236 Vrlika</derivirana_varijabla>
  </DomainObject.Predmet.ProtustrankaWithAdressOIB>
  <DomainObject.Predmet.ProtustrankaNazivFormated>
    <izvorni_sadrzaj>ARHITEKTONSKO - GRAĐEVNI KAMEN DINARIT za eksploataciju i obradu kamena, društvo s ograničenom odgovornošću</izvorni_sadrzaj>
    <derivirana_varijabla naziv="DomainObject.Predmet.ProtustrankaNazivFormated_1">ARHITEKTONSKO - GRAĐEVNI KAMEN DINARIT za eksploataciju i obradu kamena, društvo s ograničenom odgovornošću</derivirana_varijabla>
  </DomainObject.Predmet.ProtustrankaNazivFormated>
  <DomainObject.Predmet.ProtustrankaNazivFormatedOIB>
    <izvorni_sadrzaj>ARHITEKTONSKO - GRAĐEVNI KAMEN DINARIT za eksploataciju i obradu kamena, društvo s ograničenom odgovornošću, OIB 92671429499</izvorni_sadrzaj>
    <derivirana_varijabla naziv="DomainObject.Predmet.ProtustrankaNazivFormatedOIB_1">ARHITEKTONSKO - GRAĐEVNI KAMEN DINARIT za eksploataciju i obradu kamena, društvo s ograničenom odgovornošću,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</item>
    </izvorni_sadrzaj>
    <derivirana_varijabla naziv="DomainObject.Predmet.ProtuStrankaListFormated_1">
      <item>ARHITEKTONSKO - GRAĐEVNI KAMEN DINARIT za eksploataciju i obradu kamena, društvo s ograničenom odgovornošću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odgovornošću, OIB 92671429499</item>
    </izvorni_sadrzaj>
    <derivirana_varijabla naziv="DomainObject.Predmet.ProtuStrankaListFormatedOIB_1">
      <item>ARHITEKTONSKO - GRAĐEVNI KAMEN DINARIT za eksploataciju i obradu kamena, društvo s ograničenom odgovornošću,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odgovornošću, Radna Zona Kosore/bb, 21236 Vrlika</item>
    </izvorni_sadrzaj>
    <derivirana_varijabla naziv="DomainObject.Predmet.ProtuStrankaListFormatedWithAdress_1">
      <item>ARHITEKTONSKO - GRAĐEVNI KAMEN DINARIT za eksploataciju i obradu kamena, društvo s ograničenom odgovornošću, Radna Zona Kosore/bb,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odgovornošću, OIB 92671429499, Radna Zona Kosore/bb, 21236 Vrlika</item>
    </izvorni_sadrzaj>
    <derivirana_varijabla naziv="DomainObject.Predmet.ProtuStrankaListFormatedWithAdressOIB_1">
      <item>ARHITEKTONSKO - GRAĐEVNI KAMEN DINARIT za eksploataciju i obradu kamena, društvo s ograničenom odgovornošću, OIB 92671429499, Radna Zona Kosore/bb,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</item>
    </izvorni_sadrzaj>
    <derivirana_varijabla naziv="DomainObject.Predmet.ProtuStrankaListNazivFormated_1">
      <item>ARHITEKTONSKO - GRAĐEVNI KAMEN DINARIT za eksploataciju i obradu kamena, društvo s ograničenom odgovornošću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odgovornošću, OIB 92671429499</item>
    </izvorni_sadrzaj>
    <derivirana_varijabla naziv="DomainObject.Predmet.ProtuStrankaListNazivFormatedOIB_1">
      <item>ARHITEKTONSKO - GRAĐEVNI KAMEN DINARIT za eksploataciju i obradu kamena, društvo s ograničenom odgovornošću,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</izvorni_sadrzaj>
    <derivirana_varijabla naziv="DomainObject.Predmet.ProtustrankaIDrugi_1">ARHITEKTONSKO - GRAĐEVNI KAMEN DINARIT za eksploataciju i obradu kamena,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odgovornošću, OIB 92671429499, Radna Zona Kosore/bb, 21236 Vrlika</izvorni_sadrzaj>
    <derivirana_varijabla naziv="DomainObject.Predmet.ProtustrankaIDrugiAdressOIB_1">ARHITEKTONSKO - GRAĐEVNI KAMEN DINARIT za eksploataciju i obradu kamena, društvo s ograničenom odgovornošću, OIB 92671429499, Radna Zona Kosore/bb,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odgovornošću, OIB 92671429499, Radna Zona Kosore/bb,21236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55870-17EC-4CDB-9B45-C28AE8EDD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857</properties:Words>
  <properties:Characters>4706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2017-12-27T07:58:00Z</dcterms:created>
  <dc:creator>admin</dc:creator>
  <cp:lastModifiedBy>Ana Golub Gruić</cp:lastModifiedBy>
  <cp:lastPrinted>2017-12-27T08:01:00Z</cp:lastPrinted>
  <dcterms:modified xmlns:xsi="http://www.w3.org/2001/XMLSchema-instance" xsi:type="dcterms:W3CDTF">2017-12-27T08:02:00Z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